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6457319.xml.htm"/>
      <w:bookmarkStart w:id="1" w:name="kswkform4_177645731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Peker Lev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FARADAY FUTURE INTELLIGENT ELECTRIC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1990 E. GRAND AVE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SEGUNDO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90245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FARADAY FUTURE INTELLIGENT ELECTRIC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FFAI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110,405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97,059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207,464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97,059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97,059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97,059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on August 14, 2025 (the "Grant Date"). Each RSU represents the right to receive one share of Class A Common Stock of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stock units ("RSUs") granted to the reporting person on December 31, 2025 (the "Grant Date"). Each RSU represents the right to receive one share of Class A Common Stock of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vested in full on April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Lev Peker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1840" TargetMode="External"/><Relationship Id="rId5" Type="http://schemas.openxmlformats.org/officeDocument/2006/relationships/hyperlink" Target="http://www.sec.gov/cgi-bin/browse-edgar?action=getcompany&amp;CIK=0001805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691</Words>
  <Characters>3648</Characters>
  <CharactersWithSpaces>4249</CharactersWithSpaces>
  <Paragraphs>130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