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2a5c185076b4780ae6e527206527c6d_2525">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2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2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2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before="0" w:after="0"/>
        <w:jc w:val="left"/>
        <w:rPr/>
      </w:pPr>
      <w:r>
        <w:rPr/>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2025</w:t>
            </w:r>
          </w:p>
        </w:tc>
      </w:tr>
    </w:tbl>
    <w:p>
      <w:pPr>
        <w:pStyle w:val="TextBody"/>
        <w:bidi w:val="0"/>
        <w:spacing w:lineRule="auto" w:line="22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 to ________________</w:t>
            </w:r>
          </w:p>
        </w:tc>
      </w:tr>
    </w:tbl>
    <w:p>
      <w:pPr>
        <w:pStyle w:val="TextBody"/>
        <w:bidi w:val="0"/>
        <w:spacing w:before="0" w:after="0"/>
        <w:ind w:left="0" w:right="0" w:firstLine="540"/>
        <w:jc w:val="center"/>
        <w:rPr/>
      </w:pPr>
      <w:r>
        <w:rPr/>
      </w:r>
    </w:p>
    <w:p>
      <w:pPr>
        <w:pStyle w:val="TextBody"/>
        <w:bidi w:val="0"/>
        <w:spacing w:lineRule="auto" w:line="228" w:before="0" w:after="0"/>
        <w:ind w:left="0" w:right="0" w:firstLine="540"/>
        <w:jc w:val="center"/>
        <w:rPr/>
      </w:pPr>
      <w:r>
        <w:rPr>
          <w:rFonts w:ascii="Times New Roman;sans-serif" w:hAnsi="Times New Roman;sans-serif"/>
          <w:b/>
          <w:color w:val="000000"/>
          <w:sz w:val="20"/>
        </w:rPr>
        <w:t>C</w:t>
      </w:r>
      <w:r>
        <w:rPr>
          <w:rFonts w:ascii="Times New Roman;sans-serif" w:hAnsi="Times New Roman;sans-serif"/>
          <w:b w:val="false"/>
          <w:color w:val="000000"/>
          <w:sz w:val="20"/>
        </w:rPr>
        <w:t>ommission File Number: 001-39395 Faraday Future Intelligent Electric Inc.</w:t>
      </w:r>
    </w:p>
    <w:p>
      <w:pPr>
        <w:pStyle w:val="TextBody"/>
        <w:bidi w:val="0"/>
        <w:spacing w:lineRule="auto" w:line="22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361"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48"/>
        <w:gridCol w:w="748"/>
        <w:gridCol w:w="1218"/>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84-4720320</w:t>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6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18455 S. Figueroa Street, </w:t>
            </w:r>
          </w:p>
          <w:p>
            <w:pPr>
              <w:pStyle w:val="TableContents"/>
              <w:bidi w:val="0"/>
              <w:spacing w:lineRule="auto" w:line="288" w:before="0" w:after="0"/>
              <w:ind w:left="0" w:right="0" w:firstLine="45"/>
              <w:jc w:val="center"/>
              <w:rPr>
                <w:rFonts w:ascii="Times New Roman;sans-serif" w:hAnsi="Times New Roman;sans-serif"/>
                <w:b w:val="false"/>
                <w:color w:val="000000"/>
                <w:sz w:val="18"/>
              </w:rPr>
            </w:pPr>
            <w:r>
              <w:rPr>
                <w:rFonts w:ascii="Times New Roman;sans-serif" w:hAnsi="Times New Roman;sans-serif"/>
                <w:b w:val="false"/>
                <w:color w:val="000000"/>
                <w:sz w:val="18"/>
              </w:rPr>
              <w:t>Gardena, CA</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90248</w:t>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(Zip Code)</w:t>
            </w:r>
          </w:p>
        </w:tc>
      </w:tr>
    </w:tbl>
    <w:p>
      <w:pPr>
        <w:pStyle w:val="TextBody"/>
        <w:bidi w:val="0"/>
        <w:spacing w:lineRule="auto" w:line="288" w:before="0" w:after="0"/>
        <w:jc w:val="center"/>
        <w:rPr>
          <w:rFonts w:ascii="Times New Roman;sans-serif" w:hAnsi="Times New Roman;sans-serif"/>
          <w:b/>
          <w:color w:val="000000"/>
          <w:sz w:val="17"/>
        </w:rPr>
      </w:pPr>
      <w:r>
        <w:rPr>
          <w:rFonts w:ascii="Times New Roman;sans-serif" w:hAnsi="Times New Roman;sans-serif"/>
          <w:b/>
          <w:color w:val="000000"/>
          <w:sz w:val="17"/>
        </w:rPr>
        <w:t>(424) 276-7616</w:t>
      </w:r>
    </w:p>
    <w:p>
      <w:pPr>
        <w:pStyle w:val="TextBody"/>
        <w:bidi w:val="0"/>
        <w:spacing w:lineRule="auto" w:line="22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Registrant’s telephone number, including area code</w:t>
      </w:r>
    </w:p>
    <w:p>
      <w:pPr>
        <w:pStyle w:val="TextBody"/>
        <w:bidi w:val="0"/>
        <w:spacing w:before="0" w:after="0"/>
        <w:jc w:val="center"/>
        <w:rPr/>
      </w:pPr>
      <w:r>
        <w:rPr/>
      </w:r>
    </w:p>
    <w:p>
      <w:pPr>
        <w:pStyle w:val="TextBody"/>
        <w:bidi w:val="0"/>
        <w:spacing w:lineRule="auto" w:line="22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95"/>
        <w:gridCol w:w="1961"/>
        <w:gridCol w:w="1989"/>
        <w:gridCol w:w="413"/>
        <w:gridCol w:w="413"/>
        <w:gridCol w:w="415"/>
        <w:gridCol w:w="766"/>
        <w:gridCol w:w="766"/>
        <w:gridCol w:w="1087"/>
      </w:tblGrid>
      <w:tr>
        <w:trPr/>
        <w:tc>
          <w:tcPr>
            <w:tcW w:w="2395"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Title of each class</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Trading Symbol(s)</w:t>
            </w:r>
          </w:p>
        </w:tc>
        <w:tc>
          <w:tcPr>
            <w:tcW w:w="2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Name of each exchange on which registered</w:t>
            </w:r>
          </w:p>
        </w:tc>
      </w:tr>
      <w:tr>
        <w:trPr/>
        <w:tc>
          <w:tcPr>
            <w:tcW w:w="63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Class A common stock, par value $0.0001 per share</w:t>
            </w:r>
          </w:p>
        </w:tc>
        <w:tc>
          <w:tcPr>
            <w:tcW w:w="12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FFAI</w:t>
            </w:r>
          </w:p>
        </w:tc>
        <w:tc>
          <w:tcPr>
            <w:tcW w:w="26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The Nasdaq Stock Market LLC</w:t>
            </w:r>
          </w:p>
        </w:tc>
      </w:tr>
      <w:tr>
        <w:trPr/>
        <w:tc>
          <w:tcPr>
            <w:tcW w:w="63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Redeemable warrants, exercisable for shares of Class A common stock at an exercise price of $110,400.00 per share</w:t>
            </w:r>
          </w:p>
        </w:tc>
        <w:tc>
          <w:tcPr>
            <w:tcW w:w="12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FFAIW</w:t>
            </w:r>
          </w:p>
        </w:tc>
        <w:tc>
          <w:tcPr>
            <w:tcW w:w="26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The Nasdaq Stock Market LLC</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4512" w:type="dxa"/>
        <w:jc w:val="center"/>
        <w:tblInd w:w="0" w:type="dxa"/>
        <w:tblLayout w:type="fixed"/>
        <w:tblCellMar>
          <w:top w:w="28" w:type="dxa"/>
          <w:left w:w="28" w:type="dxa"/>
          <w:bottom w:w="28" w:type="dxa"/>
          <w:right w:w="28" w:type="dxa"/>
        </w:tblCellMar>
      </w:tblPr>
      <w:tblGrid>
        <w:gridCol w:w="619"/>
        <w:gridCol w:w="543"/>
        <w:gridCol w:w="547"/>
        <w:gridCol w:w="120"/>
        <w:gridCol w:w="120"/>
        <w:gridCol w:w="121"/>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pPr>
      <w:r>
        <w:rPr>
          <w:rFonts w:ascii="Times New Roman;sans-serif" w:hAnsi="Times New Roman;sans-serif"/>
          <w:b w:val="false"/>
          <w:color w:val="000000"/>
          <w:sz w:val="17"/>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7"/>
          <w:shd w:fill="FFFFFF" w:val="clear"/>
        </w:rPr>
        <w:t xml:space="preserve">The registrant had outstanding </w:t>
      </w:r>
      <w:r>
        <w:rPr>
          <w:rFonts w:ascii="Times New Roman;sans-serif" w:hAnsi="Times New Roman;sans-serif"/>
          <w:b w:val="false"/>
          <w:color w:val="000000"/>
          <w:sz w:val="17"/>
        </w:rPr>
        <w:t>97,616,087 s</w:t>
      </w:r>
      <w:r>
        <w:rPr>
          <w:rFonts w:ascii="Times New Roman;sans-serif" w:hAnsi="Times New Roman;sans-serif"/>
          <w:b w:val="false"/>
          <w:color w:val="000000"/>
          <w:sz w:val="17"/>
          <w:shd w:fill="FFFFFF" w:val="clear"/>
        </w:rPr>
        <w:t xml:space="preserve">hares of Class A common stock and </w:t>
      </w:r>
      <w:r>
        <w:rPr>
          <w:rFonts w:ascii="Times New Roman;sans-serif" w:hAnsi="Times New Roman;sans-serif"/>
          <w:b w:val="false"/>
          <w:color w:val="000000"/>
          <w:sz w:val="17"/>
        </w:rPr>
        <w:t>6,667</w:t>
      </w:r>
      <w:r>
        <w:rPr>
          <w:color w:val="000000"/>
          <w:shd w:fill="FFFFFF" w:val="clear"/>
        </w:rPr>
        <w:t xml:space="preserve"> </w:t>
      </w:r>
      <w:r>
        <w:rPr>
          <w:rFonts w:ascii="Times New Roman;sans-serif" w:hAnsi="Times New Roman;sans-serif"/>
          <w:b w:val="false"/>
          <w:color w:val="000000"/>
          <w:sz w:val="17"/>
          <w:shd w:fill="FFFFFF" w:val="clear"/>
        </w:rPr>
        <w:t>shares of Class B common stock as of May 5,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2a5c185076b4780ae6e527206527c6d_2525">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8"/>
        </w:rPr>
      </w:pPr>
      <w:r>
        <w:rPr>
          <w:rFonts w:ascii="Times New Roman;sans-serif" w:hAnsi="Times New Roman;sans-serif"/>
          <w:b/>
          <w:color w:val="000000"/>
          <w:sz w:val="28"/>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200" w:after="283"/>
        <w:jc w:val="center"/>
        <w:rPr/>
      </w:pPr>
      <w:r>
        <w:rPr/>
      </w:r>
    </w:p>
    <w:tbl>
      <w:tblPr>
        <w:tblW w:w="10205" w:type="dxa"/>
        <w:jc w:val="center"/>
        <w:tblInd w:w="0" w:type="dxa"/>
        <w:tblLayout w:type="fixed"/>
        <w:tblCellMar>
          <w:top w:w="28" w:type="dxa"/>
          <w:left w:w="28" w:type="dxa"/>
          <w:bottom w:w="28" w:type="dxa"/>
          <w:right w:w="28" w:type="dxa"/>
        </w:tblCellMar>
      </w:tblPr>
      <w:tblGrid>
        <w:gridCol w:w="613"/>
        <w:gridCol w:w="537"/>
        <w:gridCol w:w="537"/>
        <w:gridCol w:w="2668"/>
        <w:gridCol w:w="2645"/>
        <w:gridCol w:w="2691"/>
        <w:gridCol w:w="149"/>
        <w:gridCol w:w="149"/>
        <w:gridCol w:w="216"/>
      </w:tblGrid>
      <w:tr>
        <w:trPr/>
        <w:tc>
          <w:tcPr>
            <w:tcW w:w="61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10">
              <w:r>
                <w:rPr>
                  <w:rStyle w:val="InternetLink"/>
                  <w:rFonts w:ascii="Times New Roman;sans-serif" w:hAnsi="Times New Roman;sans-serif"/>
                  <w:b/>
                  <w:color w:val="000000"/>
                  <w:sz w:val="20"/>
                  <w:u w:val="single"/>
                </w:rPr>
                <w:t>PART I. FINANCIAL INFORMATION</w:t>
              </w:r>
            </w:hyperlink>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3034">
              <w:r>
                <w:rPr>
                  <w:rStyle w:val="InternetLink"/>
                  <w:rFonts w:ascii="Times New Roman;sans-serif" w:hAnsi="Times New Roman;sans-serif"/>
                  <w:b/>
                  <w:strike w:val="false"/>
                  <w:dstrike w:val="false"/>
                  <w:color w:val="000000"/>
                  <w:sz w:val="20"/>
                  <w:u w:val="none"/>
                  <w:effect w:val="none"/>
                </w:rPr>
                <w:t>Item 1.</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3034">
              <w:r>
                <w:rPr>
                  <w:rStyle w:val="InternetLink"/>
                  <w:rFonts w:ascii="Times New Roman;sans-serif" w:hAnsi="Times New Roman;sans-serif"/>
                  <w:b/>
                  <w:strike w:val="false"/>
                  <w:dstrike w:val="false"/>
                  <w:color w:val="000000"/>
                  <w:sz w:val="20"/>
                  <w:u w:val="none"/>
                  <w:effect w:val="non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478">
              <w:r>
                <w:rPr>
                  <w:rStyle w:val="InternetLink"/>
                  <w:rFonts w:ascii="Times New Roman;sans-serif" w:hAnsi="Times New Roman;sans-serif"/>
                  <w:b w:val="false"/>
                  <w:strike w:val="false"/>
                  <w:dstrike w:val="false"/>
                  <w:color w:val="000000"/>
                  <w:sz w:val="20"/>
                  <w:u w:val="none"/>
                  <w:effect w:val="none"/>
                </w:rPr>
                <w:t>3</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 and Comprehensive Loss</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481">
              <w:r>
                <w:rPr>
                  <w:rStyle w:val="InternetLink"/>
                  <w:rFonts w:ascii="Times New Roman;sans-serif" w:hAnsi="Times New Roman;sans-serif"/>
                  <w:b w:val="false"/>
                  <w:strike w:val="false"/>
                  <w:dstrike w:val="false"/>
                  <w:color w:val="000000"/>
                  <w:sz w:val="20"/>
                  <w:u w:val="none"/>
                  <w:effect w:val="none"/>
                </w:rPr>
                <w:t>4</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Statement of Stockholders’ Equity</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484">
              <w:r>
                <w:rPr>
                  <w:rStyle w:val="InternetLink"/>
                  <w:rFonts w:ascii="Times New Roman;sans-serif" w:hAnsi="Times New Roman;sans-serif"/>
                  <w:b w:val="false"/>
                  <w:strike w:val="false"/>
                  <w:dstrike w:val="false"/>
                  <w:color w:val="000000"/>
                  <w:sz w:val="20"/>
                  <w:u w:val="none"/>
                  <w:effect w:val="none"/>
                </w:rPr>
                <w:t>5</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487">
              <w:r>
                <w:rPr>
                  <w:rStyle w:val="InternetLink"/>
                  <w:rFonts w:ascii="Times New Roman;sans-serif" w:hAnsi="Times New Roman;sans-serif"/>
                  <w:b w:val="false"/>
                  <w:strike w:val="false"/>
                  <w:dstrike w:val="false"/>
                  <w:color w:val="000000"/>
                  <w:sz w:val="20"/>
                  <w:u w:val="none"/>
                  <w:effect w:val="none"/>
                </w:rPr>
                <w:t>6</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493">
              <w:r>
                <w:rPr>
                  <w:rStyle w:val="InternetLink"/>
                  <w:rFonts w:ascii="Times New Roman;sans-serif" w:hAnsi="Times New Roman;sans-serif"/>
                  <w:b w:val="false"/>
                  <w:strike w:val="false"/>
                  <w:dstrike w:val="false"/>
                  <w:color w:val="000000"/>
                  <w:sz w:val="20"/>
                  <w:u w:val="none"/>
                  <w:effect w:val="none"/>
                </w:rPr>
                <w:t>8</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89">
              <w:r>
                <w:rPr>
                  <w:rStyle w:val="InternetLink"/>
                  <w:rFonts w:ascii="Times New Roman;sans-serif" w:hAnsi="Times New Roman;sans-serif"/>
                  <w:b/>
                  <w:strike w:val="false"/>
                  <w:dstrike w:val="false"/>
                  <w:color w:val="000000"/>
                  <w:sz w:val="20"/>
                  <w:u w:val="none"/>
                  <w:effect w:val="none"/>
                </w:rPr>
                <w:t>Item 2.</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89">
              <w:r>
                <w:rPr>
                  <w:rStyle w:val="InternetLink"/>
                  <w:rFonts w:ascii="Times New Roman;sans-serif" w:hAnsi="Times New Roman;sans-serif"/>
                  <w:b/>
                  <w:strike w:val="false"/>
                  <w:dstrike w:val="false"/>
                  <w:color w:val="000000"/>
                  <w:sz w:val="20"/>
                  <w:u w:val="none"/>
                  <w:effect w:val="non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289">
              <w:r>
                <w:rPr>
                  <w:rStyle w:val="InternetLink"/>
                  <w:rFonts w:ascii="Times New Roman;sans-serif" w:hAnsi="Times New Roman;sans-serif"/>
                  <w:b w:val="false"/>
                  <w:strike w:val="false"/>
                  <w:dstrike w:val="false"/>
                  <w:color w:val="000000"/>
                  <w:sz w:val="20"/>
                  <w:u w:val="none"/>
                  <w:effect w:val="none"/>
                </w:rPr>
                <w:t>51</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466">
              <w:r>
                <w:rPr>
                  <w:rStyle w:val="InternetLink"/>
                  <w:rFonts w:ascii="Times New Roman;sans-serif" w:hAnsi="Times New Roman;sans-serif"/>
                  <w:b/>
                  <w:strike w:val="false"/>
                  <w:dstrike w:val="false"/>
                  <w:color w:val="000000"/>
                  <w:sz w:val="20"/>
                  <w:u w:val="none"/>
                  <w:effect w:val="none"/>
                </w:rPr>
                <w:t>Item 3.</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466">
              <w:r>
                <w:rPr>
                  <w:rStyle w:val="InternetLink"/>
                  <w:rFonts w:ascii="Times New Roman;sans-serif" w:hAnsi="Times New Roman;sans-serif"/>
                  <w:b/>
                  <w:strike w:val="false"/>
                  <w:dstrike w:val="false"/>
                  <w:color w:val="000000"/>
                  <w:sz w:val="20"/>
                  <w:u w:val="none"/>
                  <w:effect w:val="non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466">
              <w:r>
                <w:rPr>
                  <w:rStyle w:val="InternetLink"/>
                  <w:rFonts w:ascii="Times New Roman;sans-serif" w:hAnsi="Times New Roman;sans-serif"/>
                  <w:b w:val="false"/>
                  <w:strike w:val="false"/>
                  <w:dstrike w:val="false"/>
                  <w:color w:val="000000"/>
                  <w:sz w:val="20"/>
                  <w:u w:val="none"/>
                  <w:effect w:val="none"/>
                </w:rPr>
                <w:t>68</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742">
              <w:r>
                <w:rPr>
                  <w:rStyle w:val="InternetLink"/>
                  <w:rFonts w:ascii="Times New Roman;sans-serif" w:hAnsi="Times New Roman;sans-serif"/>
                  <w:b/>
                  <w:strike w:val="false"/>
                  <w:dstrike w:val="false"/>
                  <w:color w:val="000000"/>
                  <w:sz w:val="20"/>
                  <w:u w:val="none"/>
                  <w:effect w:val="none"/>
                </w:rPr>
                <w:t>Item 4.</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742">
              <w:r>
                <w:rPr>
                  <w:rStyle w:val="InternetLink"/>
                  <w:rFonts w:ascii="Times New Roman;sans-serif" w:hAnsi="Times New Roman;sans-serif"/>
                  <w:b/>
                  <w:strike w:val="false"/>
                  <w:dstrike w:val="false"/>
                  <w:color w:val="000000"/>
                  <w:sz w:val="20"/>
                  <w:u w:val="none"/>
                  <w:effect w:val="non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742">
              <w:r>
                <w:rPr>
                  <w:rStyle w:val="InternetLink"/>
                  <w:rFonts w:ascii="Times New Roman;sans-serif" w:hAnsi="Times New Roman;sans-serif"/>
                  <w:b w:val="false"/>
                  <w:strike w:val="false"/>
                  <w:dstrike w:val="false"/>
                  <w:color w:val="000000"/>
                  <w:sz w:val="20"/>
                  <w:u w:val="none"/>
                  <w:effect w:val="none"/>
                </w:rPr>
                <w:t>68</w:t>
              </w:r>
            </w:hyperlink>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68">
              <w:r>
                <w:rPr>
                  <w:rStyle w:val="InternetLink"/>
                  <w:rFonts w:ascii="Times New Roman;sans-serif" w:hAnsi="Times New Roman;sans-serif"/>
                  <w:b/>
                  <w:color w:val="000000"/>
                  <w:sz w:val="20"/>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62">
              <w:r>
                <w:rPr>
                  <w:rStyle w:val="InternetLink"/>
                  <w:rFonts w:ascii="Times New Roman;sans-serif" w:hAnsi="Times New Roman;sans-serif"/>
                  <w:b/>
                  <w:strike w:val="false"/>
                  <w:dstrike w:val="false"/>
                  <w:color w:val="000000"/>
                  <w:sz w:val="20"/>
                  <w:u w:val="none"/>
                  <w:effect w:val="none"/>
                </w:rPr>
                <w:t>Item 1.</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62">
              <w:r>
                <w:rPr>
                  <w:rStyle w:val="InternetLink"/>
                  <w:rFonts w:ascii="Times New Roman;sans-serif" w:hAnsi="Times New Roman;sans-serif"/>
                  <w:b/>
                  <w:strike w:val="false"/>
                  <w:dstrike w:val="false"/>
                  <w:color w:val="000000"/>
                  <w:sz w:val="20"/>
                  <w:u w:val="none"/>
                  <w:effect w:val="non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262">
              <w:r>
                <w:rPr>
                  <w:rStyle w:val="InternetLink"/>
                  <w:rFonts w:ascii="Times New Roman;sans-serif" w:hAnsi="Times New Roman;sans-serif"/>
                  <w:b w:val="false"/>
                  <w:strike w:val="false"/>
                  <w:dstrike w:val="false"/>
                  <w:color w:val="000000"/>
                  <w:sz w:val="20"/>
                  <w:u w:val="none"/>
                  <w:effect w:val="none"/>
                </w:rPr>
                <w:t>72</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729">
              <w:r>
                <w:rPr>
                  <w:rStyle w:val="InternetLink"/>
                  <w:rFonts w:ascii="Times New Roman;sans-serif" w:hAnsi="Times New Roman;sans-serif"/>
                  <w:b/>
                  <w:strike w:val="false"/>
                  <w:dstrike w:val="false"/>
                  <w:color w:val="000000"/>
                  <w:sz w:val="20"/>
                  <w:u w:val="none"/>
                  <w:effect w:val="none"/>
                </w:rPr>
                <w:t>Item 1A.</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729">
              <w:r>
                <w:rPr>
                  <w:rStyle w:val="InternetLink"/>
                  <w:rFonts w:ascii="Times New Roman;sans-serif" w:hAnsi="Times New Roman;sans-serif"/>
                  <w:b/>
                  <w:strike w:val="false"/>
                  <w:dstrike w:val="false"/>
                  <w:color w:val="000000"/>
                  <w:sz w:val="20"/>
                  <w:u w:val="none"/>
                  <w:effect w:val="none"/>
                </w:rPr>
                <w:t xml:space="preserve">Risk Factors </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2729">
              <w:r>
                <w:rPr>
                  <w:rStyle w:val="InternetLink"/>
                  <w:rFonts w:ascii="Times New Roman;sans-serif" w:hAnsi="Times New Roman;sans-serif"/>
                  <w:b w:val="false"/>
                  <w:strike w:val="false"/>
                  <w:dstrike w:val="false"/>
                  <w:color w:val="000000"/>
                  <w:sz w:val="20"/>
                  <w:u w:val="none"/>
                  <w:effect w:val="none"/>
                </w:rPr>
                <w:t>72</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3116">
              <w:r>
                <w:rPr>
                  <w:rStyle w:val="InternetLink"/>
                  <w:rFonts w:ascii="Times New Roman;sans-serif" w:hAnsi="Times New Roman;sans-serif"/>
                  <w:b/>
                  <w:strike w:val="false"/>
                  <w:dstrike w:val="false"/>
                  <w:color w:val="000000"/>
                  <w:sz w:val="20"/>
                  <w:u w:val="none"/>
                  <w:effect w:val="none"/>
                </w:rPr>
                <w:t>Item 2.</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3116">
              <w:r>
                <w:rPr>
                  <w:rStyle w:val="InternetLink"/>
                  <w:rFonts w:ascii="Times New Roman;sans-serif" w:hAnsi="Times New Roman;sans-serif"/>
                  <w:b/>
                  <w:strike w:val="false"/>
                  <w:dstrike w:val="false"/>
                  <w:color w:val="000000"/>
                  <w:sz w:val="20"/>
                  <w:u w:val="none"/>
                  <w:effect w:val="none"/>
                </w:rPr>
                <w:t>Unregistered Sales of Equity Securities, Use of Proceeds,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3116">
              <w:r>
                <w:rPr>
                  <w:rStyle w:val="InternetLink"/>
                  <w:rFonts w:ascii="Times New Roman;sans-serif" w:hAnsi="Times New Roman;sans-serif"/>
                  <w:b w:val="false"/>
                  <w:strike w:val="false"/>
                  <w:dstrike w:val="false"/>
                  <w:color w:val="000000"/>
                  <w:sz w:val="20"/>
                  <w:u w:val="none"/>
                  <w:effect w:val="none"/>
                </w:rPr>
                <w:t>72</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757">
              <w:r>
                <w:rPr>
                  <w:rStyle w:val="InternetLink"/>
                  <w:rFonts w:ascii="Times New Roman;sans-serif" w:hAnsi="Times New Roman;sans-serif"/>
                  <w:b/>
                  <w:strike w:val="false"/>
                  <w:dstrike w:val="false"/>
                  <w:color w:val="000000"/>
                  <w:sz w:val="20"/>
                  <w:u w:val="none"/>
                  <w:effect w:val="none"/>
                </w:rPr>
                <w:t>Item 3.</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757">
              <w:r>
                <w:rPr>
                  <w:rStyle w:val="InternetLink"/>
                  <w:rFonts w:ascii="Times New Roman;sans-serif" w:hAnsi="Times New Roman;sans-serif"/>
                  <w:b/>
                  <w:strike w:val="false"/>
                  <w:dstrike w:val="false"/>
                  <w:color w:val="000000"/>
                  <w:sz w:val="20"/>
                  <w:u w:val="none"/>
                  <w:effect w:val="non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2757">
              <w:r>
                <w:rPr>
                  <w:rStyle w:val="InternetLink"/>
                  <w:rFonts w:ascii="Times New Roman;sans-serif" w:hAnsi="Times New Roman;sans-serif"/>
                  <w:b w:val="false"/>
                  <w:strike w:val="false"/>
                  <w:dstrike w:val="false"/>
                  <w:color w:val="000000"/>
                  <w:sz w:val="20"/>
                  <w:u w:val="none"/>
                  <w:effect w:val="none"/>
                </w:rPr>
                <w:t>72</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65">
              <w:r>
                <w:rPr>
                  <w:rStyle w:val="InternetLink"/>
                  <w:rFonts w:ascii="Times New Roman;sans-serif" w:hAnsi="Times New Roman;sans-serif"/>
                  <w:b/>
                  <w:strike w:val="false"/>
                  <w:dstrike w:val="false"/>
                  <w:color w:val="000000"/>
                  <w:sz w:val="20"/>
                  <w:u w:val="none"/>
                  <w:effect w:val="none"/>
                </w:rPr>
                <w:t>Item 4.</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65">
              <w:r>
                <w:rPr>
                  <w:rStyle w:val="InternetLink"/>
                  <w:rFonts w:ascii="Times New Roman;sans-serif" w:hAnsi="Times New Roman;sans-serif"/>
                  <w:b/>
                  <w:strike w:val="false"/>
                  <w:dstrike w:val="false"/>
                  <w:color w:val="000000"/>
                  <w:sz w:val="20"/>
                  <w:u w:val="none"/>
                  <w:effect w:val="non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265">
              <w:r>
                <w:rPr>
                  <w:rStyle w:val="InternetLink"/>
                  <w:rFonts w:ascii="Times New Roman;sans-serif" w:hAnsi="Times New Roman;sans-serif"/>
                  <w:b w:val="false"/>
                  <w:strike w:val="false"/>
                  <w:dstrike w:val="false"/>
                  <w:color w:val="000000"/>
                  <w:sz w:val="20"/>
                  <w:u w:val="none"/>
                  <w:effect w:val="none"/>
                </w:rPr>
                <w:t>72</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779">
              <w:r>
                <w:rPr>
                  <w:rStyle w:val="InternetLink"/>
                  <w:rFonts w:ascii="Times New Roman;sans-serif" w:hAnsi="Times New Roman;sans-serif"/>
                  <w:b/>
                  <w:strike w:val="false"/>
                  <w:dstrike w:val="false"/>
                  <w:color w:val="000000"/>
                  <w:sz w:val="20"/>
                  <w:u w:val="none"/>
                  <w:effect w:val="none"/>
                </w:rPr>
                <w:t>Item 5.</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2779">
              <w:r>
                <w:rPr>
                  <w:rStyle w:val="InternetLink"/>
                  <w:rFonts w:ascii="Times New Roman;sans-serif" w:hAnsi="Times New Roman;sans-serif"/>
                  <w:b/>
                  <w:strike w:val="false"/>
                  <w:dstrike w:val="false"/>
                  <w:color w:val="000000"/>
                  <w:sz w:val="20"/>
                  <w:u w:val="none"/>
                  <w:effect w:val="non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2779">
              <w:r>
                <w:rPr>
                  <w:rStyle w:val="InternetLink"/>
                  <w:rFonts w:ascii="Times New Roman;sans-serif" w:hAnsi="Times New Roman;sans-serif"/>
                  <w:b w:val="false"/>
                  <w:strike w:val="false"/>
                  <w:dstrike w:val="false"/>
                  <w:color w:val="000000"/>
                  <w:sz w:val="20"/>
                  <w:u w:val="none"/>
                  <w:effect w:val="none"/>
                </w:rPr>
                <w:t>73</w:t>
              </w:r>
            </w:hyperlink>
          </w:p>
        </w:tc>
      </w:tr>
      <w:tr>
        <w:trPr/>
        <w:tc>
          <w:tcPr>
            <w:tcW w:w="16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781">
              <w:r>
                <w:rPr>
                  <w:rStyle w:val="InternetLink"/>
                  <w:rFonts w:ascii="Times New Roman;sans-serif" w:hAnsi="Times New Roman;sans-serif"/>
                  <w:b/>
                  <w:strike w:val="false"/>
                  <w:dstrike w:val="false"/>
                  <w:color w:val="000000"/>
                  <w:sz w:val="20"/>
                  <w:u w:val="none"/>
                  <w:effect w:val="none"/>
                </w:rPr>
                <w:t>Item 6.</w:t>
              </w:r>
            </w:hyperlink>
          </w:p>
        </w:tc>
        <w:tc>
          <w:tcPr>
            <w:tcW w:w="8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781">
              <w:r>
                <w:rPr>
                  <w:rStyle w:val="InternetLink"/>
                  <w:rFonts w:ascii="Times New Roman;sans-serif" w:hAnsi="Times New Roman;sans-serif"/>
                  <w:b/>
                  <w:strike w:val="false"/>
                  <w:dstrike w:val="false"/>
                  <w:color w:val="000000"/>
                  <w:sz w:val="20"/>
                  <w:u w:val="none"/>
                  <w:effect w:val="non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781">
              <w:r>
                <w:rPr>
                  <w:rStyle w:val="InternetLink"/>
                  <w:rFonts w:ascii="Times New Roman;sans-serif" w:hAnsi="Times New Roman;sans-serif"/>
                  <w:b w:val="false"/>
                  <w:strike w:val="false"/>
                  <w:dstrike w:val="false"/>
                  <w:color w:val="000000"/>
                  <w:sz w:val="20"/>
                  <w:u w:val="none"/>
                  <w:effect w:val="none"/>
                </w:rPr>
                <w:t>73</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2a5c185076b4780ae6e527206527c6d_784">
              <w:r>
                <w:rPr>
                  <w:rStyle w:val="InternetLink"/>
                  <w:rFonts w:ascii="Times New Roman;sans-serif" w:hAnsi="Times New Roman;sans-serif"/>
                  <w:b w:val="false"/>
                  <w:color w:val="000000"/>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2a5c185076b4780ae6e527206527c6d_784">
              <w:r>
                <w:rPr>
                  <w:rStyle w:val="InternetLink"/>
                  <w:rFonts w:ascii="Times New Roman;sans-serif" w:hAnsi="Times New Roman;sans-serif"/>
                  <w:b w:val="false"/>
                  <w:strike w:val="false"/>
                  <w:dstrike w:val="false"/>
                  <w:color w:val="000000"/>
                  <w:sz w:val="20"/>
                  <w:u w:val="none"/>
                  <w:effect w:val="none"/>
                </w:rPr>
                <w:t>75</w:t>
              </w:r>
            </w:hyperlink>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2a5c185076b4780ae6e527206527c6d_2525">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86"/>
        <w:gridCol w:w="2084"/>
        <w:gridCol w:w="2104"/>
        <w:gridCol w:w="123"/>
        <w:gridCol w:w="123"/>
        <w:gridCol w:w="123"/>
        <w:gridCol w:w="222"/>
        <w:gridCol w:w="837"/>
        <w:gridCol w:w="123"/>
        <w:gridCol w:w="123"/>
        <w:gridCol w:w="123"/>
        <w:gridCol w:w="123"/>
        <w:gridCol w:w="234"/>
        <w:gridCol w:w="883"/>
        <w:gridCol w:w="130"/>
        <w:gridCol w:w="164"/>
      </w:tblGrid>
      <w:tr>
        <w:trPr/>
        <w:tc>
          <w:tcPr>
            <w:tcW w:w="268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15"/>
            <w:tcBorders/>
            <w:tcMar>
              <w:top w:w="0" w:type="dxa"/>
              <w:left w:w="0" w:type="dxa"/>
              <w:bottom w:w="0" w:type="dxa"/>
              <w:right w:w="0" w:type="dxa"/>
            </w:tcMar>
            <w:vAlign w:val="center"/>
          </w:tcPr>
          <w:p>
            <w:pPr>
              <w:pStyle w:val="TableContents"/>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Faraday Future Intelligent Electric Inc.</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 Condensed Consolidated Balance Sheets</w:t>
            </w:r>
          </w:p>
          <w:p>
            <w:pPr>
              <w:pStyle w:val="TableContents"/>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 except share and per share data)</w:t>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net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76,471 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71,881 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348,587 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410,584 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425,400 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accrued expenses and other current liabilities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liabilities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warrant liabilities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accrued interest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liabilities, current portion</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current portion</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notes payable</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188,778 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liabilities, long term portion</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long term portion</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long term portion</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notes payable, long term portion</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call options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derivative call options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270,776 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124,815,625 and 99,815,625 shares authorized; 86,786,748 and 65,919,127 shares issued and outstanding as of March 31, 2025 and December 31, 2024, respectively</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4,429,688 shares authorized; 6,667 shares issued and outstanding as of March 31, 2025 and December 31, 2024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shares authorized; zero and one shares issued and outstanding as of March 31, 2025 and December 31, 2024 respectively</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4,456,374 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4,421,563 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(4,324,624)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(4,314,346)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139,808 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410,584 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425,400 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2525">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 and Comprehensive Loss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679"/>
        <w:gridCol w:w="2289"/>
        <w:gridCol w:w="2308"/>
        <w:gridCol w:w="109"/>
        <w:gridCol w:w="109"/>
        <w:gridCol w:w="109"/>
        <w:gridCol w:w="212"/>
        <w:gridCol w:w="777"/>
        <w:gridCol w:w="116"/>
        <w:gridCol w:w="116"/>
        <w:gridCol w:w="116"/>
        <w:gridCol w:w="116"/>
        <w:gridCol w:w="211"/>
        <w:gridCol w:w="766"/>
        <w:gridCol w:w="172"/>
      </w:tblGrid>
      <w:tr>
        <w:trPr/>
        <w:tc>
          <w:tcPr>
            <w:tcW w:w="267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(20,685)</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on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(43,608)</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notes payable, warrant liabilities, and derivative call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related party notes payable, warrant liabilities, and derivative call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settlement of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settlement of related party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(5,094)</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Per share information (See Note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of Class A and B Common Stock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used in computing net loss per share of Class A and 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75,749,893 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1,837,959 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75,749,893 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1,837,959 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(47,985)</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2a5c185076b4780ae6e527206527c6d_2525">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Faraday Faraday Future Intelligent Electric Inc.</w:t>
      </w:r>
    </w:p>
    <w:p>
      <w:pPr>
        <w:pStyle w:val="TextBody"/>
        <w:bidi w:val="0"/>
        <w:spacing w:lineRule="auto" w:line="288" w:before="0" w:after="0"/>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 of Stockholders’ Equity</w:t>
      </w:r>
    </w:p>
    <w:p>
      <w:pPr>
        <w:pStyle w:val="TextBody"/>
        <w:bidi w:val="0"/>
        <w:spacing w:lineRule="auto" w:line="288" w:before="0" w:after="0"/>
        <w:ind w:left="0" w:right="0" w:hanging="90"/>
        <w:jc w:val="center"/>
        <w:rPr>
          <w:rFonts w:ascii="Times New Roman;sans-serif" w:hAnsi="Times New Roman;sans-serif"/>
          <w:b/>
          <w:i/>
          <w:color w:val="000000"/>
          <w:sz w:val="20"/>
        </w:rPr>
      </w:pPr>
      <w:r>
        <w:rPr>
          <w:rFonts w:ascii="Times New Roman;sans-serif" w:hAnsi="Times New Roman;sans-serif"/>
          <w:b/>
          <w:i/>
          <w:color w:val="000000"/>
          <w:sz w:val="20"/>
        </w:rPr>
        <w:t>(in thousands, except share data)</w:t>
      </w:r>
    </w:p>
    <w:p>
      <w:pPr>
        <w:pStyle w:val="TextBody"/>
        <w:bidi w:val="0"/>
        <w:spacing w:lineRule="auto" w:line="288" w:before="160" w:after="283"/>
        <w:jc w:val="left"/>
        <w:rPr>
          <w:color w:val="000000"/>
        </w:rPr>
      </w:pPr>
      <w:r>
        <w:rPr>
          <w:color w:val="000000"/>
        </w:rPr>
        <w:t>    </w:t>
      </w:r>
    </w:p>
    <w:tbl>
      <w:tblPr>
        <w:tblW w:w="12613" w:type="dxa"/>
        <w:jc w:val="left"/>
        <w:tblInd w:w="0" w:type="dxa"/>
        <w:tblLayout w:type="fixed"/>
        <w:tblCellMar>
          <w:top w:w="28" w:type="dxa"/>
          <w:left w:w="28" w:type="dxa"/>
          <w:bottom w:w="28" w:type="dxa"/>
          <w:right w:w="28" w:type="dxa"/>
        </w:tblCellMar>
      </w:tblPr>
      <w:tblGrid>
        <w:gridCol w:w="544"/>
        <w:gridCol w:w="268"/>
        <w:gridCol w:w="269"/>
        <w:gridCol w:w="109"/>
        <w:gridCol w:w="109"/>
        <w:gridCol w:w="129"/>
        <w:gridCol w:w="129"/>
        <w:gridCol w:w="129"/>
        <w:gridCol w:w="129"/>
        <w:gridCol w:w="130"/>
        <w:gridCol w:w="480"/>
        <w:gridCol w:w="481"/>
        <w:gridCol w:w="196"/>
        <w:gridCol w:w="109"/>
        <w:gridCol w:w="109"/>
        <w:gridCol w:w="109"/>
        <w:gridCol w:w="248"/>
        <w:gridCol w:w="305"/>
        <w:gridCol w:w="138"/>
        <w:gridCol w:w="109"/>
        <w:gridCol w:w="109"/>
        <w:gridCol w:w="109"/>
        <w:gridCol w:w="278"/>
        <w:gridCol w:w="278"/>
        <w:gridCol w:w="196"/>
        <w:gridCol w:w="109"/>
        <w:gridCol w:w="109"/>
        <w:gridCol w:w="109"/>
        <w:gridCol w:w="240"/>
        <w:gridCol w:w="497"/>
        <w:gridCol w:w="134"/>
        <w:gridCol w:w="230"/>
        <w:gridCol w:w="230"/>
        <w:gridCol w:w="231"/>
        <w:gridCol w:w="202"/>
        <w:gridCol w:w="900"/>
        <w:gridCol w:w="114"/>
        <w:gridCol w:w="109"/>
        <w:gridCol w:w="109"/>
        <w:gridCol w:w="109"/>
        <w:gridCol w:w="239"/>
        <w:gridCol w:w="678"/>
        <w:gridCol w:w="134"/>
        <w:gridCol w:w="109"/>
        <w:gridCol w:w="109"/>
        <w:gridCol w:w="109"/>
        <w:gridCol w:w="196"/>
        <w:gridCol w:w="886"/>
        <w:gridCol w:w="109"/>
        <w:gridCol w:w="109"/>
        <w:gridCol w:w="109"/>
        <w:gridCol w:w="109"/>
        <w:gridCol w:w="196"/>
        <w:gridCol w:w="73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1413" w:type="dxa"/>
            <w:gridSpan w:val="6"/>
            <w:tcBorders/>
          </w:tcPr>
          <w:p>
            <w:pPr>
              <w:pStyle w:val="TableContents"/>
              <w:bidi w:val="0"/>
              <w:spacing w:before="0" w:after="283"/>
              <w:jc w:val="left"/>
              <w:rPr>
                <w:sz w:val="4"/>
                <w:szCs w:val="4"/>
              </w:rPr>
            </w:pPr>
            <w:r>
              <w:rPr>
                <w:sz w:val="4"/>
                <w:szCs w:val="4"/>
              </w:rPr>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65,919,127 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4,421,563 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(4,314,346)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notes payable and accrued interest into Class A Common Stock ( Note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20,081,506 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of HSL s.r.l. lawsuit with issuance of Class A Common Stock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RSU vesting net of tax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Chongqing related party debt restructuring (Note 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86,786,748 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4,456,374 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(4,324,624)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240" w:after="283"/>
        <w:jc w:val="left"/>
        <w:rPr/>
      </w:pPr>
      <w:r>
        <w:rPr/>
      </w:r>
    </w:p>
    <w:tbl>
      <w:tblPr>
        <w:tblW w:w="14794" w:type="dxa"/>
        <w:jc w:val="left"/>
        <w:tblInd w:w="0" w:type="dxa"/>
        <w:tblLayout w:type="fixed"/>
        <w:tblCellMar>
          <w:top w:w="28" w:type="dxa"/>
          <w:left w:w="28" w:type="dxa"/>
          <w:bottom w:w="28" w:type="dxa"/>
          <w:right w:w="28" w:type="dxa"/>
        </w:tblCellMar>
      </w:tblPr>
      <w:tblGrid>
        <w:gridCol w:w="544"/>
        <w:gridCol w:w="268"/>
        <w:gridCol w:w="269"/>
        <w:gridCol w:w="109"/>
        <w:gridCol w:w="109"/>
        <w:gridCol w:w="109"/>
        <w:gridCol w:w="109"/>
        <w:gridCol w:w="109"/>
        <w:gridCol w:w="109"/>
        <w:gridCol w:w="109"/>
        <w:gridCol w:w="213"/>
        <w:gridCol w:w="213"/>
        <w:gridCol w:w="220"/>
        <w:gridCol w:w="109"/>
        <w:gridCol w:w="871"/>
        <w:gridCol w:w="109"/>
        <w:gridCol w:w="109"/>
        <w:gridCol w:w="109"/>
        <w:gridCol w:w="435"/>
        <w:gridCol w:w="436"/>
        <w:gridCol w:w="406"/>
        <w:gridCol w:w="109"/>
        <w:gridCol w:w="109"/>
        <w:gridCol w:w="109"/>
        <w:gridCol w:w="289"/>
        <w:gridCol w:w="600"/>
        <w:gridCol w:w="162"/>
        <w:gridCol w:w="195"/>
        <w:gridCol w:w="195"/>
        <w:gridCol w:w="196"/>
        <w:gridCol w:w="365"/>
        <w:gridCol w:w="365"/>
        <w:gridCol w:w="366"/>
        <w:gridCol w:w="109"/>
        <w:gridCol w:w="109"/>
        <w:gridCol w:w="109"/>
        <w:gridCol w:w="196"/>
        <w:gridCol w:w="406"/>
        <w:gridCol w:w="109"/>
        <w:gridCol w:w="109"/>
        <w:gridCol w:w="109"/>
        <w:gridCol w:w="109"/>
        <w:gridCol w:w="196"/>
        <w:gridCol w:w="871"/>
        <w:gridCol w:w="109"/>
        <w:gridCol w:w="109"/>
        <w:gridCol w:w="109"/>
        <w:gridCol w:w="109"/>
        <w:gridCol w:w="196"/>
        <w:gridCol w:w="556"/>
        <w:gridCol w:w="109"/>
        <w:gridCol w:w="109"/>
        <w:gridCol w:w="109"/>
        <w:gridCol w:w="109"/>
        <w:gridCol w:w="196"/>
        <w:gridCol w:w="886"/>
        <w:gridCol w:w="109"/>
        <w:gridCol w:w="109"/>
        <w:gridCol w:w="109"/>
        <w:gridCol w:w="109"/>
        <w:gridCol w:w="196"/>
        <w:gridCol w:w="73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Comprehensive</w:t>
              <w:br/>
              <w: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6660" w:type="dxa"/>
            <w:gridSpan w:val="30"/>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9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tcBorders/>
            <w:tcMar>
              <w:top w:w="0" w:type="dxa"/>
              <w:left w:w="0" w:type="dxa"/>
              <w:bottom w:w="0" w:type="dxa"/>
              <w:right w:w="0" w:type="dxa"/>
            </w:tcMa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1,060,833 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(3,958,499)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notes payable and accrued interest into Class A Common Stock (see Note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2,923,628 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Reverse stock split related round up share issuances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3,984,768 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4,202,141 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2a5c185076b4780ae6e527206527c6d_2525">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Condensed 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9302" w:type="dxa"/>
        <w:jc w:val="left"/>
        <w:tblInd w:w="0" w:type="dxa"/>
        <w:tblLayout w:type="fixed"/>
        <w:tblCellMar>
          <w:top w:w="28" w:type="dxa"/>
          <w:left w:w="28" w:type="dxa"/>
          <w:bottom w:w="28" w:type="dxa"/>
          <w:right w:w="28" w:type="dxa"/>
        </w:tblCellMar>
      </w:tblPr>
      <w:tblGrid>
        <w:gridCol w:w="2222"/>
        <w:gridCol w:w="1949"/>
        <w:gridCol w:w="1963"/>
        <w:gridCol w:w="109"/>
        <w:gridCol w:w="109"/>
        <w:gridCol w:w="109"/>
        <w:gridCol w:w="212"/>
        <w:gridCol w:w="782"/>
        <w:gridCol w:w="118"/>
        <w:gridCol w:w="118"/>
        <w:gridCol w:w="118"/>
        <w:gridCol w:w="118"/>
        <w:gridCol w:w="212"/>
        <w:gridCol w:w="782"/>
        <w:gridCol w:w="118"/>
        <w:gridCol w:w="109"/>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settlement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settlement of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forgiveness of accounts payable and deposits,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HSL s.l.r. settlement adjustment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foreign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notes payable, warrant liabilities, and derivative call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related party notes payable and related party warrant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accrued expenses and 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obligations on lease back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notes payable, net of original issuance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other financial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related party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notes payable and other financing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notes payable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2a5c185076b4780ae6e527206527c6d_2506">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reported within the Unaudited Condensed Consolidated Balance Sheets that aggregate to the total of the same such amounts shown in the Unaudited Condensed Consolidated Statements of Cash Flows:</w:t>
      </w:r>
    </w:p>
    <w:tbl>
      <w:tblPr>
        <w:tblW w:w="5303" w:type="dxa"/>
        <w:jc w:val="center"/>
        <w:tblInd w:w="0" w:type="dxa"/>
        <w:tblLayout w:type="fixed"/>
        <w:tblCellMar>
          <w:top w:w="28" w:type="dxa"/>
          <w:left w:w="28" w:type="dxa"/>
          <w:bottom w:w="28" w:type="dxa"/>
          <w:right w:w="28" w:type="dxa"/>
        </w:tblCellMar>
      </w:tblPr>
      <w:tblGrid>
        <w:gridCol w:w="732"/>
        <w:gridCol w:w="645"/>
        <w:gridCol w:w="648"/>
        <w:gridCol w:w="109"/>
        <w:gridCol w:w="109"/>
        <w:gridCol w:w="109"/>
        <w:gridCol w:w="293"/>
        <w:gridCol w:w="833"/>
        <w:gridCol w:w="163"/>
        <w:gridCol w:w="109"/>
        <w:gridCol w:w="109"/>
        <w:gridCol w:w="109"/>
        <w:gridCol w:w="289"/>
        <w:gridCol w:w="819"/>
        <w:gridCol w:w="227"/>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38"/>
        <w:gridCol w:w="2313"/>
        <w:gridCol w:w="2325"/>
        <w:gridCol w:w="109"/>
        <w:gridCol w:w="109"/>
        <w:gridCol w:w="109"/>
        <w:gridCol w:w="224"/>
        <w:gridCol w:w="739"/>
        <w:gridCol w:w="124"/>
        <w:gridCol w:w="124"/>
        <w:gridCol w:w="124"/>
        <w:gridCol w:w="124"/>
        <w:gridCol w:w="224"/>
        <w:gridCol w:w="739"/>
        <w:gridCol w:w="180"/>
      </w:tblGrid>
      <w:tr>
        <w:trPr/>
        <w:tc>
          <w:tcPr>
            <w:tcW w:w="2638"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2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Additions of property and equipment included in accounts payable and accrued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Settlement of HSL s.l.r. liability in Class A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related party notes payable and accrued interest into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warrants with the SPA Portfolio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1.Nature of Business and Organization,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Nature of Business and Organization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requires otherwise, references herein to the “Company,” “FFIE,” “FFAI,” “Faraday” “we,” “us,” and “our” mean Faraday Future Intelligent Electric Inc. and its wholly-owned subsidiaries, and controlled and managed entities.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holding company incorporated in the State of Delaware on February 11, 2020, conducts its operations through its subsidiaries and is headquartered in 18455 S. Figueroa Street, Gardena, CA 90248.</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and designs and engineers next-generation, intelligent, electric vehicles. The Company manufactures its vehicles at its production facility in Hanford, California, known as “FF ieFactory California” and has additional engineering, sales, and operations capabilities in China. The Company has created innovations in technology, products, and a user-centered business model that are being incorporated into its planned electric vehicle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68" w:before="0" w:after="0"/>
        <w:ind w:left="0" w:right="0" w:firstLine="540"/>
        <w:jc w:val="both"/>
        <w:rPr/>
      </w:pPr>
      <w:r>
        <w:rPr>
          <w:rFonts w:ascii="Times New Roman;sans-serif" w:hAnsi="Times New Roman;sans-serif"/>
          <w:b w:val="false"/>
          <w:color w:val="000000"/>
          <w:sz w:val="20"/>
        </w:rPr>
        <w:t xml:space="preserve">The Unaudited Condensed Consolidated Financial Statements have been prepared in conformity with accounting principles generally accepted in the U.S. (“GAAP”) and include the accounts of the Company, its wholly-owned subsidiaries and all other entities in which the Company has a controlling financial interest, including the accounts of any variable interest entity, in which the Company has a controlling financial interest and for which it is the primary beneficiary in accordance with Accounting Standards Codification (“ASC”) 810, </w:t>
      </w:r>
      <w:r>
        <w:rPr>
          <w:rFonts w:ascii="Times New Roman;sans-serif" w:hAnsi="Times New Roman;sans-serif"/>
          <w:b w:val="false"/>
          <w:i/>
          <w:color w:val="000000"/>
          <w:sz w:val="20"/>
        </w:rPr>
        <w:t>Consolidation</w:t>
      </w:r>
      <w:r>
        <w:rPr>
          <w:color w:val="000000"/>
        </w:rPr>
        <w:t xml:space="preserve"> </w:t>
      </w:r>
      <w:r>
        <w:rPr>
          <w:rFonts w:ascii="Times New Roman;sans-serif" w:hAnsi="Times New Roman;sans-serif"/>
          <w:b w:val="false"/>
          <w:color w:val="000000"/>
          <w:sz w:val="20"/>
        </w:rPr>
        <w:t>(“ASC 810”). All intercompany transactions and balances have been eliminated upon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do not include all disclosures that are normally included in the Annual audited financial statements prepared in accordance with GAAP and should be read in conjunction with the Company’s Audited Consolidated Financial Statements and notes thereto for the year ended December 31, 2024, included in the Company’s Annual Report on Form 10-K filed with the U.S. Securities and Exchange Commission (“SEC”) on March 31, 2025, (the “Form 10-K”). Accordingly, the Unaudited Condensed Consolidated Balance Sheet as of March 31, 2025, has been derived from the Company’s Annual audited Consolidated Financial Statements but does not contain all of the footnote disclosures from the annual financial statements. The Company believes that the disclosures included in this Quarterly Report on Form 10-Q (this “Form 10-Q”) are adequate to make the information presented not misleading.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Unaudited Condensed Consolidated Financial Statements contain all adjustments, consisting of only normal recurring adjustments, necessary for a fair statement of its financial position, results of operations, and cash flows for the periods presented. The accounting policies used in the preparation of these Unaudited Condensed Consolidated Financial Statements are the same as those disclosed in the audited Consolidated Financial Statement for the year ended December 31, 2024, included in the Form 10-K, except as described below.</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reporting period is the calendar year. The results of operations for the three months ended March 31, 2025 are not necessarily indicative of the results to be expected for the 2025 full year or any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 and Judgments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Company’s Unaudited Condensed Consolidated Financial Statements in conformity with GAAP and in accordance with the rules and regulations of the SEC requires management to make estimates and assumptions which affect the reported amounts in the Unaudited Condensed Consolidated Financial Statements.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are based on historical experience, where applicable, and other assumptions which management believes are reasonable under the circumstances. On an ongoing basis management evaluates its estimates, including those related to the: (i) recognition and disclosure of contingent liabilities, including litigation reserves; (ii) fair value of related party notes payable and notes payable; (iii) calculations for evaluating potential long-term asset impairment; and (iv) valuation of warrants and other derivative instruments.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Given the global economic climate, estimates are subject to additional volatility. As of the date of filing the Company’s Unaudited Condensed Consolidated Financial Statements on this Form 10-Q with the SEC for the period ended March 31, 2025, the Company is not aware of any specific event or circumstance that would require an update to its estimates or judgments or to revise the carrying value of its assets or liabilities. However, these estimates and judgments may change as new events occur and additional information is obtained, which may result in changes being recognized in the Company’s Unaudited Condensed Consolidated Financial Statements in future periods. Actual results could differ from those estimates and any such differences may have a material impact on the Company’s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Reverse Stock Splits and Recasting of Per-Share Amounts</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2024, the Board approved the implementation of a 1-for-40 reverse stock split (the “Third Reverse Stock Split”) of the Common Stock and set the number of authorized shares of Common Stock to 104,245,313. The Third Reverse Stock Split was effected after market close on August 16, 2024, and shares of the Class A Common Stock par value $0.0001 per share and the Public Warrants began trading on a split-adjusted basis as of market open on August 19, 2024. </w:t>
      </w: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All shares of Common Stock, Public Warrants, stock-based compensation awards, earnout shares and per share amounts contained in the Unaudited Condensed Consolidated Financial Statements and accompanying notes have been retroactively adjusted to reflect the Reverse Stock Split, Second Reverse Stock Split and the Third Reverse Stock Split. In addition, proportionate adjustments were made to the number of shares of Class A Common Stock issuable upon exercise or conversion of the Company’s outstanding convertible debt securities and warrants, as well as the applicable exercise or conversion prices. See Note 12,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 xml:space="preserve">, and Note 13,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 xml:space="preserve">, for further discussion regarding the Reverse Stock Split, the Second Reverse Stock Split, and the Third Reverse Stock Split.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Segments</w:t>
      </w:r>
    </w:p>
    <w:p>
      <w:pPr>
        <w:pStyle w:val="TextBody"/>
        <w:bidi w:val="0"/>
        <w:spacing w:lineRule="auto" w:line="268" w:before="0" w:after="0"/>
        <w:ind w:left="0" w:right="0" w:firstLine="504"/>
        <w:jc w:val="both"/>
        <w:rPr/>
      </w:pPr>
      <w:r>
        <w:rPr>
          <w:rFonts w:ascii="Times New Roman;sans-serif" w:hAnsi="Times New Roman;sans-serif"/>
          <w:b w:val="false"/>
          <w:color w:val="000000"/>
          <w:sz w:val="20"/>
          <w:shd w:fill="FFFFFF" w:val="clear"/>
        </w:rPr>
        <w:t>The Company operates in one operating segment and one reportable segment. T</w:t>
      </w:r>
      <w:r>
        <w:rPr>
          <w:rFonts w:ascii="Times New Roman;sans-serif" w:hAnsi="Times New Roman;sans-serif"/>
          <w:b w:val="false"/>
          <w:color w:val="000000"/>
          <w:sz w:val="20"/>
        </w:rPr>
        <w:t xml:space="preserve">he Company’s two Global Co-Chief Executive Officers (“Global Co-CEOs”), acting jointly serving as Co-Chief Operating Decision Makers (“CODMs”), regularly evaluate the Company’s financial performance using consolidated financial information at the total-company level. The CODMs receive regular financial and operational reporting that focuses primarily on the Company's consolidated loss from operations, overall cash flows, liquidity, and strategic initiatives.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Management has identified Loss from operations, as presented in the Company's Unaudited Condensed Consolidated Statements of Operations and Comprehensive Loss, as the primary measure used by the CODMs to evaluate the performance of the business and allocate resources. </w:t>
      </w:r>
      <w:r>
        <w:rPr>
          <w:rFonts w:ascii="Times New Roman;sans-serif" w:hAnsi="Times New Roman;sans-serif"/>
          <w:b w:val="false"/>
          <w:color w:val="000000"/>
          <w:sz w:val="20"/>
          <w:shd w:fill="FFFFFF" w:val="clear"/>
        </w:rPr>
        <w:t xml:space="preserve">This measure is critical for a going concern that must carefully manage its cash outflows, particularly given that the timing of its cash inflows is influenced by external investor decisions. The Company defines “significant segment expense” as controllable operating costs that are regularly provided to and reviewed by management, which include the expenses presented in the </w:t>
      </w:r>
      <w:r>
        <w:rPr>
          <w:rFonts w:ascii="Times New Roman;sans-serif" w:hAnsi="Times New Roman;sans-serif"/>
          <w:b w:val="false"/>
          <w:color w:val="000000"/>
          <w:sz w:val="20"/>
        </w:rPr>
        <w:t>Unaudited Condensed Consolidated Statements of Operations and Comprehensive Loss as</w:t>
      </w:r>
      <w:r>
        <w:rPr>
          <w:color w:val="000000"/>
          <w:shd w:fill="FFFFFF" w:val="clear"/>
        </w:rPr>
        <w:t xml:space="preserve"> </w:t>
      </w:r>
      <w:r>
        <w:rPr>
          <w:rFonts w:ascii="Times New Roman;sans-serif" w:hAnsi="Times New Roman;sans-serif"/>
          <w:b w:val="false"/>
          <w:color w:val="000000"/>
          <w:sz w:val="20"/>
        </w:rPr>
        <w:t xml:space="preserve">Cost of revenue, Research and development, Sales and marketing, and General and administrative.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Management closely tracks its expenditure on these key expense categories through regular reviews of cash balances, near</w:t>
        <w:noBreakHyphen/>
        <w:t xml:space="preserve">term cash flow projections, monthly management reports, and project management reports. The CODMs, work in close collaboration with the Company’s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rigorous oversight supports the Company’s strategic objectives to focus </w:t>
      </w:r>
      <w:r>
        <w:rPr>
          <w:rFonts w:ascii="Times New Roman;sans-serif" w:hAnsi="Times New Roman;sans-serif"/>
          <w:b w:val="false"/>
          <w:color w:val="000000"/>
          <w:sz w:val="20"/>
        </w:rPr>
        <w:t xml:space="preserve">business activities on production, sales, and leasing of its FF 91 vehicles, </w:t>
      </w:r>
      <w:r>
        <w:rPr>
          <w:rFonts w:ascii="Times New Roman;sans-serif" w:hAnsi="Times New Roman;sans-serif"/>
          <w:b w:val="false"/>
          <w:color w:val="000000"/>
          <w:sz w:val="20"/>
          <w:shd w:fill="FFFFFF" w:val="clear"/>
        </w:rPr>
        <w:t>and the planned launch of the FX Series vehicles.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In addition, the Company defines “other segment items” </w:t>
      </w:r>
      <w:r>
        <w:rPr>
          <w:rFonts w:ascii="Times New Roman;sans-serif" w:hAnsi="Times New Roman;sans-serif"/>
          <w:b w:val="false"/>
          <w:color w:val="000000"/>
          <w:sz w:val="20"/>
        </w:rPr>
        <w:t>as other operating expense adjustments that arise from lease or other impairments, gains and losses on the sale or disposition of its fixed assets, or other market</w:t>
        <w:noBreakHyphen/>
        <w:t>driven factors that impact Loss from operations presented in the Unaudited Condensed Consolidated Statements of Operations and Comprehensive Loss and are not part of the Company’s recurring and controllable operating costs</w:t>
      </w:r>
      <w:r>
        <w:rPr>
          <w:rFonts w:ascii="Times New Roman;sans-serif" w:hAnsi="Times New Roman;sans-serif"/>
          <w:b w:val="false"/>
          <w:color w:val="000000"/>
          <w:sz w:val="20"/>
          <w:shd w:fill="FFFFFF" w:val="clear"/>
        </w:rPr>
        <w:t>. By segregating these “Other Segment Items” from “Loss from operations,” the Company provides investors with a clear view of the expenses that management can directly influence versus those driven by external factors.</w:t>
      </w:r>
      <w:r>
        <w:rPr>
          <w:color w:val="000000"/>
        </w:rPr>
        <w:t xml:space="preserve">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potentially reportable items, such as separate automotive sales and leasing revenues (currently immaterial), geographic information, depreciation expense, interest expense, or other segment-specific activities, are not separately reviewed by the CODMs. Accordingly, these detailed segment components do not influence the CODMs’ decision-making or resource allocation processes and thus are not separately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are stated at cost less accumulated depreciation and amortization. Expenditures for major renewals and betterments are capitalized, while minor replacements, maintenance and repairs, which do not extend the assets lives, are charged to operating expense as incurred. Upon sale or disposition, the cost and related accumulated depreciation or amortization are removed from the Unaudited Condensed Consolidated Balance Sheets and any gain or loss is included in the Unaudited Condensed Consolidated Statements of Operations and Comprehensive Loss. </w:t>
      </w:r>
    </w:p>
    <w:p>
      <w:pPr>
        <w:pStyle w:val="TextBody"/>
        <w:bidi w:val="0"/>
        <w:spacing w:lineRule="auto" w:line="288" w:before="160" w:after="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on property and equipment is calculated using the straight-line method over the estimated useful lives of the assets and for leasehold improvements, over the term of the lease, if shorter.</w:t>
      </w:r>
    </w:p>
    <w:tbl>
      <w:tblPr>
        <w:tblW w:w="4334" w:type="dxa"/>
        <w:jc w:val="left"/>
        <w:tblInd w:w="0" w:type="dxa"/>
        <w:tblLayout w:type="fixed"/>
        <w:tblCellMar>
          <w:top w:w="28" w:type="dxa"/>
          <w:left w:w="28" w:type="dxa"/>
          <w:bottom w:w="28" w:type="dxa"/>
          <w:right w:w="28" w:type="dxa"/>
        </w:tblCellMar>
      </w:tblPr>
      <w:tblGrid>
        <w:gridCol w:w="951"/>
        <w:gridCol w:w="834"/>
        <w:gridCol w:w="840"/>
        <w:gridCol w:w="500"/>
        <w:gridCol w:w="500"/>
        <w:gridCol w:w="709"/>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Useful Life </w:t>
              <w:br/>
              <w:t>(in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 improvements</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hardware</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Tooling, machinery, and equipment</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 to 10</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vehicles</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Shorter of 15 years or</w:t>
            </w:r>
          </w:p>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term of the lease</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process (“CIP”) consists of the construction activities related to the FF ieFactory California production facility in plant and tooling, machinery and equipment being built to serve the manufacturing of production vehicles. These assets are depreciated once put into service.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capitalized in CIP that are held at vendor sites relate to the completed portion of work-in-progress of tooling, machinery and equipment built based on the Company’s specific needs. The Company may incur storage fees or interest fees related to CIP which are expensed as incurred. CIP is presented within Property, Plant, and Equipment, Net 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Impairment of Long-Lived Assets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its long-lived assets, consisting primarily of property and equipment and right-of-use assets (“ROU”), for impairment whenever events or changes in circumstances indicate that the carrying amount of an asset (or asset groups) may not be recoverable.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 assets carrying values. If the carrying value of the assets exceeds the forecasted undiscounted cash flows, then the assets are written down to their fair value. Assets classified as held for sale are also assessed for impairment and such amounts are determined at the lower of the carrying amount or fair value, less costs to sell the asset.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During 2024, the Company recorded an impairment charge related to its right-of-use assets. See Note 10,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for further details. No other impairment charges for long-lived assets were recorded during the quarters ended March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160" w:after="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disaggregates our revenue by major source: </w:t>
      </w:r>
    </w:p>
    <w:tbl>
      <w:tblPr>
        <w:tblW w:w="5322" w:type="dxa"/>
        <w:jc w:val="left"/>
        <w:tblInd w:w="0" w:type="dxa"/>
        <w:tblLayout w:type="fixed"/>
        <w:tblCellMar>
          <w:top w:w="28" w:type="dxa"/>
          <w:left w:w="28" w:type="dxa"/>
          <w:bottom w:w="28" w:type="dxa"/>
          <w:right w:w="28" w:type="dxa"/>
        </w:tblCellMar>
      </w:tblPr>
      <w:tblGrid>
        <w:gridCol w:w="978"/>
        <w:gridCol w:w="860"/>
        <w:gridCol w:w="861"/>
        <w:gridCol w:w="284"/>
        <w:gridCol w:w="611"/>
        <w:gridCol w:w="158"/>
        <w:gridCol w:w="158"/>
        <w:gridCol w:w="158"/>
        <w:gridCol w:w="158"/>
        <w:gridCol w:w="284"/>
        <w:gridCol w:w="589"/>
        <w:gridCol w:w="223"/>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 sales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 leasing - Sales type</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Automotive leasing - Operating type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Automotive Sales Revenue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began the production of its first vehicle the FF 91 Futurist (the “FF 91,” “FF 91 Futurist”, or “FF 91 2.0 Futurist Alliance”) in March 2023 and started making deliveries to customers in August 2023.</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recognizes automotive sales revenue in accordance with ASC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 xml:space="preserve">Automotive sales revenue includes cash deliveries of new vehicles, and specific other features and services including home charger, charger installation, twenty-four-seven roadside assistance, over-the-air (“OTA”) software updates, internet connectivity and destination fees that meet the definition of a performance obligation under ASC 606.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when control of the vehicle transfers upon delivery to the customer. Payments are typically received at the point control transfers or according to payment terms customary to the business as specified in the sales contract. Vehicle contracts do not contain a significant financing component. For obligations related to automotive sales, transaction prices are allocated among performance obligations based on relative standalone selling prices, determined using market prices, estimated internal costs, and comparable third-party offerings. The transaction price is allocated among the performance obligations in proportion to the standalone selling price of its performance obligations.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features and services as discussed above are provisioned upon transfer of control of the vehicle and are required to be recognized on a straight-line basis over the performance period, as the Company has a stand-ready obligation to deliver such services to the customer. However, due to immateriality, revenue from other features and services are combined with the vehicle performance obligation and recognized upon the transfer of the vehicle.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Company provides certain customers with a residual value guarantee which may or may not be exercised in the future. Residual value guarantees provided to customers had an immaterial impact on revenue for the </w:t>
      </w:r>
      <w:r>
        <w:rPr>
          <w:rFonts w:ascii="Times New Roman;sans-serif" w:hAnsi="Times New Roman;sans-serif"/>
          <w:b w:val="false"/>
          <w:color w:val="000000"/>
          <w:sz w:val="20"/>
        </w:rPr>
        <w:t>three months ended March 31, 2025 and 2024</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Automotive Leasing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left"/>
        <w:rPr/>
      </w:pPr>
      <w:r>
        <w:rPr>
          <w:rFonts w:ascii="Times New Roman;sans-serif" w:hAnsi="Times New Roman;sans-serif"/>
          <w:b w:val="false"/>
          <w:color w:val="000000"/>
          <w:sz w:val="20"/>
        </w:rPr>
        <w:t xml:space="preserve">The Company accounts for its automotive leasing revenue program under ASC 606 and ASC Topic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(“ASC 842”).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u w:val="single"/>
        </w:rPr>
        <w:t>Operating Leasing Program</w:t>
      </w:r>
      <w:r>
        <w:rPr>
          <w:rFonts w:ascii="Times New Roman;sans-serif" w:hAnsi="Times New Roman;sans-serif"/>
          <w:b w:val="false"/>
          <w:color w:val="000000"/>
          <w:sz w:val="20"/>
        </w:rPr>
        <w:t>: The Company offers a vehicle operating leasing program in the U.S., allowing qualifying customers to lease a vehicle directly from the Company for a lease term of up to 36 months. At the end of the lease term, customers are generally required to return the vehicle to the Company, at which point the Company may either sell or re-lease the returned vehicle. Leasing revenue from operating leases is recognized on a straight-line basis over the lease term, as long as collectability is probable in accordance with ASC 842. If collectability of lease payments is not probable at lease commencement, lease income is recognized on a cash basis, meaning payments received are recorded as revenue only when collected. Depreciation expense related to leased vehicles is recorded in cost of automotive leasing revenue on a straight-line basis over the lease term, reflecting the expected residual value of the vehicles at lease termination. Upfront payments related to lease agreements are deferred and recognized as revenue on a straight-line basis over the respective lease term. Taxes collected from customers in connection with automotive leasing transactions are excluded from the transaction price and reported separately in accordance with ASC 606.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u w:val="single"/>
        </w:rPr>
        <w:t>Sales-Type Leasing Program</w:t>
      </w:r>
      <w:r>
        <w:rPr>
          <w:rFonts w:ascii="Times New Roman;sans-serif" w:hAnsi="Times New Roman;sans-serif"/>
          <w:b w:val="false"/>
          <w:color w:val="000000"/>
          <w:sz w:val="20"/>
        </w:rPr>
        <w:t>: The Company enters into sales-type lease arrangements in accordance with ASC 842, under which customers generally have the option to purchase the leased vehicle at the end of the lease term, which is typically 36 months. The lease is classified as a sales-type lease when the Company concludes that the customer is reasonably certain to exercise the purchase option and, as a result, the Company expects the customer to obtain title to the vehicle upon completion of all contractual payments. At lease commencement, if collectability of the lease payments is probable, the Company derecognizes the leased vehicle and recognizes: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Automotive leasing revenue for the present value of lease payments and any guaranteed residual value; and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Automotive leasing cost of revenue for the carrying value of the leased vehicle.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collectability is not deemed probable at lease commencement, revenue recognition is deferred, and lease payments received are recorded as a deposit liability. The leased vehicle remains on the Company’s balance sheet until collectability becomes probable, at which point revenue recognition is triggered.</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 net investment in sales-type leases, which includes both the lease receivable and the unguaranteed residual asset. The unguaranteed residual asset represents the estimated fair value of the leased vehicle at the end of the lease term that is not guaranteed by the lessee or any third party. As of March 31, 2025, the carrying amount of unguaranteed residual assets included in the net investment in sales-type leases, and presented within accounts receivable, was approximately $0.3 million. The estimate of unguaranteed residual value reflects management’s judgment, informed by historical residual value experience, current market conditions, and the anticipated future utility of the leased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Co-creation Arrangements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Company’s Futurist Product Officers (“FPO”) Co-Creation Delivery program, which began in August 2023, the Company has entered into co-creation agreements with certain customers. This arrangement leverages select sales and leasing customers to provide valuable driving data, insights, marketing, and brand awareness for the FF 91 vehicle. In exchange for these services, the Company compensates customers through either a monthly consulting fee or a discount on their lease payments. The services provided are considered distinct and could be purchased separately from a third party.</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Management conducted a detailed evaluation of each customer’s services under the co-creation agreement, established relevant data points, and assigned a fair value to the services provided. Any payments exceeding the fair value of these services are treated as consideration paid to the customer and recorded as a reduction of revenue. For the three months ended March 31, 2025 and 2024, the Company recognized </w:t>
      </w:r>
      <w:r>
        <w:rPr>
          <w:rFonts w:ascii="Times New Roman;sans-serif" w:hAnsi="Times New Roman;sans-serif"/>
          <w:b w:val="false"/>
          <w:color w:val="000000"/>
          <w:sz w:val="20"/>
          <w:shd w:fill="FFFFFF" w:val="clear"/>
        </w:rPr>
        <w:t>$0</w:t>
      </w:r>
      <w:r>
        <w:rPr>
          <w:color w:val="000000"/>
        </w:rPr>
        <w:t xml:space="preserve"> </w:t>
      </w:r>
      <w:r>
        <w:rPr>
          <w:rFonts w:ascii="Times New Roman;sans-serif" w:hAnsi="Times New Roman;sans-serif"/>
          <w:b w:val="false"/>
          <w:color w:val="000000"/>
          <w:sz w:val="20"/>
        </w:rPr>
        <w:t xml:space="preserve">in co-creation fees as a reduction of revenue in the Unaudited Condensed Consolidated Statements of Operations and Comprehensive Loss. Additionally, the Company recorded </w:t>
      </w:r>
      <w:r>
        <w:rPr>
          <w:rFonts w:ascii="Times New Roman;sans-serif" w:hAnsi="Times New Roman;sans-serif"/>
          <w:b w:val="false"/>
          <w:color w:val="000000"/>
          <w:sz w:val="20"/>
          <w:shd w:fill="FFFFFF" w:val="clear"/>
        </w:rPr>
        <w:t>$0.14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$0.16 million</w:t>
      </w:r>
      <w:r>
        <w:rPr>
          <w:color w:val="000000"/>
        </w:rPr>
        <w:t xml:space="preserve"> </w:t>
      </w:r>
      <w:r>
        <w:rPr>
          <w:rFonts w:ascii="Times New Roman;sans-serif" w:hAnsi="Times New Roman;sans-serif"/>
          <w:b w:val="false"/>
          <w:color w:val="000000"/>
          <w:sz w:val="20"/>
        </w:rPr>
        <w:t>in co-creation fees as marketing expenses for the same periods. Co-creation fees related to R&amp;D were considered immaterial and were included in Sales and marketing expenses 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Customer Deposits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Company’s customers may reserve a vehicl</w:t>
      </w:r>
      <w:r>
        <w:rPr>
          <w:rFonts w:ascii="Times New Roman;sans-serif" w:hAnsi="Times New Roman;sans-serif"/>
          <w:b w:val="false"/>
          <w:color w:val="000000"/>
          <w:sz w:val="20"/>
          <w:shd w:fill="FFFFFF" w:val="clear"/>
        </w:rPr>
        <w:t>e and preorder certain services by making a customer deposit, which is fully refundable at any time. Refundable deposits, for vehicle reservations and services, received from customers prior to an executed vehicle purchase agreement are recorded as customer deposits within Accrued expenses and other current liabilities on the Company’s Unaudited Condensed Consolidated Balance Sheets. Customer deposits we</w:t>
      </w:r>
      <w:r>
        <w:rPr>
          <w:rFonts w:ascii="Times New Roman;sans-serif" w:hAnsi="Times New Roman;sans-serif"/>
          <w:b w:val="false"/>
          <w:color w:val="000000"/>
          <w:sz w:val="20"/>
        </w:rPr>
        <w:t xml:space="preserve">re $3.0 million </w:t>
      </w:r>
      <w:r>
        <w:rPr>
          <w:rFonts w:ascii="Times New Roman;sans-serif" w:hAnsi="Times New Roman;sans-serif"/>
          <w:b w:val="false"/>
          <w:color w:val="000000"/>
          <w:sz w:val="20"/>
          <w:shd w:fill="FFFFFF" w:val="clear"/>
        </w:rPr>
        <w:t xml:space="preserve">and $3.0 million as of March 31, 2025 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respectively. </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Deferred Revenue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When vehicle purchase agreements are executed, the consideration for the vehicle and any accompanying products and services must be paid in advance before the transfer of products or se</w:t>
      </w:r>
      <w:r>
        <w:rPr>
          <w:rFonts w:ascii="Times New Roman;sans-serif" w:hAnsi="Times New Roman;sans-serif"/>
          <w:b w:val="false"/>
          <w:color w:val="000000"/>
          <w:sz w:val="20"/>
        </w:rPr>
        <w:t>rvices by the Company. Unlike customer deposits, which are refundable, these advance payments are non-refundable. The Company recognizes revenue when control of the vehicle or related services transfers to the customer and defers revenue only when payments are received for undelivered products or services. Deferred revenue represents the total transaction price allocated to performance obligations that remain unsatisfied or partially unsatisfied as of the balance sheet date. As of March 31, 2025 and December 31, 2024 d</w:t>
      </w:r>
      <w:r>
        <w:rPr>
          <w:rFonts w:ascii="Times New Roman;sans-serif" w:hAnsi="Times New Roman;sans-serif"/>
          <w:b w:val="false"/>
          <w:color w:val="000000"/>
          <w:sz w:val="20"/>
          <w:shd w:fill="FFFFFF" w:val="clear"/>
        </w:rPr>
        <w:t>eferred revenue related to products and services w</w:t>
      </w:r>
      <w:r>
        <w:rPr>
          <w:rFonts w:ascii="Times New Roman;sans-serif" w:hAnsi="Times New Roman;sans-serif"/>
          <w:b w:val="false"/>
          <w:color w:val="000000"/>
          <w:sz w:val="20"/>
        </w:rPr>
        <w:t>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Automotive Sales Revenue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and other revenue includes costs associated with providing non-warranty after-sales services, costs for retail merchandise, and costs to provide vehicle insurance. Cost of services and other revenue also includes direct parts and material. Cost of services and other revenue was immaterial for the three months ended March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Automotive Leasing Program</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automotive leasing revenue includes the depreciation of operating lease vehicles, cost of goods sold associated with direct sales-type leases and warranty expenses related to leased vehicles.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Warranties</w:t>
      </w:r>
    </w:p>
    <w:p>
      <w:pPr>
        <w:pStyle w:val="TextBody"/>
        <w:bidi w:val="0"/>
        <w:spacing w:lineRule="auto" w:line="288" w:before="160" w:after="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the Company continues to manufacture and sell more vehicles it will reassess and evaluate its warranty claims for purposes of its warranty accrual. </w:t>
      </w:r>
    </w:p>
    <w:tbl>
      <w:tblPr>
        <w:tblW w:w="5515" w:type="dxa"/>
        <w:jc w:val="left"/>
        <w:tblInd w:w="0" w:type="dxa"/>
        <w:tblLayout w:type="fixed"/>
        <w:tblCellMar>
          <w:top w:w="28" w:type="dxa"/>
          <w:left w:w="28" w:type="dxa"/>
          <w:bottom w:w="28" w:type="dxa"/>
          <w:right w:w="28" w:type="dxa"/>
        </w:tblCellMar>
      </w:tblPr>
      <w:tblGrid>
        <w:gridCol w:w="1048"/>
        <w:gridCol w:w="922"/>
        <w:gridCol w:w="924"/>
        <w:gridCol w:w="282"/>
        <w:gridCol w:w="606"/>
        <w:gridCol w:w="156"/>
        <w:gridCol w:w="156"/>
        <w:gridCol w:w="156"/>
        <w:gridCol w:w="156"/>
        <w:gridCol w:w="282"/>
        <w:gridCol w:w="606"/>
        <w:gridCol w:w="221"/>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warranty- beginning of period</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warranty</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costs incurred</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warranty- end of period</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using the asset and liability method, under which deferred tax assets and liabilities are recognized for temporary differences between the financial reporting and income tax bases of assets and liabilities. Deferred tax assets and liabilities are measured using enacted tax rates expected to apply in the years when those temporary differences are anticipated to reverse.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established if it is more likely than not that some or all of the deferred tax assets will not be realized. The carrying value of deferred tax assets is adjusted to reflect the amount that is more likely than not to be realized. As of March 31, 2025 and December 31, 2024, the Company maintained a full valuation allowance against its net deferred tax assets, based on the conclusion that it is more likely than not the assets will not be realized.</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Company applies the guidance in ASC 740-10,</w:t>
      </w:r>
      <w:r>
        <w:rPr>
          <w:color w:val="000000"/>
        </w:rPr>
        <w:t xml:space="preserve">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to account for uncertain tax positions. This guidance requires a two-step approach: (1) determine whether it is more likely than not that a tax position will be sustained upon examination, including resolution of any related appeals or litigation; and (2) measure the tax benefit as the largest amount that is more likely than not to be realized upon settlement. The Company evaluates its tax positions based on a number of factors and may update its assessments as facts and circumstances change.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federal jurisdiction, the state of California, and China. The income tax provision for each period represents the aggregate estimated tax expense or benefit for these jurisdictions.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income tax provision had a </w:t>
      </w:r>
      <w:r>
        <w:rPr>
          <w:rFonts w:ascii="Times New Roman;sans-serif" w:hAnsi="Times New Roman;sans-serif"/>
          <w:b w:val="false"/>
          <w:color w:val="000000"/>
          <w:sz w:val="20"/>
          <w:shd w:fill="FFFFFF" w:val="clear"/>
        </w:rPr>
        <w:t>$10 thousand</w:t>
      </w:r>
      <w:r>
        <w:rPr>
          <w:color w:val="000000"/>
        </w:rPr>
        <w:t xml:space="preserve"> </w:t>
      </w:r>
      <w:r>
        <w:rPr>
          <w:rFonts w:ascii="Times New Roman;sans-serif" w:hAnsi="Times New Roman;sans-serif"/>
          <w:b w:val="false"/>
          <w:color w:val="000000"/>
          <w:sz w:val="20"/>
        </w:rPr>
        <w:t xml:space="preserve">impact for the three months ended March 31, 2025, and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impact for the three months ended March 31, 2024, on the Unaudited Condensed Consolidated Statements of Operations and Comprehensive Loss. The Company recognizes interest and penalties on unrecognized tax benefits as a component of income tax expense. There were no material interest or penalties for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early 2025, the Financial Accounting Standards Board (“FASB”) issued several ASUs to enhance financial reporting and provide clearer guidance on various accounting topics. As a December 31 year-end filer and a Smaller Reporting Company (“SRC”), the Company is required to adopt these ASUs in accordance with the effective dates applicable to SRCs. The Company is currently evaluating the impact of these ASUs on the Company’s financial statements and related disclosures. Below is a summary of these ASUs: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not yet adopted</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This ASU enhances the transparency of income tax disclosures by requiring more detailed information about the rate reconciliation and income taxes paid, disaggregated by jurisdiction. This update is effective for the Company beginning January 1, 2026, and will first apply to the Company’s December 31, 2026, Form 10-K, with early adoption permitted.</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In December 2024, the FASB issued ASU 2025-01,</w:t>
      </w:r>
      <w:r>
        <w:rPr>
          <w:color w:val="000000"/>
        </w:rPr>
        <w:t xml:space="preserve"> </w:t>
      </w:r>
      <w:r>
        <w:rPr>
          <w:rFonts w:ascii="Times New Roman;sans-serif" w:hAnsi="Times New Roman;sans-serif"/>
          <w:b w:val="false"/>
          <w:i/>
          <w:color w:val="000000"/>
          <w:sz w:val="20"/>
        </w:rPr>
        <w:t>Income Statement—Reporting Comprehensive Income—Expense Disaggregation Disclosures (Subtopic 220-40</w:t>
      </w:r>
      <w:r>
        <w:rPr>
          <w:rFonts w:ascii="Times New Roman;sans-serif" w:hAnsi="Times New Roman;sans-serif"/>
          <w:b w:val="false"/>
          <w:color w:val="000000"/>
          <w:sz w:val="20"/>
        </w:rPr>
        <w:t>). This ASU requires public business entities to disclose additional details about certain expenses in the notes to financial statements, such as inventory purchases, employee compensation, depreciation, and intangible asset amortization. This standard is effective for the Company beginning January 1, 2027, and will first apply to the Company’s December 31, 2027, Form 10-K, with early adoption permitted.</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In January 2025, the FASB issued ASU 2025-04, </w:t>
      </w:r>
      <w:r>
        <w:rPr>
          <w:rFonts w:ascii="Times New Roman;sans-serif" w:hAnsi="Times New Roman;sans-serif"/>
          <w:b w:val="false"/>
          <w:i/>
          <w:color w:val="000000"/>
          <w:sz w:val="20"/>
        </w:rPr>
        <w:t>Leases (Topic 842): Common Control Arrangements</w:t>
      </w:r>
      <w:r>
        <w:rPr>
          <w:rFonts w:ascii="Times New Roman;sans-serif" w:hAnsi="Times New Roman;sans-serif"/>
          <w:b w:val="false"/>
          <w:color w:val="000000"/>
          <w:sz w:val="20"/>
        </w:rPr>
        <w:t>. This ASU provides new guidance on lease arrangements between entities under common control, clarifying the criteria for determining whether a lease exists and how to account for such transactions. This update is effective for the Company beginning January 1, 2026, and will first apply to the Company’s December 31, 2026, Form 10-K, with early adoption permitted.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2.Liquidity and Capital Resources and Going Concern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whether there are certain conditions and events, considered in the aggregate, that raise substantial doubt about the Company’s ability to continue as a going concern within one year after the date that the Unaudited Condensed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Unaudited Condensed Consolidated Financial Statements were issued.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Preparation of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Capital Investment, SPA Portfolio Debt, and Future Equity Plans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Company has and will continue to devote subs</w:t>
      </w:r>
      <w:r>
        <w:rPr>
          <w:rFonts w:ascii="Times New Roman;sans-serif" w:hAnsi="Times New Roman;sans-serif"/>
          <w:b w:val="false"/>
          <w:color w:val="000000"/>
          <w:sz w:val="20"/>
          <w:shd w:fill="FFFFFF" w:val="clear"/>
        </w:rPr>
        <w:t xml:space="preserve">tantial effort and, to the extent available, capital resources, to strategic planning, engineering, design, and development of its electric vehicle platform, development of vehicle models, finalizing the build out of the FF ieFactory California manufacturing facility, and capital raising. The Company incurred cumulative losses from operations, negative cash flows from operating activities, and has an accumulated deficit of $4,324.6 million, an unrestricted cash balance of $9.5 million and a negative working capital position of $112.3 million as of March 31, 2025. The Company delivered its first vehicles during 2023 and plans to launch its FX Series of vehicles, but expects to continue to generate significant operating losses for the foreseeable future. The Company has funded its operations and capital needs primarily through the issuance of notes payable and related party notes payable convertible notes (see Note 7, </w:t>
      </w:r>
      <w:r>
        <w:rPr>
          <w:rFonts w:ascii="Times New Roman;sans-serif" w:hAnsi="Times New Roman;sans-serif"/>
          <w:b w:val="false"/>
          <w:i/>
          <w:color w:val="000000"/>
          <w:sz w:val="20"/>
          <w:shd w:fill="FFFFFF" w:val="clear"/>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xml:space="preserve">), and the sale of common stock.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Debt Commitments under SPA Portfolio Notes and Other Notes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u w:val="single"/>
        </w:rPr>
        <w:t>SPA Portfolio Notes</w:t>
      </w:r>
      <w:r>
        <w:rPr>
          <w:rFonts w:ascii="Times New Roman;sans-serif" w:hAnsi="Times New Roman;sans-serif"/>
          <w:b w:val="false"/>
          <w:color w:val="000000"/>
          <w:sz w:val="20"/>
        </w:rPr>
        <w:t>: The Company has issued various financing arrangements collectively known as the SPA Portfolio Notes. These are categorized as follows: (i) Secured SPA Notes; (ii) 2023 Unsecured SPA Notes; (iii) Junior Secured SPA Notes; (iv) 2024 Unsecured SPA Notes and (v) 2025 March Unsecured SPA Notes. As of March 31, 2025, the SPA Portfolio Notes were in good 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Pursuant to the SPA Portfolio Notes commitments (collectively the “SPA Commitments”) (see Note 7, </w:t>
      </w:r>
      <w:r>
        <w:rPr>
          <w:rFonts w:ascii="Times New Roman;sans-serif" w:hAnsi="Times New Roman;sans-serif"/>
          <w:b w:val="false"/>
          <w:i/>
          <w:color w:val="000000"/>
          <w:sz w:val="20"/>
          <w:shd w:fill="FFFFFF" w:val="clear"/>
        </w:rPr>
        <w:t>Notes Payable</w:t>
      </w:r>
      <w:r>
        <w:rPr>
          <w:color w:val="000000"/>
          <w:shd w:fill="FFFFFF" w:val="clear"/>
        </w:rPr>
        <w:t xml:space="preserve"> </w:t>
      </w:r>
      <w:r>
        <w:rPr>
          <w:rFonts w:ascii="Times New Roman;sans-serif" w:hAnsi="Times New Roman;sans-serif"/>
          <w:b w:val="false"/>
          <w:color w:val="000000"/>
          <w:sz w:val="20"/>
          <w:shd w:fill="FFFFFF" w:val="clear"/>
        </w:rPr>
        <w:t xml:space="preserve">and Note 8, </w:t>
      </w:r>
      <w:r>
        <w:rPr>
          <w:rFonts w:ascii="Times New Roman;sans-serif" w:hAnsi="Times New Roman;sans-serif"/>
          <w:b w:val="false"/>
          <w:i/>
          <w:color w:val="000000"/>
          <w:sz w:val="20"/>
          <w:shd w:fill="FFFFFF" w:val="clear"/>
        </w:rPr>
        <w:t>Related Party Transactions</w:t>
      </w:r>
      <w:r>
        <w:rPr>
          <w:rFonts w:ascii="Times New Roman;sans-serif" w:hAnsi="Times New Roman;sans-serif"/>
          <w:b w:val="false"/>
          <w:color w:val="000000"/>
          <w:sz w:val="20"/>
          <w:shd w:fill="FFFFFF" w:val="clear"/>
        </w:rPr>
        <w:t xml:space="preserve">), the Company obtained commitments from several investors. As of March 31, 2025, the SPA Commitments totaled $655.5 million, of which $427.7 million was funded, $227.8 million remained to be funded, and $48.3 million in principal was outstanding. On March 31, 2025, Optional Commitments under the SPA Commitments totaled $467.0 million, of which $50.9 million was funded, $386.1 million remained to be funded, and $2.5 million was outstanding. The remaining amounts to be funded as of March 31, 2025, are subject to the achievement of delivery milestones, satisfaction of closing conditions, certain of which include minimum share price requirements, resolving disputes with investors, and satisfaction or waiver of other conditions, including for a portion of such financing an effective registration statement for the shares underlying the applicable notes. </w:t>
      </w:r>
    </w:p>
    <w:p>
      <w:pPr>
        <w:pStyle w:val="TextBody"/>
        <w:bidi w:val="0"/>
        <w:spacing w:lineRule="auto" w:line="288" w:before="160" w:after="283"/>
        <w:ind w:left="0" w:right="0" w:firstLine="540"/>
        <w:jc w:val="both"/>
        <w:rPr/>
      </w:pPr>
      <w:r>
        <w:rPr>
          <w:rFonts w:ascii="Times New Roman;sans-serif" w:hAnsi="Times New Roman;sans-serif"/>
          <w:b w:val="false"/>
          <w:i/>
          <w:color w:val="000000"/>
          <w:sz w:val="20"/>
          <w:u w:val="single"/>
          <w:shd w:fill="FFFFFF" w:val="clear"/>
        </w:rPr>
        <w:t>Other Financing Arrangements and Related Party Notes:</w:t>
      </w:r>
      <w:r>
        <w:rPr>
          <w:color w:val="000000"/>
          <w:shd w:fill="FFFFFF" w:val="clear"/>
        </w:rPr>
        <w:t xml:space="preserve"> </w:t>
      </w:r>
      <w:r>
        <w:rPr>
          <w:rFonts w:ascii="Times New Roman;sans-serif" w:hAnsi="Times New Roman;sans-serif"/>
          <w:b w:val="false"/>
          <w:color w:val="000000"/>
          <w:sz w:val="20"/>
          <w:shd w:fill="FFFFFF" w:val="clear"/>
        </w:rPr>
        <w:t>Additional financing is provided via convertible debt instruments, equipment financing arrangements, and related party notes that support the Company’s operations and capital expenditures. As of March 31, 2025, the Company was in good standing on all of its other financing arrangements and Related Party Notes.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The Company may be unable to satisfy the closing conditions under the SPA Commitments or obt</w:t>
      </w:r>
      <w:r>
        <w:rPr>
          <w:rFonts w:ascii="Times New Roman;sans-serif" w:hAnsi="Times New Roman;sans-serif"/>
          <w:b w:val="false"/>
          <w:color w:val="000000"/>
          <w:sz w:val="20"/>
        </w:rPr>
        <w:t>ain additional incremental investors under the SPA Commitments or other debt or equity financing in a timely manner, on acceptable terms, or at all.</w:t>
      </w:r>
    </w:p>
    <w:p>
      <w:pPr>
        <w:pStyle w:val="TextBody"/>
        <w:bidi w:val="0"/>
        <w:spacing w:lineRule="auto" w:line="288" w:before="160" w:after="283"/>
        <w:jc w:val="both"/>
        <w:rPr/>
      </w:pPr>
      <w:r>
        <w:rPr>
          <w:rFonts w:ascii="Times New Roman;sans-serif" w:hAnsi="Times New Roman;sans-serif"/>
          <w:b/>
          <w:i/>
          <w:color w:val="000000"/>
          <w:sz w:val="20"/>
        </w:rPr>
        <w:t>Standby Equity Purchase Agreement, At-The-Market Offerin</w:t>
      </w:r>
      <w:r>
        <w:rPr>
          <w:rFonts w:ascii="Times New Roman;sans-serif" w:hAnsi="Times New Roman;sans-serif"/>
          <w:b/>
          <w:color w:val="000000"/>
          <w:sz w:val="20"/>
        </w:rPr>
        <w:t>g</w:t>
      </w:r>
      <w:r>
        <w:rPr>
          <w:rFonts w:ascii="Times New Roman;sans-serif" w:hAnsi="Times New Roman;sans-serif"/>
          <w:b/>
          <w:i/>
          <w:color w:val="000000"/>
          <w:sz w:val="20"/>
        </w:rPr>
        <w:t>, and Equity Issuance Constraints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Company has implemented a series of financing arrangements, including a Standby Equity Purchase Agreement with Yorkville and an At-The-Market offering. These initiatives are accompanied by equity issuance constraints, such as limitations imposed by authorized share counts and the impact of convertible securities and related provisions. Together, these elements define the Company’s approach to capital raising and its management of associated regulatory and contractual obligations</w:t>
      </w:r>
      <w:r>
        <w:rPr>
          <w:rFonts w:ascii="Times New Roman;sans-serif" w:hAnsi="Times New Roman;sans-serif"/>
          <w:b w:val="false"/>
          <w:i/>
          <w:color w:val="000000"/>
          <w:sz w:val="20"/>
        </w:rPr>
        <w: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Standby Equity Purchase Agreement (“SEPA”)</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On November 11, 2022, the Company entered into the SEPA, which expires in November 2025. Under the terms of the SEPA, the Company may, at its option, issue and sell from time to time up to $200.0 million (which can be increased up to $350.0 million in the aggregate under the Company’s option) of Class A Common Stock to </w:t>
      </w:r>
      <w:r>
        <w:rPr>
          <w:rFonts w:ascii="Times New Roman;sans-serif" w:hAnsi="Times New Roman;sans-serif"/>
          <w:b w:val="false"/>
          <w:color w:val="000000"/>
          <w:sz w:val="20"/>
          <w:shd w:fill="FFFFFF" w:val="clear"/>
        </w:rPr>
        <w:t>YA II PN Ltd. (“Yorkville”)</w:t>
      </w:r>
      <w:r>
        <w:rPr>
          <w:rFonts w:ascii="Times New Roman;sans-serif" w:hAnsi="Times New Roman;sans-serif"/>
          <w:b w:val="false"/>
          <w:color w:val="000000"/>
          <w:sz w:val="20"/>
        </w:rPr>
        <w:t>, subject to certain limitations. As of March 31, 2025, the Company had the right to issue and sell up to an additional $192.5 million, or $342.5 million if the Company exercises its option under the SEPA.</w:t>
      </w:r>
    </w:p>
    <w:p>
      <w:pPr>
        <w:pStyle w:val="TextBody"/>
        <w:bidi w:val="0"/>
        <w:spacing w:lineRule="auto" w:line="288" w:before="160" w:after="283"/>
        <w:jc w:val="both"/>
        <w:rPr/>
      </w:pPr>
      <w:r>
        <w:rPr>
          <w:rFonts w:ascii="Times New Roman;sans-serif" w:hAnsi="Times New Roman;sans-serif"/>
          <w:b w:val="false"/>
          <w:i/>
          <w:color w:val="000000"/>
          <w:sz w:val="20"/>
        </w:rPr>
        <w:t>At-The-Market Offerin</w:t>
      </w:r>
      <w:r>
        <w:rPr>
          <w:rFonts w:ascii="Times New Roman;sans-serif" w:hAnsi="Times New Roman;sans-serif"/>
          <w:b w:val="false"/>
          <w:color w:val="000000"/>
          <w:sz w:val="20"/>
        </w:rPr>
        <w:t>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26, 2023, the Company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Under applicable SEC rules and regulations, because the Company failed to timely file its Form 10-K for the year ended December 31, 2023, as well as its Form 10-Q for the quarter ended March 31, 2024, the Company will not be eligible to access the ATM Program until August 1, 2025, at the earliest.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Issuance Constraints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issue and sell additional shares of Common Stock or warrants to support ongoing capital needs is further constrained by the number of authorized shares. In addition to outstanding shares, the Company must also consider shares reserved for issuance under convertible debt, warrants or other obligations with equity rights. In addition, equity issuances can potentially trigger various anti-dilution features in the Company’s debt and equity instruments that increase the number of shares to be issued and/or reduce the exercise price. This could result in the Company having inadequate authorized shares to meet its outstanding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Capital Needs, FX Series Production, and Bankruptcy Risk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projects that it will require substantial additional funds to continue operations and support production of the FF 91, and it also plans to initiate production of its FX Series of vehicles. If additional capital is not secured, the Company will not have sufficient resources to meet its obligations and continue operations, which could result in bankruptcy protection and asset liquidation, with equity holders receiving little to no recovery. The anticipated start of FX Series production is expected to generate new revenue streams and enhance operational performance, partially mitigating near-term cash flow pressures; however, if additional capital is not secured, the Company will not have sufficient resources to meet its obligations or continue operations, potentially resulting in bankruptcy protection, asset liquidation, and minimal or no recovery for equity holders.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Funding Alternatives and Risks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explore various funding and financing alternatives to fund its ongoing operations and to ramp up production. The particular funding and financing mechanisms, terms, timing, and amounts depend on the Company’s assessment of opportunities available in the marketplace and the circumstances of the business at the relevant time. However, there have been delays in securing additional funding commitments, which have exacerbated supply chain pressures, among other things. If the Company’s ongoing capital raising efforts are unsuccessful or significantly delayed, or if the Company experiences prolonged material adverse trends in its business, production will be delayed or decreased, and actual use of cash, production volume and revenue for 2025 will vary from the Company’s previously disclosed forecasts, and such variances may be material. While the Company is actively engaged in negotiations with potential financing sources, it may be unable to raise additional capital on terms acceptable to it or at all. In addition to the risk that the Company’s assumptions and analyses may prove incorrect, the projections may underestimate the professional fees and other costs to be incurred related to the pursuit of various financing options currently being considered and ongoing legal risks. Capital needed to fund the development of the Company’s remaining product portfolio will largely depend on market success and profitability of the FF 91 and the launch of the FX series, and the Company’s ability to accurately estimate and control costs. Apart from the FF 91 series and FX series, substantial additional capital would be required to fund operations, research, development, and design efforts for future vehicles.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elevated U.S. import tariffs on electric vehicle components sourced from China could increase the Company's future manufacturing costs as production of the FX Series and other future vehicle models are introduced. While tariffs did not materially impact cost of goods sold for the three months ended March 31, 2025, due to limited production volume, continued reliance on China-based suppliers may contribute to higher input costs, pressure gross margins, and increase the Company's future funding needs.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Going Concern and Future Capital Strategy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Company’s diversified financing structure – including its SPA Portfolio Notes, convertible debt instruments, and equipment financing, and targeted inflows from new debt, and anticipated equity, the Company’s recurring operating losses and continuing negative cash flows from operations continue to raise substantial doubt about the Company’s ability to continue as a going concern.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3.Inventory, net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Inventory, net, consists of the following as of:</w:t>
      </w:r>
    </w:p>
    <w:tbl>
      <w:tblPr>
        <w:tblW w:w="5787" w:type="dxa"/>
        <w:jc w:val="left"/>
        <w:tblInd w:w="0" w:type="dxa"/>
        <w:tblLayout w:type="fixed"/>
        <w:tblCellMar>
          <w:top w:w="28" w:type="dxa"/>
          <w:left w:w="28" w:type="dxa"/>
          <w:bottom w:w="28" w:type="dxa"/>
          <w:right w:w="28" w:type="dxa"/>
        </w:tblCellMar>
      </w:tblPr>
      <w:tblGrid>
        <w:gridCol w:w="934"/>
        <w:gridCol w:w="822"/>
        <w:gridCol w:w="824"/>
        <w:gridCol w:w="261"/>
        <w:gridCol w:w="894"/>
        <w:gridCol w:w="135"/>
        <w:gridCol w:w="109"/>
        <w:gridCol w:w="109"/>
        <w:gridCol w:w="109"/>
        <w:gridCol w:w="309"/>
        <w:gridCol w:w="1056"/>
        <w:gridCol w:w="225"/>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(net of reserves)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The inventory reserve</w:t>
      </w:r>
      <w:r>
        <w:rPr>
          <w:color w:val="000000"/>
          <w:shd w:fill="FFFFFF" w:val="clear"/>
        </w:rPr>
        <w:t xml:space="preserve"> </w:t>
      </w:r>
      <w:r>
        <w:rPr>
          <w:rFonts w:ascii="Times New Roman;sans-serif" w:hAnsi="Times New Roman;sans-serif"/>
          <w:b w:val="false"/>
          <w:color w:val="000000"/>
          <w:sz w:val="20"/>
          <w:shd w:fill="FFFFFF" w:val="clear"/>
        </w:rPr>
        <w:t xml:space="preserve">was $3.3 million and $3.3 million as of March 31, 2025 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4.Deposits and Other Current Assets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Deposits and other current assets consists of the following as of:</w:t>
      </w:r>
    </w:p>
    <w:tbl>
      <w:tblPr>
        <w:tblW w:w="9926" w:type="dxa"/>
        <w:jc w:val="left"/>
        <w:tblInd w:w="0" w:type="dxa"/>
        <w:tblLayout w:type="fixed"/>
        <w:tblCellMar>
          <w:top w:w="28" w:type="dxa"/>
          <w:left w:w="28" w:type="dxa"/>
          <w:bottom w:w="28" w:type="dxa"/>
          <w:right w:w="28" w:type="dxa"/>
        </w:tblCellMar>
      </w:tblPr>
      <w:tblGrid>
        <w:gridCol w:w="2429"/>
        <w:gridCol w:w="2134"/>
        <w:gridCol w:w="2156"/>
        <w:gridCol w:w="261"/>
        <w:gridCol w:w="894"/>
        <w:gridCol w:w="135"/>
        <w:gridCol w:w="109"/>
        <w:gridCol w:w="109"/>
        <w:gridCol w:w="109"/>
        <w:gridCol w:w="309"/>
        <w:gridCol w:w="1056"/>
        <w:gridCol w:w="225"/>
      </w:tblGrid>
      <w:tr>
        <w:trPr/>
        <w:tc>
          <w:tcPr>
            <w:tcW w:w="242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Deposits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research and development, prototype and production parts, and other</w:t>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goods and services yet to be received (“Future Work”)</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assets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for R&amp;D, prototype and production parts, and other are recognized and reported as R&amp;D expenses in the Unaudited Condensed Consolidated Statements of Operations and Comprehensive Loss when services are provided or as prototype parts are received. In addition, during the three months ended March 31, 2025 and 2024, the Company made deposits for inventory and property and equipment items which are classified as Deposits for goods and services yet to be received (“Future Work”). </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primarily consist of software subscriptions and insurance, and Other current assets includes certain deferred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5.Property, Plant, and Equipment, Net</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consists of the following as of:</w:t>
      </w:r>
    </w:p>
    <w:tbl>
      <w:tblPr>
        <w:tblW w:w="7095" w:type="dxa"/>
        <w:jc w:val="left"/>
        <w:tblInd w:w="0" w:type="dxa"/>
        <w:tblLayout w:type="fixed"/>
        <w:tblCellMar>
          <w:top w:w="28" w:type="dxa"/>
          <w:left w:w="28" w:type="dxa"/>
          <w:bottom w:w="28" w:type="dxa"/>
          <w:right w:w="28" w:type="dxa"/>
        </w:tblCellMar>
      </w:tblPr>
      <w:tblGrid>
        <w:gridCol w:w="1366"/>
        <w:gridCol w:w="1203"/>
        <w:gridCol w:w="1211"/>
        <w:gridCol w:w="237"/>
        <w:gridCol w:w="930"/>
        <w:gridCol w:w="122"/>
        <w:gridCol w:w="109"/>
        <w:gridCol w:w="109"/>
        <w:gridCol w:w="109"/>
        <w:gridCol w:w="284"/>
        <w:gridCol w:w="1114"/>
        <w:gridCol w:w="147"/>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1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buildings and leasehold improvements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machinery and equipment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vehicles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468,501 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468,421 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(119,834)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331,465 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348,587 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Company’s CIP is primarily related to the construction of tooling, machinery and equipment for the FF ieFactory California. Tooling, machinery, and equi</w:t>
      </w:r>
      <w:r>
        <w:rPr>
          <w:rFonts w:ascii="Times New Roman;sans-serif" w:hAnsi="Times New Roman;sans-serif"/>
          <w:b w:val="false"/>
          <w:color w:val="000000"/>
          <w:sz w:val="20"/>
          <w:shd w:fill="FFFFFF" w:val="clear"/>
        </w:rPr>
        <w:t>pment are either held at Company facilities, primarily the FF ieFactory California, or at the vendor’s location until the tooling, machinery and equipment is completed.</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Depreciation and amortization expe</w:t>
      </w:r>
      <w:r>
        <w:rPr>
          <w:rFonts w:ascii="Times New Roman;sans-serif" w:hAnsi="Times New Roman;sans-serif"/>
          <w:b w:val="false"/>
          <w:color w:val="000000"/>
          <w:sz w:val="20"/>
        </w:rPr>
        <w:t>nse totale</w:t>
      </w:r>
      <w:r>
        <w:rPr>
          <w:rFonts w:ascii="Times New Roman;sans-serif" w:hAnsi="Times New Roman;sans-serif"/>
          <w:b w:val="false"/>
          <w:color w:val="000000"/>
          <w:sz w:val="20"/>
          <w:shd w:fill="FFFFFF" w:val="clear"/>
        </w:rPr>
        <w:t>d $17.5 million and $17.7 million</w:t>
      </w:r>
      <w:r>
        <w:rPr>
          <w:color w:val="000000"/>
        </w:rPr>
        <w:t xml:space="preserve"> </w:t>
      </w:r>
      <w:r>
        <w:rPr>
          <w:rFonts w:ascii="Times New Roman;sans-serif" w:hAnsi="Times New Roman;sans-serif"/>
          <w:b w:val="false"/>
          <w:color w:val="000000"/>
          <w:sz w:val="20"/>
        </w:rPr>
        <w:t xml:space="preserve">for the three months ended March 31, 2025 and 2024, respectively. For the three months ended March 31, 2025, the Company recognized a </w:t>
      </w:r>
      <w:r>
        <w:rPr>
          <w:rFonts w:ascii="Times New Roman;sans-serif" w:hAnsi="Times New Roman;sans-serif"/>
          <w:b w:val="false"/>
          <w:color w:val="000000"/>
          <w:sz w:val="20"/>
          <w:shd w:fill="FFFFFF" w:val="clear"/>
        </w:rPr>
        <w:t>$44 thousand</w:t>
      </w:r>
      <w:r>
        <w:rPr>
          <w:color w:val="000000"/>
        </w:rPr>
        <w:t xml:space="preserve"> </w:t>
      </w:r>
      <w:r>
        <w:rPr>
          <w:rFonts w:ascii="Times New Roman;sans-serif" w:hAnsi="Times New Roman;sans-serif"/>
          <w:b w:val="false"/>
          <w:color w:val="000000"/>
          <w:sz w:val="20"/>
        </w:rPr>
        <w:t xml:space="preserve">loss on disposal of property, plant, and equipment, which included the derecognition of approximately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in accumulated depreciation.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Asset Retirement Obligation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build out of the FF ieFactory California, the Company has an asset retirement obligation (“ARO”) totaling $0.8 million and $0.8 million as of March 31, 2025 and December 31, 2024, respectively. The ARO is recorded to Other liabilities with a corresponding ARO asset within Land, buildings and leasehold improvements and Tooling, machinery, and equipment. The ARO asset is depreciated to operating expense over the remaining term of the lease through December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 xml:space="preserve">6.Accrued Expenses and Other Current Liabilities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liabilities—which include both third-party and related-party balances—comprise the following items as of:</w:t>
      </w:r>
    </w:p>
    <w:tbl>
      <w:tblPr>
        <w:tblW w:w="5666" w:type="dxa"/>
        <w:jc w:val="left"/>
        <w:tblInd w:w="0" w:type="dxa"/>
        <w:tblLayout w:type="fixed"/>
        <w:tblCellMar>
          <w:top w:w="28" w:type="dxa"/>
          <w:left w:w="28" w:type="dxa"/>
          <w:bottom w:w="28" w:type="dxa"/>
          <w:right w:w="28" w:type="dxa"/>
        </w:tblCellMar>
      </w:tblPr>
      <w:tblGrid>
        <w:gridCol w:w="890"/>
        <w:gridCol w:w="782"/>
        <w:gridCol w:w="787"/>
        <w:gridCol w:w="261"/>
        <w:gridCol w:w="894"/>
        <w:gridCol w:w="135"/>
        <w:gridCol w:w="109"/>
        <w:gridCol w:w="109"/>
        <w:gridCol w:w="109"/>
        <w:gridCol w:w="309"/>
        <w:gridCol w:w="1056"/>
        <w:gridCol w:w="225"/>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160" w:after="283"/>
              <w:jc w:val="both"/>
              <w:rPr>
                <w:color w:val="000000"/>
              </w:rPr>
            </w:pPr>
            <w:r>
              <w:rPr>
                <w:color w:val="000000"/>
              </w:rPr>
              <w:t> </w:t>
            </w:r>
            <w:r>
              <w:rPr>
                <w:rFonts w:ascii="Times New Roman;sans-serif" w:hAnsi="Times New Roman;sans-serif"/>
                <w:b w:val="false"/>
                <w:i/>
                <w:color w:val="000000"/>
                <w:sz w:val="16"/>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contingencies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 xml:space="preserve">7.Notes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notes payable agreements with third parties. The tables below summarize these agreements as of March 31, 2025 and December 31, 2024, providing details on contractual maturity dates, contractual interest rates, unpaid principal balances, fair value adjustments, original issue discounts, including proceeds allocated to warrants, and net carrying values.</w:t>
      </w:r>
    </w:p>
    <w:tbl>
      <w:tblPr>
        <w:tblW w:w="11762" w:type="dxa"/>
        <w:jc w:val="center"/>
        <w:tblInd w:w="0" w:type="dxa"/>
        <w:tblLayout w:type="fixed"/>
        <w:tblCellMar>
          <w:top w:w="28" w:type="dxa"/>
          <w:left w:w="28" w:type="dxa"/>
          <w:bottom w:w="28" w:type="dxa"/>
          <w:right w:w="28" w:type="dxa"/>
        </w:tblCellMar>
      </w:tblPr>
      <w:tblGrid>
        <w:gridCol w:w="1055"/>
        <w:gridCol w:w="467"/>
        <w:gridCol w:w="264"/>
        <w:gridCol w:w="109"/>
        <w:gridCol w:w="109"/>
        <w:gridCol w:w="109"/>
        <w:gridCol w:w="385"/>
        <w:gridCol w:w="385"/>
        <w:gridCol w:w="386"/>
        <w:gridCol w:w="109"/>
        <w:gridCol w:w="109"/>
        <w:gridCol w:w="109"/>
        <w:gridCol w:w="180"/>
        <w:gridCol w:w="181"/>
        <w:gridCol w:w="271"/>
        <w:gridCol w:w="109"/>
        <w:gridCol w:w="109"/>
        <w:gridCol w:w="109"/>
        <w:gridCol w:w="109"/>
        <w:gridCol w:w="109"/>
        <w:gridCol w:w="109"/>
        <w:gridCol w:w="109"/>
        <w:gridCol w:w="109"/>
        <w:gridCol w:w="109"/>
        <w:gridCol w:w="211"/>
        <w:gridCol w:w="721"/>
        <w:gridCol w:w="109"/>
        <w:gridCol w:w="109"/>
        <w:gridCol w:w="109"/>
        <w:gridCol w:w="109"/>
        <w:gridCol w:w="219"/>
        <w:gridCol w:w="748"/>
        <w:gridCol w:w="114"/>
        <w:gridCol w:w="109"/>
        <w:gridCol w:w="109"/>
        <w:gridCol w:w="109"/>
        <w:gridCol w:w="211"/>
        <w:gridCol w:w="73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Unsecured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March Unsecured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shd w:fill="FFFFFF" w:val="clear"/>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Faraday Future Intelligent Electric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Unaudited Condensed Consolidated Financial Statements</w:t>
      </w:r>
    </w:p>
    <w:tbl>
      <w:tblPr>
        <w:tblW w:w="10523" w:type="dxa"/>
        <w:jc w:val="left"/>
        <w:tblInd w:w="0" w:type="dxa"/>
        <w:tblLayout w:type="fixed"/>
        <w:tblCellMar>
          <w:top w:w="28" w:type="dxa"/>
          <w:left w:w="28" w:type="dxa"/>
          <w:bottom w:w="28" w:type="dxa"/>
          <w:right w:w="28" w:type="dxa"/>
        </w:tblCellMar>
      </w:tblPr>
      <w:tblGrid>
        <w:gridCol w:w="847"/>
        <w:gridCol w:w="675"/>
        <w:gridCol w:w="264"/>
        <w:gridCol w:w="109"/>
        <w:gridCol w:w="109"/>
        <w:gridCol w:w="109"/>
        <w:gridCol w:w="385"/>
        <w:gridCol w:w="385"/>
        <w:gridCol w:w="386"/>
        <w:gridCol w:w="109"/>
        <w:gridCol w:w="109"/>
        <w:gridCol w:w="109"/>
        <w:gridCol w:w="180"/>
        <w:gridCol w:w="181"/>
        <w:gridCol w:w="271"/>
        <w:gridCol w:w="109"/>
        <w:gridCol w:w="109"/>
        <w:gridCol w:w="109"/>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09"/>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54" w:type="dxa"/>
            <w:tcBorders/>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Unsecured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Unsecured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7" w:type="dxa"/>
            <w:gridSpan w:val="3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Roll Forward of the Fair Value of Notes payable by Transaction Type</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 roll forward of the Company’s Notes payable balances from December 31, 2024 to March 31, 2025 with third parties. The table summarizes beginning and ending balances by debt category and details changes during the period, including repayments, conversions, reclassifications, fair value adjustments, and other significant transactions.</w:t>
      </w:r>
    </w:p>
    <w:tbl>
      <w:tblPr>
        <w:tblW w:w="10858" w:type="dxa"/>
        <w:jc w:val="left"/>
        <w:tblInd w:w="0" w:type="dxa"/>
        <w:tblLayout w:type="fixed"/>
        <w:tblCellMar>
          <w:top w:w="28" w:type="dxa"/>
          <w:left w:w="28" w:type="dxa"/>
          <w:bottom w:w="28" w:type="dxa"/>
          <w:right w:w="28" w:type="dxa"/>
        </w:tblCellMar>
      </w:tblPr>
      <w:tblGrid>
        <w:gridCol w:w="449"/>
        <w:gridCol w:w="263"/>
        <w:gridCol w:w="264"/>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646"/>
        <w:gridCol w:w="109"/>
        <w:gridCol w:w="109"/>
        <w:gridCol w:w="109"/>
        <w:gridCol w:w="109"/>
        <w:gridCol w:w="196"/>
        <w:gridCol w:w="646"/>
        <w:gridCol w:w="109"/>
        <w:gridCol w:w="109"/>
        <w:gridCol w:w="109"/>
        <w:gridCol w:w="109"/>
        <w:gridCol w:w="231"/>
        <w:gridCol w:w="496"/>
        <w:gridCol w:w="129"/>
        <w:gridCol w:w="109"/>
        <w:gridCol w:w="109"/>
        <w:gridCol w:w="109"/>
        <w:gridCol w:w="196"/>
        <w:gridCol w:w="556"/>
        <w:gridCol w:w="109"/>
        <w:gridCol w:w="109"/>
        <w:gridCol w:w="109"/>
        <w:gridCol w:w="109"/>
        <w:gridCol w:w="196"/>
        <w:gridCol w:w="406"/>
        <w:gridCol w:w="109"/>
        <w:gridCol w:w="109"/>
        <w:gridCol w:w="109"/>
        <w:gridCol w:w="109"/>
        <w:gridCol w:w="196"/>
        <w:gridCol w:w="64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6" w:type="dxa"/>
            <w:gridSpan w:val="2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Categories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br/>
              <w:t xml:space="preserve">Unsecured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Junior </w:t>
              <w:br/>
              <w:t xml:space="preserve">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2024 </w:t>
              <w:br/>
              <w:t xml:space="preserve">Unsecured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 March Unsecured 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Notes </w:t>
              <w:br/>
              <w:t>payable </w:t>
              <w:br/>
              <w:t xml:space="preserve">– </w:t>
              <w:br/>
              <w:t>China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Auto </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2024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Issuances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Debt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Debt to Equity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Adjustments of Debt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Adjustments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2025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42"/>
        <w:gridCol w:w="2790"/>
        <w:gridCol w:w="3973"/>
      </w:tblGrid>
      <w:tr>
        <w:trPr/>
        <w:tc>
          <w:tcPr>
            <w:tcW w:w="3442"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The carrying value for each note category, fair value or amortized cost depending on the election, as of December 31, 2024.</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16"/>
              </w:rPr>
              <w:t xml:space="preserve">(b) Debt instruments issued during the period, recorded at fair value upon issuance if the fair value option is elected, or at principal balance net of discounts. For those measured at fair value, the aggregate fair value adjustment at issuance represented a reduction of $10,097 thousand to the principal amount of the notes issued during the period, presented as a component of </w:t>
            </w:r>
            <w:r>
              <w:rPr>
                <w:rFonts w:ascii="Times New Roman;sans-serif" w:hAnsi="Times New Roman;sans-serif"/>
                <w:b w:val="false"/>
                <w:color w:val="000000"/>
                <w:sz w:val="16"/>
                <w:shd w:fill="FFFFFF" w:val="clear"/>
              </w:rPr>
              <w:t>Change in fair value of notes payable, warrant liabilities, and derivative call options</w:t>
            </w:r>
            <w:r>
              <w:rPr>
                <w:color w:val="000000"/>
              </w:rPr>
              <w:t xml:space="preserve"> </w:t>
            </w:r>
            <w:r>
              <w:rPr>
                <w:rFonts w:ascii="Times New Roman;sans-serif" w:hAnsi="Times New Roman;sans-serif"/>
                <w:b w:val="false"/>
                <w:color w:val="000000"/>
                <w:sz w:val="16"/>
              </w:rPr>
              <w:t xml:space="preserve">in the </w:t>
            </w:r>
            <w:r>
              <w:rPr>
                <w:rFonts w:ascii="Times New Roman;sans-serif" w:hAnsi="Times New Roman;sans-serif"/>
                <w:b w:val="false"/>
                <w:color w:val="000000"/>
                <w:sz w:val="16"/>
                <w:shd w:fill="FFFFFF" w:val="clear"/>
              </w:rPr>
              <w:t>Unaudited Condensed Consolidated Statements of Operations and Comprehensive Loss</w:t>
            </w:r>
            <w:r>
              <w:rPr>
                <w:rFonts w:ascii="Times New Roman;sans-serif" w:hAnsi="Times New Roman;sans-serif"/>
                <w:b w:val="false"/>
                <w:color w:val="000000"/>
                <w:sz w:val="16"/>
              </w:rPr>
              <w: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 Cash repayments of principal amounts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 Fair value of debt converted into equity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 xml:space="preserve">(f) Adjustments to debt fair value due to the fair value option election, embedded derivatives, or anti-dilution provisions. These adjustments are presented as a component of </w:t>
            </w:r>
            <w:r>
              <w:rPr>
                <w:rFonts w:ascii="Times New Roman;sans-serif" w:hAnsi="Times New Roman;sans-serif"/>
                <w:b w:val="false"/>
                <w:color w:val="000000"/>
                <w:sz w:val="16"/>
                <w:shd w:fill="FFFFFF" w:val="clear"/>
              </w:rPr>
              <w:t>Change in fair value of notes payable, warrant liabilities, and derivative call options</w:t>
            </w:r>
            <w:r>
              <w:rPr>
                <w:color w:val="000000"/>
              </w:rPr>
              <w:t xml:space="preserve"> </w:t>
            </w:r>
            <w:r>
              <w:rPr>
                <w:rFonts w:ascii="Times New Roman;sans-serif" w:hAnsi="Times New Roman;sans-serif"/>
                <w:b w:val="false"/>
                <w:color w:val="000000"/>
                <w:sz w:val="16"/>
              </w:rPr>
              <w:t xml:space="preserve">in the </w:t>
            </w:r>
            <w:r>
              <w:rPr>
                <w:rFonts w:ascii="Times New Roman;sans-serif" w:hAnsi="Times New Roman;sans-serif"/>
                <w:b w:val="false"/>
                <w:color w:val="000000"/>
                <w:sz w:val="16"/>
                <w:shd w:fill="FFFFFF" w:val="clear"/>
              </w:rPr>
              <w:t>Unaudited Condensed Consolidated Statements of Operations and Comprehensive Loss</w:t>
            </w:r>
            <w:r>
              <w:rPr>
                <w:rFonts w:ascii="Times New Roman;sans-serif" w:hAnsi="Times New Roman;sans-serif"/>
                <w:b w:val="false"/>
                <w:color w:val="000000"/>
                <w:sz w:val="16"/>
              </w:rPr>
              <w:t xml:space="preserve">. Line item </w:t>
            </w:r>
            <w:r>
              <w:rPr>
                <w:rFonts w:ascii="Times New Roman;sans-serif" w:hAnsi="Times New Roman;sans-serif"/>
                <w:b w:val="false"/>
                <w:color w:val="000000"/>
                <w:sz w:val="16"/>
                <w:shd w:fill="FFFFFF" w:val="clear"/>
              </w:rPr>
              <w:t>Change in fair value of notes payable, warrant liabilities, and derivative call options</w:t>
            </w:r>
            <w:r>
              <w:rPr>
                <w:color w:val="000000"/>
              </w:rPr>
              <w:t xml:space="preserve"> </w:t>
            </w:r>
            <w:r>
              <w:rPr>
                <w:rFonts w:ascii="Times New Roman;sans-serif" w:hAnsi="Times New Roman;sans-serif"/>
                <w:b w:val="false"/>
                <w:color w:val="000000"/>
                <w:sz w:val="16"/>
              </w:rPr>
              <w:t>also includes debt issuance costs of $429 thousand, which are separately identifiable from the fair value adjustments noted above.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 Miscellaneous changes not captured in other columns, such as currency adjustments and reclassification to accrued expenses.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 The carrying value for each note category, fair value or amortized cost depending on the election, as of March 31, 2025.</w:t>
            </w:r>
          </w:p>
        </w:tc>
      </w:tr>
    </w:tbl>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roll forward of the Company’s Notes payable balances from December 31, 2023 to December 31, 2024 with third parties. The table summarizes beginning and ending balances by debt category and details changes during the period, including repayments, conversions, reclassifications, fair value adjustments, and other significant transactions.</w:t>
      </w:r>
    </w:p>
    <w:tbl>
      <w:tblPr>
        <w:tblW w:w="10205" w:type="dxa"/>
        <w:jc w:val="left"/>
        <w:tblInd w:w="0" w:type="dxa"/>
        <w:tblLayout w:type="fixed"/>
        <w:tblCellMar>
          <w:top w:w="28" w:type="dxa"/>
          <w:left w:w="28" w:type="dxa"/>
          <w:bottom w:w="28" w:type="dxa"/>
          <w:right w:w="28" w:type="dxa"/>
        </w:tblCellMar>
      </w:tblPr>
      <w:tblGrid>
        <w:gridCol w:w="927"/>
        <w:gridCol w:w="731"/>
        <w:gridCol w:w="733"/>
        <w:gridCol w:w="109"/>
        <w:gridCol w:w="109"/>
        <w:gridCol w:w="109"/>
        <w:gridCol w:w="196"/>
        <w:gridCol w:w="646"/>
        <w:gridCol w:w="109"/>
        <w:gridCol w:w="109"/>
        <w:gridCol w:w="109"/>
        <w:gridCol w:w="109"/>
        <w:gridCol w:w="196"/>
        <w:gridCol w:w="646"/>
        <w:gridCol w:w="109"/>
        <w:gridCol w:w="109"/>
        <w:gridCol w:w="109"/>
        <w:gridCol w:w="109"/>
        <w:gridCol w:w="221"/>
        <w:gridCol w:w="630"/>
        <w:gridCol w:w="124"/>
        <w:gridCol w:w="109"/>
        <w:gridCol w:w="109"/>
        <w:gridCol w:w="109"/>
        <w:gridCol w:w="109"/>
        <w:gridCol w:w="109"/>
        <w:gridCol w:w="109"/>
        <w:gridCol w:w="109"/>
        <w:gridCol w:w="205"/>
        <w:gridCol w:w="583"/>
        <w:gridCol w:w="114"/>
        <w:gridCol w:w="109"/>
        <w:gridCol w:w="109"/>
        <w:gridCol w:w="109"/>
        <w:gridCol w:w="196"/>
        <w:gridCol w:w="331"/>
        <w:gridCol w:w="109"/>
        <w:gridCol w:w="109"/>
        <w:gridCol w:w="109"/>
        <w:gridCol w:w="109"/>
        <w:gridCol w:w="196"/>
        <w:gridCol w:w="646"/>
        <w:gridCol w:w="159"/>
      </w:tblGrid>
      <w:tr>
        <w:trPr/>
        <w:tc>
          <w:tcPr>
            <w:tcW w:w="9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Categories of Debt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12"/>
            <w:tcBorders/>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br/>
              <w:t xml:space="preserve">Unsecured </w:t>
              <w:br/>
              <w:t>SPA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Unsecured </w:t>
              <w:br/>
              <w:t xml:space="preserve">Convertible </w:t>
              <w:b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Notes </w:t>
              <w:br/>
              <w:t>payable </w:t>
              <w:br/>
              <w:t xml:space="preserve">– </w:t>
              <w:br/>
              <w:t>China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Auto </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2023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Issuances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Repayment of Debt, including periodic interest on debt carried at fair value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Debt to Equity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Adjustments of Debt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Adjustments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2024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63,769 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42"/>
        <w:gridCol w:w="2790"/>
        <w:gridCol w:w="3973"/>
      </w:tblGrid>
      <w:tr>
        <w:trPr/>
        <w:tc>
          <w:tcPr>
            <w:tcW w:w="3442"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The carrying value for each note category, fair value or amortized cost depending on the election, as of December 31, 2023.</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16"/>
              </w:rPr>
              <w:t xml:space="preserve">(b) Debt instruments issued during the period, recorded at fair value upon issuance if the fair value option is elected, or at principal balance net of discounts. For those measured at fair value, the aggregate fair value adjustment at issuance represented a reduction of $166 thousand to the principal amount of the notes issued during the period, presented as a component of </w:t>
            </w:r>
            <w:r>
              <w:rPr>
                <w:rFonts w:ascii="Times New Roman;sans-serif" w:hAnsi="Times New Roman;sans-serif"/>
                <w:b w:val="false"/>
                <w:color w:val="000000"/>
                <w:sz w:val="16"/>
                <w:shd w:fill="FFFFFF" w:val="clear"/>
              </w:rPr>
              <w:t>Change in fair value of notes payable, warrant liabilities, and derivative call options</w:t>
            </w:r>
            <w:r>
              <w:rPr>
                <w:color w:val="000000"/>
              </w:rPr>
              <w:t xml:space="preserve"> </w:t>
            </w:r>
            <w:r>
              <w:rPr>
                <w:rFonts w:ascii="Times New Roman;sans-serif" w:hAnsi="Times New Roman;sans-serif"/>
                <w:b w:val="false"/>
                <w:color w:val="000000"/>
                <w:sz w:val="16"/>
              </w:rPr>
              <w:t xml:space="preserve">in the </w:t>
            </w:r>
            <w:r>
              <w:rPr>
                <w:rFonts w:ascii="Times New Roman;sans-serif" w:hAnsi="Times New Roman;sans-serif"/>
                <w:b w:val="false"/>
                <w:color w:val="000000"/>
                <w:sz w:val="16"/>
                <w:shd w:fill="FFFFFF" w:val="clear"/>
              </w:rPr>
              <w:t>Unaudited Condensed Consolidated Statements of Operations and Comprehensive Loss</w:t>
            </w:r>
            <w:r>
              <w:rPr>
                <w:rFonts w:ascii="Times New Roman;sans-serif" w:hAnsi="Times New Roman;sans-serif"/>
                <w:b w:val="false"/>
                <w:color w:val="000000"/>
                <w:sz w:val="16"/>
              </w:rPr>
              <w: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 Cash repayments of principal amount and periodic interest, where fair value option is elected,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 Fair value of debt converted into equity during the period.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16"/>
              </w:rPr>
              <w:t xml:space="preserve">(e) Adjustments to debt fair value due to the fair value option election, embedded derivatives, or anti-dilution provisions. These adjustments are presented as a component of </w:t>
            </w:r>
            <w:r>
              <w:rPr>
                <w:rFonts w:ascii="Times New Roman;sans-serif" w:hAnsi="Times New Roman;sans-serif"/>
                <w:b w:val="false"/>
                <w:color w:val="000000"/>
                <w:sz w:val="16"/>
                <w:shd w:fill="FFFFFF" w:val="clear"/>
              </w:rPr>
              <w:t>Change in fair value of notes payable, warrant liabilities, and derivative call options</w:t>
            </w:r>
            <w:r>
              <w:rPr>
                <w:color w:val="000000"/>
              </w:rPr>
              <w:t xml:space="preserve"> </w:t>
            </w:r>
            <w:r>
              <w:rPr>
                <w:rFonts w:ascii="Times New Roman;sans-serif" w:hAnsi="Times New Roman;sans-serif"/>
                <w:b w:val="false"/>
                <w:color w:val="000000"/>
                <w:sz w:val="16"/>
              </w:rPr>
              <w:t xml:space="preserve">in the </w:t>
            </w:r>
            <w:r>
              <w:rPr>
                <w:rFonts w:ascii="Times New Roman;sans-serif" w:hAnsi="Times New Roman;sans-serif"/>
                <w:b w:val="false"/>
                <w:color w:val="000000"/>
                <w:sz w:val="16"/>
                <w:shd w:fill="FFFFFF" w:val="clear"/>
              </w:rPr>
              <w:t>Unaudited Condensed Consolidated Statements of Operations and Comprehensive Loss</w:t>
            </w:r>
            <w:r>
              <w:rPr>
                <w:rFonts w:ascii="Times New Roman;sans-serif" w:hAnsi="Times New Roman;sans-serif"/>
                <w:b w:val="false"/>
                <w:color w:val="000000"/>
                <w:sz w:val="16"/>
              </w:rPr>
              <w:t xml:space="preserve">. Line item </w:t>
            </w:r>
            <w:r>
              <w:rPr>
                <w:rFonts w:ascii="Times New Roman;sans-serif" w:hAnsi="Times New Roman;sans-serif"/>
                <w:b w:val="false"/>
                <w:color w:val="000000"/>
                <w:sz w:val="16"/>
                <w:shd w:fill="FFFFFF" w:val="clear"/>
              </w:rPr>
              <w:t>Change in fair value of notes payable, warrant liabilities, and derivative call options</w:t>
            </w:r>
            <w:r>
              <w:rPr>
                <w:color w:val="000000"/>
              </w:rPr>
              <w:t xml:space="preserve"> </w:t>
            </w:r>
            <w:r>
              <w:rPr>
                <w:rFonts w:ascii="Times New Roman;sans-serif" w:hAnsi="Times New Roman;sans-serif"/>
                <w:b w:val="false"/>
                <w:color w:val="000000"/>
                <w:sz w:val="16"/>
              </w:rPr>
              <w:t>also includes debt issuance costs of $25 thousand, which are separately identifiable from the fair value adjustments noted above.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 Miscellaneous changes not captured in other columns, such as currency adjustments.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 The carrying value for each note category, fair value or amortized cost depending on the election, as of March 31,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Schedule of Principal Maturities of Notes Payable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Notes payable as of March 31, 2025, are as follows:</w:t>
      </w:r>
    </w:p>
    <w:tbl>
      <w:tblPr>
        <w:tblW w:w="2480" w:type="dxa"/>
        <w:jc w:val="left"/>
        <w:tblInd w:w="0" w:type="dxa"/>
        <w:tblLayout w:type="fixed"/>
        <w:tblCellMar>
          <w:top w:w="28" w:type="dxa"/>
          <w:left w:w="28" w:type="dxa"/>
          <w:bottom w:w="28" w:type="dxa"/>
          <w:right w:w="28" w:type="dxa"/>
        </w:tblCellMar>
      </w:tblPr>
      <w:tblGrid>
        <w:gridCol w:w="505"/>
        <w:gridCol w:w="444"/>
        <w:gridCol w:w="445"/>
        <w:gridCol w:w="211"/>
        <w:gridCol w:w="721"/>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issued various financing arrangements, including secured and unsecured notes, convertible notes, and loans. These are categorized as follows: (i) Secured SPA Notes; (ii) 2023 Unsecured SPA Notes; (iii) Unsecured Convertible Notes; (iv) Junior Secured SPA Notes; (v) 2024 Unsecured SPA Notes; (vi) 2025 March Unsecured SPA Notes ; (vii) Notes payable – China other; and (viii) Auto loans.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discussion of the terms, amendments, letter agreements, and financial impacts for each category of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Secured SPA Notes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Overview and Terms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w:t>
      </w:r>
      <w:r>
        <w:rPr>
          <w:rFonts w:ascii="Times New Roman;sans-serif" w:hAnsi="Times New Roman;sans-serif"/>
          <w:b w:val="false"/>
          <w:color w:val="000000"/>
          <w:sz w:val="20"/>
          <w:shd w:fill="FFFFFF" w:val="clear"/>
        </w:rPr>
        <w:t>e Secured SPA Notes were issued under the Secured SPA Agreement dated August 14, 2022, with FF Simplicity Ventures LLC (“FFSV”) acting as administrative agent, collateral agent, and purchaser, along with additional purchasers. These senior secured convertible notes are supported by a second lien on substantially all of the Company’s assets and are guaranteed by the Company’s domestic subsidiaries.</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Secured SPA Notes bear an annual interest rate of 10%, increasing to 15% if interest is paid in shares of Class A Common Stock. Principal and interest are due at maturity, unless converted earlier pursuant to the Secured SPA Notes’ conversion privileges. Issued at a 10% original issue discount, these notes are convertible into Class A Common Stock at the lesser of a fixed conversion price or 90% of the VWAP for the trading day immediately prior to the conversion date. The Secured SPA Notes are subject to full ratchet anti-dilution price protection and as of March 31, 2025 the fixed price conversion price was $1.16. The Secured SPA Notes mature six-years from each date of issuance. The outstanding Secured SPA Notes, as of March 31, 2025, are scheduled to mature in November 2031.</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the issuance of the Secured SPA Notes, the Company also granted to each purchaser a warrant (the “Secured SPA Warrants”) to purchase shares of Class A Common Stock equal to 33% of the shares issuable upon conversion of the aggregate principal amount under the Secured SPA Notes funded. The Secured SPA Warrants are subject to the same full ratchet anti-dilution price protection as the Secured SPA Notes. The Secured SPA Warrants are indexed to the Company’s Class A Common Stock and, as such, meet the scope exception in ASC 815-40 to be classified within equity.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The Company elected the fair value option afforded by</w:t>
      </w:r>
      <w:r>
        <w:rPr>
          <w:color w:val="000000"/>
          <w:shd w:fill="FFFFFF" w:val="clear"/>
        </w:rPr>
        <w:t xml:space="preserve"> </w:t>
      </w:r>
      <w:r>
        <w:rPr>
          <w:rFonts w:ascii="Times New Roman;sans-serif" w:hAnsi="Times New Roman;sans-serif"/>
          <w:b w:val="false"/>
          <w:i/>
          <w:color w:val="000000"/>
          <w:sz w:val="20"/>
          <w:shd w:fill="FFFFFF" w:val="clear"/>
        </w:rPr>
        <w:t>ASC 825, Financial Instruments</w:t>
      </w:r>
      <w:r>
        <w:rPr>
          <w:rFonts w:ascii="Times New Roman;sans-serif" w:hAnsi="Times New Roman;sans-serif"/>
          <w:b w:val="false"/>
          <w:color w:val="000000"/>
          <w:sz w:val="20"/>
          <w:shd w:fill="FFFFFF" w:val="clear"/>
        </w:rPr>
        <w:t>, with respect to the Secured SPA Notes because the notes include features, such as a contingently exercisable put option, that meet the definition of an embedded derivative. The Company expenses transaction costs to Change in fair value of notes payable, warrant liabilities, and derivative call options in the Unaudited Condensed Consolidated Statements of Operations and Comprehensive Loss.</w:t>
      </w:r>
      <w:r>
        <w:rPr>
          <w:color w:val="000000"/>
        </w:rPr>
        <w:t xml:space="preserve"> </w:t>
      </w:r>
      <w:r>
        <w:rPr>
          <w:rFonts w:ascii="Times New Roman;sans-serif" w:hAnsi="Times New Roman;sans-serif"/>
          <w:b w:val="false"/>
          <w:color w:val="000000"/>
          <w:sz w:val="20"/>
        </w:rPr>
        <w:t>The Company also elected to apply the fair value option for all other SPA Portfolio Notes.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Amendments and Modifications</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Secured SPA Notes have undergone several amendments:</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val="false"/>
          <w:i/>
          <w:color w:val="000000"/>
          <w:sz w:val="20"/>
          <w:u w:val="single"/>
          <w:shd w:fill="FFFFFF" w:val="clear"/>
        </w:rPr>
        <w:t xml:space="preserve">Unanimous Written Consents: </w:t>
      </w:r>
      <w:r>
        <w:rPr>
          <w:rFonts w:ascii="Times New Roman;sans-serif" w:hAnsi="Times New Roman;sans-serif"/>
          <w:b w:val="false"/>
          <w:color w:val="000000"/>
          <w:sz w:val="20"/>
          <w:shd w:fill="FFFFFF" w:val="clear"/>
        </w:rPr>
        <w:t xml:space="preserve">During the six months ended June 30, 2024, the Company’s Board of Directors (the “Board”) exercised its authority via a series of written consents (the “Unanimous Written Consents”) to adjust the principal conversion price of the Secured SPA Notes as it considered desirable. The Board chose to reduce the principal conversion price from </w:t>
      </w:r>
      <w:r>
        <w:rPr>
          <w:rFonts w:ascii="Times New Roman;sans-serif" w:hAnsi="Times New Roman;sans-serif"/>
          <w:b w:val="false"/>
          <w:color w:val="000000"/>
          <w:sz w:val="20"/>
        </w:rPr>
        <w:t>$29.33</w:t>
      </w:r>
      <w:r>
        <w:rPr>
          <w:color w:val="000000"/>
          <w:shd w:fill="FFFFFF" w:val="clear"/>
        </w:rPr>
        <w:t xml:space="preserve"> </w:t>
      </w:r>
      <w:r>
        <w:rPr>
          <w:rFonts w:ascii="Times New Roman;sans-serif" w:hAnsi="Times New Roman;sans-serif"/>
          <w:b w:val="false"/>
          <w:color w:val="000000"/>
          <w:sz w:val="20"/>
          <w:shd w:fill="FFFFFF" w:val="clear"/>
        </w:rPr>
        <w:t xml:space="preserve">to </w:t>
      </w:r>
      <w:r>
        <w:rPr>
          <w:rFonts w:ascii="Times New Roman;sans-serif" w:hAnsi="Times New Roman;sans-serif"/>
          <w:b w:val="false"/>
          <w:color w:val="000000"/>
          <w:sz w:val="20"/>
        </w:rPr>
        <w:t>105%</w:t>
      </w:r>
      <w:r>
        <w:rPr>
          <w:color w:val="000000"/>
          <w:shd w:fill="FFFFFF" w:val="clear"/>
        </w:rPr>
        <w:t xml:space="preserve"> </w:t>
      </w:r>
      <w:r>
        <w:rPr>
          <w:rFonts w:ascii="Times New Roman;sans-serif" w:hAnsi="Times New Roman;sans-serif"/>
          <w:b w:val="false"/>
          <w:color w:val="000000"/>
          <w:sz w:val="20"/>
          <w:shd w:fill="FFFFFF" w:val="clear"/>
        </w:rPr>
        <w:t>of the listed market price of the Company’s Common Stock at the close of the trading day on which a conversion notice is delivered. The adjustments to the principal conversion price were temporary in nature and contractually concluded on June 30, 2024. The actions of the Board in the Unanimous Written Consents did not trigger any full ratchet anti-dilution price protection in the Company’s debt and equity securities.</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val="false"/>
          <w:i/>
          <w:color w:val="000000"/>
          <w:sz w:val="20"/>
          <w:u w:val="single"/>
          <w:shd w:fill="FFFFFF" w:val="clear"/>
        </w:rPr>
        <w:t>Eleventh and Twelfth Amendments (July 11, 2024):</w:t>
      </w:r>
      <w:r>
        <w:rPr>
          <w:color w:val="000000"/>
          <w:shd w:fill="FFFFFF" w:val="clear"/>
        </w:rPr>
        <w:t xml:space="preserve"> </w:t>
      </w:r>
      <w:r>
        <w:rPr>
          <w:rFonts w:ascii="Times New Roman;sans-serif" w:hAnsi="Times New Roman;sans-serif"/>
          <w:b w:val="false"/>
          <w:color w:val="000000"/>
          <w:sz w:val="20"/>
          <w:shd w:fill="FFFFFF" w:val="clear"/>
        </w:rPr>
        <w:t xml:space="preserve">Permitted entry into the Collateralized Loan by subordinating liens securing the Secured SPA Notes to liens under the Collateralized Loan (See </w:t>
      </w:r>
      <w:r>
        <w:rPr>
          <w:rFonts w:ascii="Times New Roman;sans-serif" w:hAnsi="Times New Roman;sans-serif"/>
          <w:b w:val="false"/>
          <w:color w:val="000000"/>
          <w:sz w:val="20"/>
        </w:rPr>
        <w:t xml:space="preserve">Note 9, </w:t>
      </w:r>
      <w:r>
        <w:rPr>
          <w:rFonts w:ascii="Times New Roman;sans-serif" w:hAnsi="Times New Roman;sans-serif"/>
          <w:b w:val="false"/>
          <w:i/>
          <w:color w:val="000000"/>
          <w:sz w:val="20"/>
        </w:rPr>
        <w:t>Other Financing Liabilities</w:t>
      </w:r>
      <w:r>
        <w:rPr>
          <w:rFonts w:ascii="Times New Roman;sans-serif" w:hAnsi="Times New Roman;sans-serif"/>
          <w:b w:val="false"/>
          <w:color w:val="000000"/>
          <w:sz w:val="20"/>
        </w:rPr>
        <w:t>, Section</w:t>
      </w:r>
      <w:r>
        <w:rPr>
          <w:color w:val="000000"/>
          <w:shd w:fill="FFFFFF" w:val="clear"/>
        </w:rPr>
        <w:t xml:space="preserve"> </w:t>
      </w:r>
      <w:r>
        <w:rPr>
          <w:rFonts w:ascii="Times New Roman;sans-serif" w:hAnsi="Times New Roman;sans-serif"/>
          <w:b w:val="false"/>
          <w:i/>
          <w:color w:val="000000"/>
          <w:sz w:val="20"/>
          <w:shd w:fill="FFFFFF" w:val="clear"/>
        </w:rPr>
        <w:t>Collateralized Loan</w:t>
      </w:r>
      <w:r>
        <w:rPr>
          <w:color w:val="000000"/>
          <w:shd w:fill="FFFFFF" w:val="clear"/>
        </w:rPr>
        <w:t xml:space="preserve"> </w:t>
      </w:r>
      <w:r>
        <w:rPr>
          <w:rFonts w:ascii="Times New Roman;sans-serif" w:hAnsi="Times New Roman;sans-serif"/>
          <w:b w:val="false"/>
          <w:color w:val="000000"/>
          <w:sz w:val="20"/>
          <w:shd w:fill="FFFFFF" w:val="clear"/>
        </w:rPr>
        <w:t xml:space="preserve">below). </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val="false"/>
          <w:i/>
          <w:color w:val="000000"/>
          <w:sz w:val="20"/>
          <w:u w:val="single"/>
          <w:shd w:fill="FFFFFF" w:val="clear"/>
        </w:rPr>
        <w:t>The Waiver Agreement (August 2, 2024)</w:t>
      </w:r>
      <w:r>
        <w:rPr>
          <w:rFonts w:ascii="Times New Roman;sans-serif" w:hAnsi="Times New Roman;sans-serif"/>
          <w:b w:val="false"/>
          <w:color w:val="000000"/>
          <w:sz w:val="20"/>
          <w:shd w:fill="FFFFFF" w:val="clear"/>
        </w:rPr>
        <w:t xml:space="preserve">: Revised key financial terms of the Secured SPA Notes and 2023 Unsecured SPA Notes, including elimination of the Make-Whole Amount. The Make-Whole Amount was a provision that entitled noteholders to compensation for the interest they would have received had the notes been held to maturity. Additionally, pursuant to the Waiver Agreement, the holders agreed that accrued interest shall be due at maturity or conversion. Further, the conversion price was reduced to the lesser of (1) the conversion price then in effect, </w:t>
      </w:r>
      <w:r>
        <w:rPr>
          <w:rFonts w:ascii="Times New Roman;sans-serif" w:hAnsi="Times New Roman;sans-serif"/>
          <w:b w:val="false"/>
          <w:color w:val="000000"/>
          <w:sz w:val="20"/>
        </w:rPr>
        <w:t>$29.33</w:t>
      </w:r>
      <w:r>
        <w:rPr>
          <w:rFonts w:ascii="Times New Roman;sans-serif" w:hAnsi="Times New Roman;sans-serif"/>
          <w:b w:val="false"/>
          <w:color w:val="000000"/>
          <w:sz w:val="20"/>
          <w:shd w:fill="FFFFFF" w:val="clear"/>
        </w:rPr>
        <w:t xml:space="preserve">, subject to full ratchet anti-dilution price protection (as adjusted for stock splits, stock dividends, stock combinations, recapitalizations or other similar transactions occurring thereafter) or (2) </w:t>
      </w:r>
      <w:r>
        <w:rPr>
          <w:rFonts w:ascii="Times New Roman;sans-serif" w:hAnsi="Times New Roman;sans-serif"/>
          <w:b w:val="false"/>
          <w:color w:val="000000"/>
          <w:sz w:val="20"/>
        </w:rPr>
        <w:t>90%</w:t>
      </w:r>
      <w:r>
        <w:rPr>
          <w:color w:val="000000"/>
          <w:shd w:fill="FFFFFF" w:val="clear"/>
        </w:rPr>
        <w:t xml:space="preserve"> </w:t>
      </w:r>
      <w:r>
        <w:rPr>
          <w:rFonts w:ascii="Times New Roman;sans-serif" w:hAnsi="Times New Roman;sans-serif"/>
          <w:b w:val="false"/>
          <w:color w:val="000000"/>
          <w:sz w:val="20"/>
          <w:shd w:fill="FFFFFF" w:val="clear"/>
        </w:rPr>
        <w:t xml:space="preserve">of the VWAP of the Company’s Common Stock as of the trading day ended immediately prior to the time the conversion notice is delivered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Company. The provisions of the Waiver Agreement will apply to all Secured SPA Notes and 2023 Unsecured SPA Notes currently issued or issuable in the future pursuant to the Secured SPA Agreement and 2023 Unsecured SPA Agreement.</w:t>
      </w:r>
    </w:p>
    <w:p>
      <w:pPr>
        <w:pStyle w:val="TextBody"/>
        <w:bidi w:val="0"/>
        <w:spacing w:lineRule="auto" w:line="288" w:before="160" w:after="283"/>
        <w:jc w:val="both"/>
        <w:rPr/>
      </w:pPr>
      <w:r>
        <w:rPr>
          <w:rFonts w:ascii="Times New Roman;sans-serif" w:hAnsi="Times New Roman;sans-serif"/>
          <w:b/>
          <w:i/>
          <w:color w:val="000000"/>
          <w:sz w:val="20"/>
          <w:shd w:fill="FFFFFF" w:val="clear"/>
        </w:rPr>
        <w:t>Anti-Dilution Adjustments</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Company entered into dilutive stock sale and purchase transactions, that triggered the full ratchet anti-dilution price protections embedded in the Secured SPA Notes and Secured SPA Warrants. As a result, the fixed-price conversion price of the Secured SPA Notes and exercise price of the Secured SPA Warrants outstanding prior to such financings was reduced to a price equal to the price per share paid in the dilutive financings. </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shd w:fill="FFFFFF" w:val="clear"/>
        </w:rPr>
        <w:t xml:space="preserve">On September 5, 2024, the Company entered into the Junior Secured SPA Agreement, which triggered the full ratchet anti-dilution price protection in the Secured SPA Notes and Secured SPA Warrants. The issuance of the Junior Secured SPA Notes constituted a dilutive issuance, as the stated conversion price of </w:t>
      </w:r>
      <w:r>
        <w:rPr>
          <w:rFonts w:ascii="Times New Roman;sans-serif" w:hAnsi="Times New Roman;sans-serif"/>
          <w:b w:val="false"/>
          <w:color w:val="000000"/>
          <w:sz w:val="20"/>
        </w:rPr>
        <w:t>$5.24</w:t>
      </w:r>
      <w:r>
        <w:rPr>
          <w:color w:val="000000"/>
          <w:shd w:fill="FFFFFF" w:val="clear"/>
        </w:rPr>
        <w:t xml:space="preserve"> </w:t>
      </w:r>
      <w:r>
        <w:rPr>
          <w:rFonts w:ascii="Times New Roman;sans-serif" w:hAnsi="Times New Roman;sans-serif"/>
          <w:b w:val="false"/>
          <w:color w:val="000000"/>
          <w:sz w:val="20"/>
          <w:shd w:fill="FFFFFF" w:val="clear"/>
        </w:rPr>
        <w:t xml:space="preserve">was less than the Secured SPA Notes and Secured SPA Warrant exercise price.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shd w:fill="FFFFFF" w:val="clear"/>
        </w:rPr>
        <w:t xml:space="preserve">On December 21, 2024, the Company entered into the 2024 Unsecured SPA Notes, which triggered the full ratchet anti-dilution price protection in the Secured SPA Notes and Secured SPA Warrant. The issuance of the 2024 Unsecured SPA Notes constituted a dilutive issuance, as the stated conversion price of </w:t>
      </w:r>
      <w:r>
        <w:rPr>
          <w:rFonts w:ascii="Times New Roman;sans-serif" w:hAnsi="Times New Roman;sans-serif"/>
          <w:b w:val="false"/>
          <w:color w:val="000000"/>
          <w:sz w:val="20"/>
        </w:rPr>
        <w:t>$1.16</w:t>
      </w:r>
      <w:r>
        <w:rPr>
          <w:color w:val="000000"/>
          <w:shd w:fill="FFFFFF" w:val="clear"/>
        </w:rPr>
        <w:t xml:space="preserve"> </w:t>
      </w:r>
      <w:r>
        <w:rPr>
          <w:rFonts w:ascii="Times New Roman;sans-serif" w:hAnsi="Times New Roman;sans-serif"/>
          <w:b w:val="false"/>
          <w:color w:val="000000"/>
          <w:sz w:val="20"/>
          <w:shd w:fill="FFFFFF" w:val="clear"/>
        </w:rPr>
        <w:t xml:space="preserve">was less than the Secured SPA Notes conversion price and Secured SPA Warrant exercise price.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months ended March 31, 2025 there have not been any dilutive stock sale and purchase transactions. </w:t>
      </w:r>
    </w:p>
    <w:p>
      <w:pPr>
        <w:pStyle w:val="TextBody"/>
        <w:bidi w:val="0"/>
        <w:spacing w:lineRule="auto" w:line="288" w:before="160" w:after="283"/>
        <w:jc w:val="both"/>
        <w:rPr/>
      </w:pPr>
      <w:r>
        <w:rPr>
          <w:rFonts w:ascii="Times New Roman;sans-serif" w:hAnsi="Times New Roman;sans-serif"/>
          <w:b/>
          <w:i/>
          <w:color w:val="000000"/>
          <w:sz w:val="20"/>
          <w:shd w:fill="FFFFFF" w:val="clear"/>
        </w:rPr>
        <w:t>Summary of Secured SPA Notes Activity</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As of March 31, 2025, the fair value of the Secured SPA Notes</w:t>
      </w:r>
      <w:r>
        <w:rPr>
          <w:color w:val="000000"/>
        </w:rPr>
        <w:t xml:space="preserve"> </w:t>
      </w:r>
      <w:r>
        <w:rPr>
          <w:rFonts w:ascii="Times New Roman;sans-serif" w:hAnsi="Times New Roman;sans-serif"/>
          <w:b w:val="false"/>
          <w:color w:val="000000"/>
          <w:sz w:val="20"/>
        </w:rPr>
        <w:t>was $2.4 million, compared to $5.5 million as of December 31, 2024. During the three months ended March 31, 2025, the Company did not receive cash proceeds or incur transaction costs, in exchange for the issuance of the Secured SPA Notes. The Company converted debt with a principal amount of $0.6 million into 602,902 shares of the Company’s Class A Common Stock. The conversion of Secured SPA Notes into Class A Common Stock resulted in a Loss on extinguishment of $0.3 million. For the three months ended March 31, 2025, the Company recognized $2.5 million gain from fair value remeasurement of Secured SPA Notes under ASC 825, recorded in Change in fair value of notes payable, warrant liabilities, and derivative call options in the Unaudited Condensed Consolidated Statements of Operations and Comprehensive Loss</w:t>
      </w:r>
      <w:r>
        <w:rPr>
          <w:rFonts w:ascii="Times New Roman;sans-serif" w:hAnsi="Times New Roman;sans-serif"/>
          <w:b w:val="false"/>
          <w:color w:val="000000"/>
          <w:sz w:val="20"/>
          <w:shd w:fill="FFFFFF" w:val="clear"/>
        </w:rPr>
        <w: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received cash proceeds, net of original issue discounts of $1.5 million in exchange for the issuance of the Secured SPA Notes and incurred approximately $0.0 million in transaction costs. The Company converted debt with a principal amount of $18.3 million into 2,937,946 shares of the Company’s Class A Common Stock. The conversion of Secured SPA Notes into Class A Common Stock resulted in a Loss on extinguishment of $11.4 million. For the three months ended March 31, 2024, the Company recognized $25.1 million gain from fair value remeasurement of Secured SPA Notes under ASC 825, recorded in Change in fair value of notes payable, warrant liabilities, and derivative call options 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2023 Unsecured SPA Notes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Overview and Terms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2023 Unsecured SPA Notes</w:t>
      </w:r>
      <w:r>
        <w:rPr>
          <w:color w:val="000000"/>
          <w:shd w:fill="FFFFFF" w:val="clear"/>
        </w:rPr>
        <w:t xml:space="preserve"> </w:t>
      </w:r>
      <w:r>
        <w:rPr>
          <w:rFonts w:ascii="Times New Roman;sans-serif" w:hAnsi="Times New Roman;sans-serif"/>
          <w:b w:val="false"/>
          <w:color w:val="000000"/>
          <w:sz w:val="20"/>
          <w:shd w:fill="FFFFFF" w:val="clear"/>
        </w:rPr>
        <w:t>were issued under the Unsecured SPA Agreement dated May 8, 2023, with various investors including Metaverse Horizon Limited (“MHL”), a related party. These notes are unsecured and have terms similar to the Secured SPA Notes, except they lack collateral backing.</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2023 Unsecured SPA Notes bear an annual interest rate of 10%, increasing to 15%, if interest is paid in shares of Class A Common Stock. Principal and interest are due at maturity, unless converted earlier pursuant to the 2023 Unsecured SPA Notes’ conversion privileges. Issued at a 10% original issue discount, these notes are convertible into the Company’s Class A Common Stock at the lesser of a fixed conversion price or </w:t>
      </w:r>
      <w:r>
        <w:rPr>
          <w:rFonts w:ascii="Times New Roman;sans-serif" w:hAnsi="Times New Roman;sans-serif"/>
          <w:b w:val="false"/>
          <w:color w:val="000000"/>
          <w:sz w:val="20"/>
        </w:rPr>
        <w:t>90%</w:t>
      </w:r>
      <w:r>
        <w:rPr>
          <w:color w:val="000000"/>
          <w:shd w:fill="FFFFFF" w:val="clear"/>
        </w:rPr>
        <w:t xml:space="preserve"> </w:t>
      </w:r>
      <w:r>
        <w:rPr>
          <w:rFonts w:ascii="Times New Roman;sans-serif" w:hAnsi="Times New Roman;sans-serif"/>
          <w:b w:val="false"/>
          <w:color w:val="000000"/>
          <w:sz w:val="20"/>
          <w:shd w:fill="FFFFFF" w:val="clear"/>
        </w:rPr>
        <w:t xml:space="preserve">of the VWAP for the trading day immediately prior to the conversion date. The 2023 Unsecured SPA Notes are subject to full ratchet anti-dilution price protection and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the fixed price conversion price was </w:t>
      </w:r>
      <w:r>
        <w:rPr>
          <w:rFonts w:ascii="Times New Roman;sans-serif" w:hAnsi="Times New Roman;sans-serif"/>
          <w:b w:val="false"/>
          <w:color w:val="000000"/>
          <w:sz w:val="20"/>
        </w:rPr>
        <w:t>$1.16</w:t>
      </w:r>
      <w:r>
        <w:rPr>
          <w:rFonts w:ascii="Times New Roman;sans-serif" w:hAnsi="Times New Roman;sans-serif"/>
          <w:b w:val="false"/>
          <w:color w:val="000000"/>
          <w:sz w:val="20"/>
          <w:shd w:fill="FFFFFF" w:val="clear"/>
        </w:rPr>
        <w:t xml:space="preserve">. The 2023 Unsecured SPA Notes mature primarily six-years from each date of issuance. There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 xml:space="preserve">outstanding 2023 Unsecured SPA Notes,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the issuance of the 2023 Unsecured SPA Notes, the Company also granted to each purchaser a warrant (the “2023 Unsecured SPA Warrants”) to purchase shares of Class A Common Stock equal to 33% of the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issuable upon conversion of the aggregate principal amount under the Secured SPA Notes funded. The 2023 Unsecured SPA Warrants are subject to the same full ratchet anti-dilution price protection as the 2023 Unsecured SPA Notes. The 2023 Unsecured SPA Warrants are indexed to the Company’s Class A Common Stock and, as such, meet the scope exception in ASC 815-40 to be classified within equity.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activity below does not include related party transactions, which are discussed separately in Note 8, </w:t>
      </w:r>
      <w:r>
        <w:rPr>
          <w:rFonts w:ascii="Times New Roman;sans-serif" w:hAnsi="Times New Roman;sans-serif"/>
          <w:b w:val="false"/>
          <w:i/>
          <w:color w:val="000000"/>
          <w:sz w:val="20"/>
          <w:shd w:fill="FFFFFF" w:val="clear"/>
        </w:rPr>
        <w:t>Related Party Transactions</w:t>
      </w:r>
      <w:r>
        <w:rPr>
          <w:rFonts w:ascii="Times New Roman;sans-serif" w:hAnsi="Times New Roman;sans-serif"/>
          <w:b w:val="false"/>
          <w:color w:val="000000"/>
          <w:sz w:val="20"/>
          <w:shd w:fill="FFFFFF" w:val="clear"/>
        </w:rPr>
        <w:t>.</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Amendments, Waivers, and Modifications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Waiver Agreement dated August 2, 2024, revised the terms of the Secured SPA Notes and 2023 Unsecured SPA Notes. The terms of the 2023 Unsecured SPA Notes are substantially similar to those of the Secured SPA Notes and were similarly impacted by the Waiver Agreements. Details of the Waiver Agreements and their effects on the Secured SPA Notes and 2023 Unsecured SPA Notes are discussed in the section on Secured SPA Notes.</w:t>
      </w:r>
    </w:p>
    <w:p>
      <w:pPr>
        <w:pStyle w:val="TextBody"/>
        <w:bidi w:val="0"/>
        <w:spacing w:lineRule="auto" w:line="288" w:before="160" w:after="283"/>
        <w:jc w:val="both"/>
        <w:rPr/>
      </w:pPr>
      <w:r>
        <w:rPr>
          <w:rFonts w:ascii="Times New Roman;sans-serif" w:hAnsi="Times New Roman;sans-serif"/>
          <w:b/>
          <w:i/>
          <w:color w:val="000000"/>
          <w:sz w:val="20"/>
          <w:shd w:fill="FFFFFF" w:val="clear"/>
        </w:rPr>
        <w:t>Anti-Dilution Adjustments</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Company entered into dilutive stock sale and purchase transactions, that triggered the full ratchet anti-dilution price protections embedded in the 2023 Unsecured SPA Notes and 2023 Unsecured SPA Warrants. As a result, the fixed-price conversion price of the 2023 Unsecured SPA Notes and exercise price of the 2023 Unsecured SPA Warrants outstanding prior to such financings was reduced to a price equal to the price per share paid in the dilutive financings.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September 5, 2024, the Company entered into the Junior Secured SPA, which triggered the full ratchet anti-dilution price protection in the 2023 Unsecured SPA Notes and 2023 Unsecured SPA Warrants. The issuance of the Junior Secured SPA Notes constituted a dilutive issuance, as the stated conversion price of </w:t>
      </w:r>
      <w:r>
        <w:rPr>
          <w:rFonts w:ascii="Times New Roman;sans-serif" w:hAnsi="Times New Roman;sans-serif"/>
          <w:b w:val="false"/>
          <w:color w:val="000000"/>
          <w:sz w:val="20"/>
        </w:rPr>
        <w:t>$5.24</w:t>
      </w:r>
      <w:r>
        <w:rPr>
          <w:color w:val="000000"/>
          <w:shd w:fill="FFFFFF" w:val="clear"/>
        </w:rPr>
        <w:t xml:space="preserve"> </w:t>
      </w:r>
      <w:r>
        <w:rPr>
          <w:rFonts w:ascii="Times New Roman;sans-serif" w:hAnsi="Times New Roman;sans-serif"/>
          <w:b w:val="false"/>
          <w:color w:val="000000"/>
          <w:sz w:val="20"/>
          <w:shd w:fill="FFFFFF" w:val="clear"/>
        </w:rPr>
        <w:t xml:space="preserve">was less than the 2023 Unsecured SPA Notes and 2023 Unsecured SPA Warrant exercise price.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December 21, 2024, the Company entered into the 2024 Unsecured SPA Notes, which triggered the full ratchet anti-dilution price protection in the 2023 Unsecured SPA Notes and 2023 Unsecured SPA Warrant. The issuance of the 2024 Unsecured SPA Notes constituted a dilutive issuance, as the stated conversion price of </w:t>
      </w:r>
      <w:r>
        <w:rPr>
          <w:rFonts w:ascii="Times New Roman;sans-serif" w:hAnsi="Times New Roman;sans-serif"/>
          <w:b w:val="false"/>
          <w:color w:val="000000"/>
          <w:sz w:val="20"/>
        </w:rPr>
        <w:t>$1.16</w:t>
      </w:r>
      <w:r>
        <w:rPr>
          <w:color w:val="000000"/>
          <w:shd w:fill="FFFFFF" w:val="clear"/>
        </w:rPr>
        <w:t xml:space="preserve"> </w:t>
      </w:r>
      <w:r>
        <w:rPr>
          <w:rFonts w:ascii="Times New Roman;sans-serif" w:hAnsi="Times New Roman;sans-serif"/>
          <w:b w:val="false"/>
          <w:color w:val="000000"/>
          <w:sz w:val="20"/>
          <w:shd w:fill="FFFFFF" w:val="clear"/>
        </w:rPr>
        <w:t xml:space="preserve">was less than the 2023 Unsecured SPA Notes conversion and Secured SPA Warrant exercise price.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months ended March 31, 2025 there have not been any dilutive stock sale and purchase transactions.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Summary of 2023 Unsecured SPA Notes Activity</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outstanding 2023 Unsecured SPA Notes</w:t>
      </w:r>
      <w:r>
        <w:rPr>
          <w:rFonts w:ascii="Times New Roman;sans-serif" w:hAnsi="Times New Roman;sans-serif"/>
          <w:b w:val="false"/>
          <w:color w:val="000000"/>
          <w:sz w:val="20"/>
        </w:rPr>
        <w:t>, as of March 31, 2025. As of December 31, 2024, the fair value of the 2023 Unsecured SPA Notes was $6.7 million. During the three months ended March 31, 2025, the Company did not receive cash proceeds or incur transaction costs, in exchange for the issuance of the 2023 Unsecured SPA Notes. The Company converted debt with a principal amount of $4.4 million into 4,167,764 shares of the Company’s Class A Common Stock. The conversion of 2023 Unsecured SPA Notes into Class A Common Stock resulted in a Loss on extinguishment of $2.8 million. For the three months ended March 31, 2025, the Company recognized $2.0 million gain from fair value remeasurement of 2023 Unsecured SPA Notes under ASC 825, recorded in Change in fair value of notes payable, warrant liabilities, and derivative call options in the Unaudited Condensed Consolidated Statements of Operations and Comprehensive Loss</w:t>
      </w:r>
      <w:r>
        <w:rPr>
          <w:rFonts w:ascii="Times New Roman;sans-serif" w:hAnsi="Times New Roman;sans-serif"/>
          <w:b w:val="false"/>
          <w:color w:val="000000"/>
          <w:sz w:val="20"/>
          <w:shd w:fill="FFFFFF" w:val="clear"/>
        </w:rPr>
        <w: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did not receive cash proceeds, incur transaction costs, in exchange for the issuance of the 2023 Unsecured SPA Notes or conversion of 2023 Unsecured SPA Notes into shares of the Company’s Class A Common Stock. For the three months ended March 31, 2024, the Company recognized a $2.9 million gain from fair value remeasurement of 2023 Unsecured SPA Notes under ASC 825, recorded in Change in fair value of notes payable, warrant liabilities, and derivative call options 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Unsecured Convertible Notes</w:t>
      </w:r>
    </w:p>
    <w:p>
      <w:pPr>
        <w:pStyle w:val="TextBody"/>
        <w:bidi w:val="0"/>
        <w:spacing w:lineRule="auto" w:line="288" w:before="160" w:after="283"/>
        <w:jc w:val="both"/>
        <w:rPr/>
      </w:pPr>
      <w:r>
        <w:rPr>
          <w:rFonts w:ascii="Times New Roman;sans-serif" w:hAnsi="Times New Roman;sans-serif"/>
          <w:b/>
          <w:i/>
          <w:color w:val="000000"/>
          <w:sz w:val="20"/>
        </w:rPr>
        <w:t>Overview and Terms</w:t>
      </w:r>
      <w:r>
        <w:rPr>
          <w:color w:val="000000"/>
        </w:rPr>
        <w:t xml:space="preser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In 2024 and 2025, the Company issued unsecured convertible note (the “Unsecured Convertible Notes”), with various investors including MHL, a related party. These Unsecured Convertible Notes, mature three months from issuance, accrue interest at 4.27% and are convertible at issuance into Class A Common Stock, certain SPA Portfolio Notes, or a future security purchase agreement issued by the Company. The activity below does not include related parties activity, discussed separately in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The Company elected the fair value option afforded by</w:t>
      </w:r>
      <w:r>
        <w:rPr>
          <w:color w:val="000000"/>
          <w:shd w:fill="FFFFFF" w:val="clear"/>
        </w:rPr>
        <w:t xml:space="preserve"> </w:t>
      </w:r>
      <w:r>
        <w:rPr>
          <w:rFonts w:ascii="Times New Roman;sans-serif" w:hAnsi="Times New Roman;sans-serif"/>
          <w:b w:val="false"/>
          <w:i/>
          <w:color w:val="000000"/>
          <w:sz w:val="20"/>
          <w:shd w:fill="FFFFFF" w:val="clear"/>
        </w:rPr>
        <w:t>ASC 825, Financial Instruments</w:t>
      </w:r>
      <w:r>
        <w:rPr>
          <w:rFonts w:ascii="Times New Roman;sans-serif" w:hAnsi="Times New Roman;sans-serif"/>
          <w:b w:val="false"/>
          <w:color w:val="000000"/>
          <w:sz w:val="20"/>
          <w:shd w:fill="FFFFFF" w:val="clear"/>
        </w:rPr>
        <w:t xml:space="preserve">, with respect to the </w:t>
      </w:r>
      <w:r>
        <w:rPr>
          <w:rFonts w:ascii="Times New Roman;sans-serif" w:hAnsi="Times New Roman;sans-serif"/>
          <w:b w:val="false"/>
          <w:color w:val="000000"/>
          <w:sz w:val="20"/>
        </w:rPr>
        <w:t>Unsecured Convertible Notes</w:t>
      </w:r>
      <w:r>
        <w:rPr>
          <w:color w:val="000000"/>
          <w:shd w:fill="FFFFFF" w:val="clear"/>
        </w:rPr>
        <w:t xml:space="preserve"> </w:t>
      </w:r>
      <w:r>
        <w:rPr>
          <w:rFonts w:ascii="Times New Roman;sans-serif" w:hAnsi="Times New Roman;sans-serif"/>
          <w:b w:val="false"/>
          <w:color w:val="000000"/>
          <w:sz w:val="20"/>
          <w:shd w:fill="FFFFFF" w:val="clear"/>
        </w:rPr>
        <w:t xml:space="preserve">because the notes are exchangeable into SPA Portfolio Notes and the Company expects that to be how the </w:t>
      </w:r>
      <w:r>
        <w:rPr>
          <w:rFonts w:ascii="Times New Roman;sans-serif" w:hAnsi="Times New Roman;sans-serif"/>
          <w:b w:val="false"/>
          <w:color w:val="000000"/>
          <w:sz w:val="20"/>
        </w:rPr>
        <w:t>Unsecured Convertible Notes settle</w:t>
      </w:r>
      <w:r>
        <w:rPr>
          <w:rFonts w:ascii="Times New Roman;sans-serif" w:hAnsi="Times New Roman;sans-serif"/>
          <w:b w:val="false"/>
          <w:color w:val="000000"/>
          <w:sz w:val="20"/>
          <w:shd w:fill="FFFFFF" w:val="clear"/>
        </w:rPr>
        <w:t>. The Company expenses transaction costs to Change in fair value of notes payable, warrant liabilities, and derivative call options in the Unaudited Condensed Consolidated Statements of Operations and Comprehensive Loss.</w:t>
      </w:r>
      <w:r>
        <w:rPr>
          <w:color w:val="000000"/>
        </w:rPr>
        <w:t xml:space="preserve"> </w:t>
      </w:r>
    </w:p>
    <w:p>
      <w:pPr>
        <w:pStyle w:val="TextBody"/>
        <w:bidi w:val="0"/>
        <w:spacing w:lineRule="auto" w:line="288" w:before="160" w:after="283"/>
        <w:jc w:val="both"/>
        <w:rPr/>
      </w:pPr>
      <w:r>
        <w:rPr>
          <w:rFonts w:ascii="Times New Roman;sans-serif" w:hAnsi="Times New Roman;sans-serif"/>
          <w:b/>
          <w:i/>
          <w:color w:val="000000"/>
          <w:sz w:val="20"/>
          <w:shd w:fill="FFFFFF" w:val="clear"/>
        </w:rPr>
        <w:t>Summary of Unsecured Convertible Notes Activity</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There were no outstanding Unsecured Convertible Notes as of March 31, 2025, following their conversion into other SPA Portfolio Notes during the year ended December 31, 2024. During the three months ended March 31, 2025, the Company issued related party Unsecured Convertible Notes discussed separately in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xml:space="preserve">.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received cash proceeds, net of original issue discounts of $7.6 million in exchange for the issuance of the Unsecured Convertible Notes and incurred approximately zero in transaction costs. For the three months ended March 31, 2024, the Company recognized a $0.3 million loss from fair value remeasurement of Unsecured Convertible Notes under ASC 825, recorded in Change in fair value of notes payable, warrant liabilities, and derivative call options 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Junior Secured SPA Notes</w:t>
      </w:r>
    </w:p>
    <w:p>
      <w:pPr>
        <w:pStyle w:val="TextBody"/>
        <w:bidi w:val="0"/>
        <w:spacing w:lineRule="auto" w:line="288" w:before="160" w:after="283"/>
        <w:jc w:val="both"/>
        <w:rPr/>
      </w:pPr>
      <w:r>
        <w:rPr>
          <w:rFonts w:ascii="Times New Roman;sans-serif" w:hAnsi="Times New Roman;sans-serif"/>
          <w:b/>
          <w:i/>
          <w:color w:val="000000"/>
          <w:sz w:val="20"/>
        </w:rPr>
        <w:t>Overview and Terms</w:t>
      </w:r>
      <w:r>
        <w:rPr>
          <w:color w:val="000000"/>
        </w:rPr>
        <w:t xml:space="preser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Junior Secured SPA Notes were i</w:t>
      </w:r>
      <w:r>
        <w:rPr>
          <w:rFonts w:ascii="Times New Roman;sans-serif" w:hAnsi="Times New Roman;sans-serif"/>
          <w:b w:val="false"/>
          <w:color w:val="000000"/>
          <w:sz w:val="20"/>
          <w:shd w:fill="FFFFFF" w:val="clear"/>
        </w:rPr>
        <w:t xml:space="preserve">ssued under the Junior Secured SPA dated September 5, 2024. These notes are secured by a second-priority lien on certain assets and bear an annual interest rate of 10%. Principal and interest are payable at maturity or at each conversion date. The notes are convertible along with accrued interest into Class A Common Stock at the lesser of (a) a fixed conversion price or (b) the greater of (1) the floor price, </w:t>
      </w:r>
      <w:r>
        <w:rPr>
          <w:rFonts w:ascii="Times New Roman;sans-serif" w:hAnsi="Times New Roman;sans-serif"/>
          <w:b w:val="false"/>
          <w:color w:val="000000"/>
          <w:sz w:val="20"/>
        </w:rPr>
        <w:t>$1.05</w:t>
      </w:r>
      <w:r>
        <w:rPr>
          <w:rFonts w:ascii="Times New Roman;sans-serif" w:hAnsi="Times New Roman;sans-serif"/>
          <w:b w:val="false"/>
          <w:color w:val="000000"/>
          <w:sz w:val="20"/>
          <w:shd w:fill="FFFFFF" w:val="clear"/>
        </w:rPr>
        <w:t xml:space="preserve">, or (2) the average VWAP of the common stock for the five previous trading days. Junior Secured SPA Notes are subject to full ratchet anti-dilution price protection and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the fixed price conversion price was </w:t>
      </w:r>
      <w:r>
        <w:rPr>
          <w:rFonts w:ascii="Times New Roman;sans-serif" w:hAnsi="Times New Roman;sans-serif"/>
          <w:b w:val="false"/>
          <w:color w:val="000000"/>
          <w:sz w:val="20"/>
        </w:rPr>
        <w:t>$1.16</w:t>
      </w:r>
      <w:r>
        <w:rPr>
          <w:rFonts w:ascii="Times New Roman;sans-serif" w:hAnsi="Times New Roman;sans-serif"/>
          <w:b w:val="false"/>
          <w:color w:val="000000"/>
          <w:sz w:val="20"/>
          <w:shd w:fill="FFFFFF" w:val="clear"/>
        </w:rPr>
        <w:t xml:space="preserve">. These notes mature in September 2029.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Junior Secured SPA Investors were given warrants (the “Junior SPA Warrants”) equal to 100% of the shares issuable upon conversion of the aggregate principal amount under the Junior Secured SPA Note funded. The Junior SPA Warrants are exercisable immediately with a term of five years. The Company issued to the placement agent for the transaction a warrant (the “Placement Agent Warrant”) identical to that of the Junior Secured SPA Investors for </w:t>
      </w:r>
      <w:r>
        <w:rPr>
          <w:rFonts w:ascii="Times New Roman;sans-serif" w:hAnsi="Times New Roman;sans-serif"/>
          <w:b w:val="false"/>
          <w:color w:val="000000"/>
          <w:sz w:val="20"/>
        </w:rPr>
        <w:t>202,768</w:t>
      </w:r>
      <w:r>
        <w:rPr>
          <w:color w:val="000000"/>
          <w:shd w:fill="FFFFFF" w:val="clear"/>
        </w:rPr>
        <w:t xml:space="preserve"> </w:t>
      </w:r>
      <w:r>
        <w:rPr>
          <w:rFonts w:ascii="Times New Roman;sans-serif" w:hAnsi="Times New Roman;sans-serif"/>
          <w:b w:val="false"/>
          <w:color w:val="000000"/>
          <w:sz w:val="20"/>
          <w:shd w:fill="FFFFFF" w:val="clear"/>
        </w:rPr>
        <w:t xml:space="preserve">shares of Common Stock, exercisable immediately. These warrants are subject to the same full ratchet anti-dilution price protection as the Junior Secured SPA Notes. The Company’s Junior SPA Warrants meet the requirements for liability classification pursuant to ASC 480-10, Distinguishing Liabilities from Equity. The Junior SPA Warrants could require cash settlement upon events that are considered outside of the control of the Company.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Junior Secured SPA Investors were issued incremental warrants (the “Junior SPA Incremental Warrants”) to purchase additional Junior Secured SPA Notes up to the amounts originally funded under their original Junior Secured SPA Note commitments. The Junior SPA Incremental Warrants, presented in the Unaudited Condensed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14, </w:t>
      </w:r>
      <w:r>
        <w:rPr>
          <w:rFonts w:ascii="Times New Roman;sans-serif" w:hAnsi="Times New Roman;sans-serif"/>
          <w:b w:val="false"/>
          <w:i/>
          <w:color w:val="000000"/>
          <w:sz w:val="20"/>
          <w:shd w:fill="FFFFFF" w:val="clear"/>
        </w:rPr>
        <w:t xml:space="preserve">Fair Value of Financial Instruments </w:t>
      </w:r>
      <w:r>
        <w:rPr>
          <w:rFonts w:ascii="Times New Roman;sans-serif" w:hAnsi="Times New Roman;sans-serif"/>
          <w:b w:val="false"/>
          <w:color w:val="000000"/>
          <w:sz w:val="20"/>
          <w:shd w:fill="FFFFFF" w:val="clear"/>
        </w:rPr>
        <w:t>for further details on the Junior SPA Incremental Warrants.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Amendments and Modifications</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val="false"/>
          <w:i/>
          <w:color w:val="000000"/>
          <w:sz w:val="20"/>
          <w:u w:val="single"/>
          <w:shd w:fill="FFFFFF" w:val="clear"/>
        </w:rPr>
        <w:t>Letter Agreements:</w:t>
      </w:r>
      <w:r>
        <w:rPr>
          <w:color w:val="000000"/>
          <w:shd w:fill="FFFFFF" w:val="clear"/>
        </w:rPr>
        <w:t xml:space="preserve"> </w:t>
      </w:r>
      <w:r>
        <w:rPr>
          <w:rFonts w:ascii="Times New Roman;sans-serif" w:hAnsi="Times New Roman;sans-serif"/>
          <w:b w:val="false"/>
          <w:color w:val="000000"/>
          <w:sz w:val="20"/>
          <w:shd w:fill="FFFFFF" w:val="clear"/>
        </w:rPr>
        <w:t xml:space="preserve">On January 28, 2025, the Company entered into a letter agreement (“September Letter Agreement”) with certain Junior Secured SPA Investors. These investors agreed not to convert outstanding notes below the initial $5.24 conversion price prior to the Company’s receipt of stockholder approval for the issuance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Junior Secured SPA Notes, Junior SPA Warrants and Junior SPA Incremental Warrants. In return, the Company agreed to issue “True-Up Shares” after approval to adjust for any pre-approval conversions, based on a formula considering accrued interest and market pricing. The Letter Agreement include a provision preventing the issuance of shares if the Company's available authorized stock is insufficient. However, the Company must deliver the shares once a sufficient number of authorized but unissued shares becomes available.</w:t>
      </w:r>
    </w:p>
    <w:p>
      <w:pPr>
        <w:pStyle w:val="TextBody"/>
        <w:bidi w:val="0"/>
        <w:spacing w:lineRule="auto" w:line="288" w:before="160" w:after="283"/>
        <w:jc w:val="both"/>
        <w:rPr/>
      </w:pPr>
      <w:r>
        <w:rPr>
          <w:rFonts w:ascii="Times New Roman;sans-serif" w:hAnsi="Times New Roman;sans-serif"/>
          <w:b/>
          <w:i/>
          <w:color w:val="000000"/>
          <w:sz w:val="20"/>
          <w:shd w:fill="FFFFFF" w:val="clear"/>
        </w:rPr>
        <w:t>Anti-Dilution Adjustments</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December 21, 2024, the Company entered into the 2024 Unsecured SPA Notes, which triggered the full ratchet anti-dilution price protection in the Junior Secured SPA Notes and Junior Secured SPA Warrants. The issuance of the 2024 Unsecured SPA Notes constituted a dilutive issuance, as the stated conversion price of </w:t>
      </w:r>
      <w:r>
        <w:rPr>
          <w:rFonts w:ascii="Times New Roman;sans-serif" w:hAnsi="Times New Roman;sans-serif"/>
          <w:b w:val="false"/>
          <w:color w:val="000000"/>
          <w:sz w:val="20"/>
        </w:rPr>
        <w:t>$1.16</w:t>
      </w:r>
      <w:r>
        <w:rPr>
          <w:color w:val="000000"/>
          <w:shd w:fill="FFFFFF" w:val="clear"/>
        </w:rPr>
        <w:t xml:space="preserve"> </w:t>
      </w:r>
      <w:r>
        <w:rPr>
          <w:rFonts w:ascii="Times New Roman;sans-serif" w:hAnsi="Times New Roman;sans-serif"/>
          <w:b w:val="false"/>
          <w:color w:val="000000"/>
          <w:sz w:val="20"/>
          <w:shd w:fill="FFFFFF" w:val="clear"/>
        </w:rPr>
        <w:t xml:space="preserve">was less than the Junior Secured SPA Notes conversion and Junior Secured SPA Warrant exercise price.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months ended March 31, 2025 there have not been any dilutive stock sale and purchase transactions.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Summary of Junior Secured SPA Notes Activity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fair value of the Junior Secured SPA Notes was $6.1 million, compared to $26.1 million as of December 31, 2024. During the three months ended March 31, 2025, the Company did not receive cash proceeds or incur transaction costs, in exchange for the issuance of the Junior Secured SPA Notes. During the three months ended March 31, 2025, the Company converted debt with a principal amount $15.4 million into 113,958,070 shares of the Company’s Class A Common Stock. The conversion of Junior Secured SPA Notes into Class A Common Stock resulted in a Loss on extinguishment of $12.8 million. For the three months ended March 31, 2025, the Company recognized $10.4 million gain from fair value remeasurement of Junior Secured SPA Notes under ASC 825, recorded in Change in fair value of notes payable, warrant liabilities, and derivative call options in the Unaudited Condensed Consolidated Statements of Operations and Comprehensive Loss.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There were no Junior Secured SPA Notes activity during and </w:t>
      </w:r>
      <w:r>
        <w:rPr>
          <w:rFonts w:ascii="Times New Roman;sans-serif" w:hAnsi="Times New Roman;sans-serif"/>
          <w:b w:val="false"/>
          <w:color w:val="000000"/>
          <w:sz w:val="20"/>
        </w:rPr>
        <w:t>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2024 Unsecured SPA Notes </w:t>
      </w:r>
    </w:p>
    <w:p>
      <w:pPr>
        <w:pStyle w:val="TextBody"/>
        <w:bidi w:val="0"/>
        <w:spacing w:lineRule="auto" w:line="288" w:before="160" w:after="283"/>
        <w:jc w:val="both"/>
        <w:rPr/>
      </w:pPr>
      <w:r>
        <w:rPr>
          <w:rFonts w:ascii="Times New Roman;sans-serif" w:hAnsi="Times New Roman;sans-serif"/>
          <w:b/>
          <w:i/>
          <w:color w:val="000000"/>
          <w:sz w:val="20"/>
        </w:rPr>
        <w:t>Overview and Terms</w:t>
      </w:r>
      <w:r>
        <w:rPr>
          <w:color w:val="000000"/>
        </w:rPr>
        <w:t xml:space="preser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2024 Unsecured SPA Notes</w:t>
      </w:r>
      <w:r>
        <w:rPr>
          <w:color w:val="000000"/>
          <w:shd w:fill="FFFFFF" w:val="clear"/>
        </w:rPr>
        <w:t xml:space="preserve"> </w:t>
      </w:r>
      <w:r>
        <w:rPr>
          <w:rFonts w:ascii="Times New Roman;sans-serif" w:hAnsi="Times New Roman;sans-serif"/>
          <w:b w:val="false"/>
          <w:color w:val="000000"/>
          <w:sz w:val="20"/>
          <w:shd w:fill="FFFFFF" w:val="clear"/>
        </w:rPr>
        <w:t xml:space="preserve">were issued under the Unsecured SPA Agreement dated December 21, 2024. These notes bear an annual interest rate of 10%. Principal and interest are payable at maturity or at each conversion date. The notes are convertible along with accrued interest into Class A Common Stock at the lesser of (a) a fixed conversion price, which was </w:t>
      </w:r>
      <w:r>
        <w:rPr>
          <w:rFonts w:ascii="Times New Roman;sans-serif" w:hAnsi="Times New Roman;sans-serif"/>
          <w:b w:val="false"/>
          <w:color w:val="000000"/>
          <w:sz w:val="20"/>
        </w:rPr>
        <w:t>$1.16</w:t>
      </w:r>
      <w:r>
        <w:rPr>
          <w:color w:val="000000"/>
          <w:shd w:fill="FFFFFF" w:val="clear"/>
        </w:rPr>
        <w:t xml:space="preserve"> </w:t>
      </w:r>
      <w:r>
        <w:rPr>
          <w:rFonts w:ascii="Times New Roman;sans-serif" w:hAnsi="Times New Roman;sans-serif"/>
          <w:b w:val="false"/>
          <w:color w:val="000000"/>
          <w:sz w:val="20"/>
          <w:shd w:fill="FFFFFF" w:val="clear"/>
        </w:rPr>
        <w:t xml:space="preserve">at issuance, or (b) the greater of (1) the floor price, </w:t>
      </w:r>
      <w:r>
        <w:rPr>
          <w:rFonts w:ascii="Times New Roman;sans-serif" w:hAnsi="Times New Roman;sans-serif"/>
          <w:b w:val="false"/>
          <w:color w:val="000000"/>
          <w:sz w:val="20"/>
        </w:rPr>
        <w:t>$1.05</w:t>
      </w:r>
      <w:r>
        <w:rPr>
          <w:rFonts w:ascii="Times New Roman;sans-serif" w:hAnsi="Times New Roman;sans-serif"/>
          <w:b w:val="false"/>
          <w:color w:val="000000"/>
          <w:sz w:val="20"/>
          <w:shd w:fill="FFFFFF" w:val="clear"/>
        </w:rPr>
        <w:t xml:space="preserve">, or (2) the lowest one-day VWAP of the common stock for the five previous trading days. 2024 Unsecured SPA Notes are subject to full ratchet anti-dilution price protection. These notes mature on various dates through January 2030.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2024 Unsecured SPA Investors (defined below) were issued warrants (the “2024 Unsecured SPA Warrants”) equal to 100% of the shares issuable upon conversion of the aggregate principal amount under the 2024 Unsecured SPA Notes (defined below) purchased by such 2024 Unsecured SPA Investor. The 2024 Unsecured SPA Warrants are exercisable immediately with a term of five years. 2024 Unsecured SPA Warrants are subject to the same full ratchet anti-dilution price protection as the </w:t>
      </w:r>
      <w:r>
        <w:rPr>
          <w:rFonts w:ascii="Times New Roman;sans-serif" w:hAnsi="Times New Roman;sans-serif"/>
          <w:b w:val="false"/>
          <w:color w:val="000000"/>
          <w:sz w:val="20"/>
        </w:rPr>
        <w:t>2024 Unsecured SPA Notes</w:t>
      </w:r>
      <w:r>
        <w:rPr>
          <w:rFonts w:ascii="Times New Roman;sans-serif" w:hAnsi="Times New Roman;sans-serif"/>
          <w:b w:val="false"/>
          <w:color w:val="000000"/>
          <w:sz w:val="20"/>
          <w:shd w:fill="FFFFFF" w:val="clear"/>
        </w:rPr>
        <w:t xml:space="preserve">. The Company’s 2024 Unsecured SPA Warrants meet the requirements for liability classification pursuant to ASC 480-10, Distinguishing Liabilities from Equity. The 2024 Unsecured SPA Warrants could require cash settlement upon events that are considered outside of the control of the Company in a manner that is not consistent with the holders of the Company’s Common Stock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2024 Unsecured SPA Investors were issued incremental warrants (the “2024 Unsecured SPA Incremental Warrants”) to purchase additional </w:t>
      </w:r>
      <w:r>
        <w:rPr>
          <w:rFonts w:ascii="Times New Roman;sans-serif" w:hAnsi="Times New Roman;sans-serif"/>
          <w:b w:val="false"/>
          <w:color w:val="000000"/>
          <w:sz w:val="20"/>
        </w:rPr>
        <w:t>2024 Unsecured SPA Notes</w:t>
      </w:r>
      <w:r>
        <w:rPr>
          <w:color w:val="000000"/>
          <w:shd w:fill="FFFFFF" w:val="clear"/>
        </w:rPr>
        <w:t xml:space="preserve"> </w:t>
      </w:r>
      <w:r>
        <w:rPr>
          <w:rFonts w:ascii="Times New Roman;sans-serif" w:hAnsi="Times New Roman;sans-serif"/>
          <w:b w:val="false"/>
          <w:color w:val="000000"/>
          <w:sz w:val="20"/>
          <w:shd w:fill="FFFFFF" w:val="clear"/>
        </w:rPr>
        <w:t xml:space="preserve">up to the amounts originally funded under their original 2024 Unsecured SPA Note commitments. The 2024 Unsecured SPA Incremental Warrants, presented in the Unaudited Condensed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14, </w:t>
      </w:r>
      <w:r>
        <w:rPr>
          <w:rFonts w:ascii="Times New Roman;sans-serif" w:hAnsi="Times New Roman;sans-serif"/>
          <w:b w:val="false"/>
          <w:i/>
          <w:color w:val="000000"/>
          <w:sz w:val="20"/>
          <w:shd w:fill="FFFFFF" w:val="clear"/>
        </w:rPr>
        <w:t xml:space="preserve">Fair Value of Financial Instruments </w:t>
      </w:r>
      <w:r>
        <w:rPr>
          <w:rFonts w:ascii="Times New Roman;sans-serif" w:hAnsi="Times New Roman;sans-serif"/>
          <w:b w:val="false"/>
          <w:color w:val="000000"/>
          <w:sz w:val="20"/>
          <w:shd w:fill="FFFFFF" w:val="clear"/>
        </w:rPr>
        <w:t>for further details on the 2024 Unsecured SPA Incremental Warrants.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Amendments and Modifications</w:t>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i/>
          <w:color w:val="000000"/>
          <w:sz w:val="20"/>
          <w:u w:val="single"/>
          <w:shd w:fill="FFFFFF" w:val="clear"/>
        </w:rPr>
        <w:t>Letter Agreements:</w:t>
      </w:r>
      <w:r>
        <w:rPr>
          <w:color w:val="000000"/>
          <w:shd w:fill="FFFFFF" w:val="clear"/>
        </w:rPr>
        <w:t xml:space="preserve"> </w:t>
      </w:r>
      <w:r>
        <w:rPr>
          <w:rFonts w:ascii="Times New Roman;sans-serif" w:hAnsi="Times New Roman;sans-serif"/>
          <w:b w:val="false"/>
          <w:color w:val="000000"/>
          <w:sz w:val="20"/>
          <w:shd w:fill="FFFFFF" w:val="clear"/>
        </w:rPr>
        <w:t xml:space="preserve">On January 28, 2025, the Company entered into a letter agreement (“September Letter Agreement”) with certain the Company entered into a similar letter agreement (“December Letter Agreement”)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certain 2024 Unsecured SPA Investors, modifying terms related to their previously disclosed investment. These investors agreed not to convert outstanding notes below the initial $1.16 conversion price before stockholder approval for the issuance of the 2024 Unsecured SPA Notes, 2024 Unsecured SPA Warrants and 2024 Unsecured Incremental Warrants. The Company agreed to issue True-Up Shares post-approval using an adjustment formula. Additionally, if a resale registration statement becomes effective, and the conversion price exceeds the prior day's closing bid price, the conversion price will be adjusted downward. December Letter Agreement includes a provision preventing the issuance of shares if the Company's available authorized stock is insufficient. However, the Company must deliver the shares once sufficient stock becomes available.</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Summary of 2024 Unsecured SPA Notes Activity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fair value of the 2024 Unsecured SPA Notes was $11.3 million, compared to $7.0 million as of December 31, 2024. During the three months ended March 31, 2025, the Company received cash proceeds, net of original issue discounts of $20.0 million in exchange for the issuance of the 2024 Unsecured SPA Notes and incurred approximately zero in transaction costs. The Company did not convert any 2024 Unsecured SPA Notes into shares of the Company’s Class A Common Stock during the three months ended March 31, 2025. For the three months ended March 31, 2025, the Company recognized a $6.8 million gain from fair value remeasurement of 2024 Unsecured SPA Notes under ASC 825, recorded in Change in fair value of notes payable, warrant liabilities, and derivative call options in the Unaudited Condensed Consolidated Statements of Operations and Comprehensive Loss.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There were no 2024 Unsecured SPA Notes activity during and </w:t>
      </w:r>
      <w:r>
        <w:rPr>
          <w:rFonts w:ascii="Times New Roman;sans-serif" w:hAnsi="Times New Roman;sans-serif"/>
          <w:b w:val="false"/>
          <w:color w:val="000000"/>
          <w:sz w:val="20"/>
        </w:rPr>
        <w:t>three months ended March 31, 2024.</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2025 March Unsecured SPA Notes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Overview and Terms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On March 21, 2025, the Company entered into a securities purchase agreement (the “2025 March Unsecured SPA”) with certain accredited investors, including MHL a related party, pursuant to which the Company agreed to issue and sell up to $41.0 million in aggregate principal amount of senior unsecured convertible promissory notes (the “2025 March Unsecured SPA Notes”). The 2025 March Unsecured SPA permits up to four closings, each subject to specified closing conditions including minimum trading price and volume thresholds. Additional closings may occur in future periods, subject to investor election and satisfaction of the conditions in the 2025 March Unsecured SPA Notes. The activity below does not include related parties activity, discussed separately in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received proceeds in the amount of $2.3 million in advance of the first closing, which occurred on April 4, 2025. These proceeds are reported as outstanding notes as of March 31, 2025.</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March Unsecured SPA Notes mature five years from the date of issuance and bear interest at a fixed rate of 10% per annum. Interest is payable on each conversion date or at maturity and may be settled in cash, shares of Class A common stock, or a combination thereof, at the Company’s election and subject to certain conditions. In the event of a default, the interest rate increases to 18% per annum. The Company may redeem the notes at a premium of 10% over the greater of (i) the value of the shares otherwise issuable upon conversion and (ii) the value of the note’s outstanding principal. In a bankruptcy-related default, the notes are redeemable at a 25% premium, unless waived by the holder.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2025 March Unsecured SPA Notes are convertible at the option of the holder into shares of the Company’s Class A common stock at an initial fixed conversion price of $1.29 per share, subject to customary anti-dilution adjustments. The number of shares issuable upon conversion is determined by dividing the outstanding principal and accrued interest, together with an 8% premium, by the conversion price. The notes also include an alternate conversion feature that permits the holder to convert at the lower of (i) the then-effective conversion price or (ii) the greater of $1.048 per share (the “floor price”) and the lowest volume-weighted average price (VWAP) of the Class A common stock during the five trading days immediately preceding the conversion notice. If a conversion under the alternate mechanism would result in issuance below the floor price, the Company must either settle the difference in cash or increase the principal balance of the note by the shortfall amount. 2025 March Unsecured SPA Notes </w:t>
      </w:r>
      <w:r>
        <w:rPr>
          <w:rFonts w:ascii="Times New Roman;sans-serif" w:hAnsi="Times New Roman;sans-serif"/>
          <w:b w:val="false"/>
          <w:color w:val="000000"/>
          <w:sz w:val="20"/>
          <w:shd w:fill="FFFFFF" w:val="clear"/>
        </w:rPr>
        <w:t>are subject to full ratchet anti-dilution price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“2025 March Unsecured SPA Investors were issued warrants (the “2025 March Unsecured SPA Warrants”) equal to 100% of the shares issuable upon conversion of the aggregate principal amount under the 2025 March Unsecured SPA Notes funded.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2025 March Unsecured SPA</w:t>
      </w:r>
      <w:r>
        <w:rPr>
          <w:color w:val="000000"/>
          <w:shd w:fill="FFFFFF" w:val="clear"/>
        </w:rPr>
        <w:t xml:space="preserve"> </w:t>
      </w:r>
      <w:r>
        <w:rPr>
          <w:rFonts w:ascii="Times New Roman;sans-serif" w:hAnsi="Times New Roman;sans-serif"/>
          <w:b w:val="false"/>
          <w:color w:val="000000"/>
          <w:sz w:val="20"/>
          <w:shd w:fill="FFFFFF" w:val="clear"/>
        </w:rPr>
        <w:t xml:space="preserve">Warrants are exercisable immediately with a term of five years. </w:t>
      </w:r>
      <w:r>
        <w:rPr>
          <w:rFonts w:ascii="Times New Roman;sans-serif" w:hAnsi="Times New Roman;sans-serif"/>
          <w:b w:val="false"/>
          <w:color w:val="000000"/>
          <w:sz w:val="20"/>
        </w:rPr>
        <w:t>2025 March Unsecured SPA</w:t>
      </w:r>
      <w:r>
        <w:rPr>
          <w:color w:val="000000"/>
          <w:shd w:fill="FFFFFF" w:val="clear"/>
        </w:rPr>
        <w:t xml:space="preserve"> </w:t>
      </w:r>
      <w:r>
        <w:rPr>
          <w:rFonts w:ascii="Times New Roman;sans-serif" w:hAnsi="Times New Roman;sans-serif"/>
          <w:b w:val="false"/>
          <w:color w:val="000000"/>
          <w:sz w:val="20"/>
          <w:shd w:fill="FFFFFF" w:val="clear"/>
        </w:rPr>
        <w:t xml:space="preserve">Warrants are subject to the same full ratchet anti-dilution price protection as the </w:t>
      </w:r>
      <w:r>
        <w:rPr>
          <w:rFonts w:ascii="Times New Roman;sans-serif" w:hAnsi="Times New Roman;sans-serif"/>
          <w:b w:val="false"/>
          <w:color w:val="000000"/>
          <w:sz w:val="20"/>
        </w:rPr>
        <w:t>2025 March Unsecured SPA Notes</w:t>
      </w:r>
      <w:r>
        <w:rPr>
          <w:rFonts w:ascii="Times New Roman;sans-serif" w:hAnsi="Times New Roman;sans-serif"/>
          <w:b w:val="false"/>
          <w:color w:val="000000"/>
          <w:sz w:val="20"/>
          <w:shd w:fill="FFFFFF" w:val="clear"/>
        </w:rPr>
        <w:t xml:space="preserve">. The Company’s </w:t>
      </w:r>
      <w:r>
        <w:rPr>
          <w:rFonts w:ascii="Times New Roman;sans-serif" w:hAnsi="Times New Roman;sans-serif"/>
          <w:b w:val="false"/>
          <w:color w:val="000000"/>
          <w:sz w:val="20"/>
        </w:rPr>
        <w:t>2025 March Unsecured SPA</w:t>
      </w:r>
      <w:r>
        <w:rPr>
          <w:color w:val="000000"/>
          <w:shd w:fill="FFFFFF" w:val="clear"/>
        </w:rPr>
        <w:t xml:space="preserve"> </w:t>
      </w:r>
      <w:r>
        <w:rPr>
          <w:rFonts w:ascii="Times New Roman;sans-serif" w:hAnsi="Times New Roman;sans-serif"/>
          <w:b w:val="false"/>
          <w:color w:val="000000"/>
          <w:sz w:val="20"/>
          <w:shd w:fill="FFFFFF" w:val="clear"/>
        </w:rPr>
        <w:t xml:space="preserve">Warrants meet the requirements for liability classification pursuant to ASC 480-10, </w:t>
      </w:r>
      <w:r>
        <w:rPr>
          <w:rFonts w:ascii="Times New Roman;sans-serif" w:hAnsi="Times New Roman;sans-serif"/>
          <w:b w:val="false"/>
          <w:i/>
          <w:color w:val="000000"/>
          <w:sz w:val="20"/>
          <w:shd w:fill="FFFFFF" w:val="clear"/>
        </w:rPr>
        <w:t>Distinguishing Liabilities from Equity.</w:t>
      </w:r>
      <w:r>
        <w:rPr>
          <w:color w:val="000000"/>
          <w:shd w:fill="FFFFFF" w:val="clear"/>
        </w:rPr>
        <w:t xml:space="preserve">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 xml:space="preserve">2025 March Unsecured SPA </w:t>
      </w:r>
      <w:r>
        <w:rPr>
          <w:rFonts w:ascii="Times New Roman;sans-serif" w:hAnsi="Times New Roman;sans-serif"/>
          <w:b w:val="false"/>
          <w:color w:val="000000"/>
          <w:sz w:val="20"/>
          <w:shd w:fill="FFFFFF" w:val="clear"/>
        </w:rPr>
        <w:t>Warrants could require cash settlement upon events that are considered outside of the control of the Company in a manner that is not consistent with the holders of the Company’s Common Stock.</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2025 March Unsecured SPA</w:t>
      </w:r>
      <w:r>
        <w:rPr>
          <w:color w:val="000000"/>
          <w:shd w:fill="FFFFFF" w:val="clear"/>
        </w:rPr>
        <w:t xml:space="preserve"> </w:t>
      </w:r>
      <w:r>
        <w:rPr>
          <w:rFonts w:ascii="Times New Roman;sans-serif" w:hAnsi="Times New Roman;sans-serif"/>
          <w:b w:val="false"/>
          <w:color w:val="000000"/>
          <w:sz w:val="20"/>
          <w:shd w:fill="FFFFFF" w:val="clear"/>
        </w:rPr>
        <w:t xml:space="preserve">Investors were issued incremental warrants (the “2025 March Unsecured SPA Incremental Warrants”)to purchase additional </w:t>
      </w:r>
      <w:r>
        <w:rPr>
          <w:rFonts w:ascii="Times New Roman;sans-serif" w:hAnsi="Times New Roman;sans-serif"/>
          <w:b w:val="false"/>
          <w:color w:val="000000"/>
          <w:sz w:val="20"/>
        </w:rPr>
        <w:t>2025 March Unsecured SPA Notes</w:t>
      </w:r>
      <w:r>
        <w:rPr>
          <w:color w:val="000000"/>
          <w:shd w:fill="FFFFFF" w:val="clear"/>
        </w:rPr>
        <w:t xml:space="preserve"> </w:t>
      </w:r>
      <w:r>
        <w:rPr>
          <w:rFonts w:ascii="Times New Roman;sans-serif" w:hAnsi="Times New Roman;sans-serif"/>
          <w:b w:val="false"/>
          <w:color w:val="000000"/>
          <w:sz w:val="20"/>
          <w:shd w:fill="FFFFFF" w:val="clear"/>
        </w:rPr>
        <w:t xml:space="preserve">up to the amounts funded under their </w:t>
      </w:r>
      <w:r>
        <w:rPr>
          <w:rFonts w:ascii="Times New Roman;sans-serif" w:hAnsi="Times New Roman;sans-serif"/>
          <w:b w:val="false"/>
          <w:color w:val="000000"/>
          <w:sz w:val="20"/>
        </w:rPr>
        <w:t>2025 March Unsecured SPA</w:t>
      </w:r>
      <w:r>
        <w:rPr>
          <w:color w:val="000000"/>
          <w:shd w:fill="FFFFFF" w:val="clear"/>
        </w:rPr>
        <w:t xml:space="preserve"> </w:t>
      </w:r>
      <w:r>
        <w:rPr>
          <w:rFonts w:ascii="Times New Roman;sans-serif" w:hAnsi="Times New Roman;sans-serif"/>
          <w:b w:val="false"/>
          <w:color w:val="000000"/>
          <w:sz w:val="20"/>
          <w:shd w:fill="FFFFFF" w:val="clear"/>
        </w:rPr>
        <w:t xml:space="preserve">commitments. The 2025 March Unsecured SPA Incremental Warrants, presented in the Unaudited Condensed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14, </w:t>
      </w:r>
      <w:r>
        <w:rPr>
          <w:rFonts w:ascii="Times New Roman;sans-serif" w:hAnsi="Times New Roman;sans-serif"/>
          <w:b w:val="false"/>
          <w:i/>
          <w:color w:val="000000"/>
          <w:sz w:val="20"/>
          <w:shd w:fill="FFFFFF" w:val="clear"/>
        </w:rPr>
        <w:t xml:space="preserve">Fair Value of Financial Instruments </w:t>
      </w:r>
      <w:r>
        <w:rPr>
          <w:rFonts w:ascii="Times New Roman;sans-serif" w:hAnsi="Times New Roman;sans-serif"/>
          <w:b w:val="false"/>
          <w:color w:val="000000"/>
          <w:sz w:val="20"/>
          <w:shd w:fill="FFFFFF" w:val="clear"/>
        </w:rPr>
        <w:t>for further details on the 2025 March Unsecured SPA Incremental Warrants.</w:t>
      </w:r>
    </w:p>
    <w:p>
      <w:pPr>
        <w:pStyle w:val="TextBody"/>
        <w:bidi w:val="0"/>
        <w:spacing w:lineRule="auto" w:line="288" w:before="160" w:after="283"/>
        <w:jc w:val="both"/>
        <w:rPr/>
      </w:pPr>
      <w:r>
        <w:rPr>
          <w:rFonts w:ascii="Times New Roman;sans-serif" w:hAnsi="Times New Roman;sans-serif"/>
          <w:b/>
          <w:i/>
          <w:color w:val="000000"/>
          <w:sz w:val="20"/>
          <w:shd w:fill="FFFFFF" w:val="clear"/>
        </w:rPr>
        <w:t xml:space="preserve">Summary of </w:t>
      </w:r>
      <w:r>
        <w:rPr>
          <w:rFonts w:ascii="Times New Roman;sans-serif" w:hAnsi="Times New Roman;sans-serif"/>
          <w:b/>
          <w:i/>
          <w:color w:val="000000"/>
          <w:sz w:val="20"/>
        </w:rPr>
        <w:t>2025 March Unsecured SPA Notes Activity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fair value of the outstanding 2025 March Unsecured SPA Notes, was approximately $0.8 million. During the three months ended March 31, 2025, the Company received cash proceeds, net of original issue discounts of $2.3 million in connection with the 2025 March Unsecured SPA Notes and incurred approximately $0.1 million in transaction costs. The Company recognized a change in fair value of approximately zero during the three months ended March 31, 2025, related to the 2025 March Unsecured SPA Notes under ASC 825, recorded in Change in fair value of notes payable, warrant liabilities, and derivative call options 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8.Related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notes payable agreements with related parties. The Company receives funding through notes payable from various parties, including related parties. These related parties include employees, affiliates of employees, affiliates, and other companies controlled or previously controlled by the Company’s Global Co-CEO (formerly its Chief Product and User Ecosystem Officer), The tables below summarize the related party note payable agreements as of March 31, 2025 and December 31, 2024, providing details on contractual maturity dates, contractual interest rates, and net carrying values.</w:t>
      </w:r>
    </w:p>
    <w:tbl>
      <w:tblPr>
        <w:tblW w:w="10205" w:type="dxa"/>
        <w:jc w:val="left"/>
        <w:tblInd w:w="0" w:type="dxa"/>
        <w:tblLayout w:type="fixed"/>
        <w:tblCellMar>
          <w:top w:w="28" w:type="dxa"/>
          <w:left w:w="28" w:type="dxa"/>
          <w:bottom w:w="28" w:type="dxa"/>
          <w:right w:w="28" w:type="dxa"/>
        </w:tblCellMar>
      </w:tblPr>
      <w:tblGrid>
        <w:gridCol w:w="1122"/>
        <w:gridCol w:w="987"/>
        <w:gridCol w:w="966"/>
        <w:gridCol w:w="162"/>
        <w:gridCol w:w="162"/>
        <w:gridCol w:w="162"/>
        <w:gridCol w:w="586"/>
        <w:gridCol w:w="586"/>
        <w:gridCol w:w="588"/>
        <w:gridCol w:w="162"/>
        <w:gridCol w:w="162"/>
        <w:gridCol w:w="162"/>
        <w:gridCol w:w="162"/>
        <w:gridCol w:w="162"/>
        <w:gridCol w:w="162"/>
        <w:gridCol w:w="162"/>
        <w:gridCol w:w="162"/>
        <w:gridCol w:w="405"/>
        <w:gridCol w:w="162"/>
        <w:gridCol w:w="162"/>
        <w:gridCol w:w="162"/>
        <w:gridCol w:w="162"/>
        <w:gridCol w:w="162"/>
        <w:gridCol w:w="162"/>
        <w:gridCol w:w="337"/>
        <w:gridCol w:w="985"/>
        <w:gridCol w:w="173"/>
        <w:gridCol w:w="109"/>
        <w:gridCol w:w="109"/>
        <w:gridCol w:w="109"/>
        <w:gridCol w:w="109"/>
        <w:gridCol w:w="109"/>
        <w:gridCol w:w="171"/>
      </w:tblGrid>
      <w:tr>
        <w:trPr/>
        <w:tc>
          <w:tcPr>
            <w:tcW w:w="11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Convertible Note</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June 2025 </w:t>
            </w:r>
            <w:r>
              <w:rPr>
                <w:rFonts w:ascii="Times New Roman;sans-serif" w:hAnsi="Times New Roman;sans-serif"/>
                <w:b w:val="false"/>
                <w:color w:val="000000"/>
                <w:sz w:val="12"/>
              </w:rPr>
              <w:t>(3)</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March Unsecured SPA Notes</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2030</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2027</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on Demand — China</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FFGP Note</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Various 2024 </w:t>
            </w:r>
            <w:r>
              <w:rPr>
                <w:rFonts w:ascii="Times New Roman;sans-serif" w:hAnsi="Times New Roman;sans-serif"/>
                <w:b w:val="false"/>
                <w:color w:val="000000"/>
                <w:sz w:val="12"/>
              </w:rPr>
              <w:t>(1)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FFGP Note</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May 2024</w:t>
            </w:r>
            <w:r>
              <w:rPr>
                <w:color w:val="000000"/>
              </w:rPr>
              <w:t xml:space="preserve"> </w:t>
            </w:r>
            <w:r>
              <w:rPr>
                <w:rFonts w:ascii="Times New Roman;sans-serif" w:hAnsi="Times New Roman;sans-serif"/>
                <w:b w:val="false"/>
                <w:color w:val="000000"/>
                <w:sz w:val="12"/>
              </w:rPr>
              <w:t>(1)</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Notes</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current</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long-term</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489" w:type="dxa"/>
            <w:gridSpan w:val="27"/>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term was extended upon receipt of waivers of enforcement rights and remedies under the loan agreements, as described below, with the expected settlement in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489" w:type="dxa"/>
            <w:gridSpan w:val="27"/>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The restructured loan bears no stated interest, and the repayment schedule requires fixed installment payments through the contractual maturity date. If the Company fails to comply with the payment schedule, interest at a rate of 18.0% would be retroactively applied to the unpaid balance. During the term of the revised loan, the Company remained in compliance with the payment schedule, and no contingent interest has been recorded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489" w:type="dxa"/>
            <w:gridSpan w:val="27"/>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Subsequent to March 31, 2025 and prior to the issuance of these financial statements, MHL exchanged the Unsecured Convertible Note due June 2025 into 2025 March Unsecured SPA Notes pursuant to the terms of the original agreement. As a result, management classified the Unsecured Convertible Note as a long-term related party debt instrument for the period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20" w:after="320"/>
        <w:jc w:val="both"/>
        <w:rPr/>
      </w:pPr>
      <w:r>
        <w:rPr/>
      </w:r>
    </w:p>
    <w:tbl>
      <w:tblPr>
        <w:tblW w:w="10205" w:type="dxa"/>
        <w:jc w:val="left"/>
        <w:tblInd w:w="0" w:type="dxa"/>
        <w:tblLayout w:type="fixed"/>
        <w:tblCellMar>
          <w:top w:w="28" w:type="dxa"/>
          <w:left w:w="28" w:type="dxa"/>
          <w:bottom w:w="28" w:type="dxa"/>
          <w:right w:w="28" w:type="dxa"/>
        </w:tblCellMar>
      </w:tblPr>
      <w:tblGrid>
        <w:gridCol w:w="1363"/>
        <w:gridCol w:w="1198"/>
        <w:gridCol w:w="1193"/>
        <w:gridCol w:w="144"/>
        <w:gridCol w:w="144"/>
        <w:gridCol w:w="144"/>
        <w:gridCol w:w="569"/>
        <w:gridCol w:w="569"/>
        <w:gridCol w:w="572"/>
        <w:gridCol w:w="144"/>
        <w:gridCol w:w="144"/>
        <w:gridCol w:w="144"/>
        <w:gridCol w:w="145"/>
        <w:gridCol w:w="145"/>
        <w:gridCol w:w="145"/>
        <w:gridCol w:w="145"/>
        <w:gridCol w:w="145"/>
        <w:gridCol w:w="145"/>
        <w:gridCol w:w="145"/>
        <w:gridCol w:w="145"/>
        <w:gridCol w:w="146"/>
        <w:gridCol w:w="144"/>
        <w:gridCol w:w="144"/>
        <w:gridCol w:w="144"/>
        <w:gridCol w:w="420"/>
        <w:gridCol w:w="1229"/>
        <w:gridCol w:w="217"/>
        <w:gridCol w:w="109"/>
        <w:gridCol w:w="164"/>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Convertible Note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April 2024</w:t>
            </w:r>
            <w:r>
              <w:rPr>
                <w:color w:val="000000"/>
              </w:rPr>
              <w:t xml:space="preserve"> </w:t>
            </w:r>
            <w:r>
              <w:rPr>
                <w:rFonts w:ascii="Times New Roman;sans-serif" w:hAnsi="Times New Roman;sans-serif"/>
                <w:b w:val="false"/>
                <w:color w:val="000000"/>
                <w:sz w:val="12"/>
              </w:rPr>
              <w:t>(1)</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2027</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on Demand — China</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FFGP Note</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Various </w:t>
            </w:r>
            <w:r>
              <w:rPr>
                <w:rFonts w:ascii="Times New Roman;sans-serif" w:hAnsi="Times New Roman;sans-serif"/>
                <w:b w:val="false"/>
                <w:color w:val="000000"/>
                <w:sz w:val="12"/>
              </w:rPr>
              <w:t>(1)</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FFGP Note</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May 2024</w:t>
            </w:r>
            <w:r>
              <w:rPr>
                <w:color w:val="000000"/>
              </w:rPr>
              <w:t xml:space="preserve"> </w:t>
            </w:r>
            <w:r>
              <w:rPr>
                <w:rFonts w:ascii="Times New Roman;sans-serif" w:hAnsi="Times New Roman;sans-serif"/>
                <w:b w:val="false"/>
                <w:color w:val="000000"/>
                <w:sz w:val="12"/>
              </w:rPr>
              <w:t>(1)</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current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Related party notes payable, long-term</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27"/>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term was extended upon receipt of waivers of enforcement rights and remedies under the loan agreements, as described below, with the expected settlement in 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Schedule of Principal Maturities of Related Party Notes Payable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Related party notes payable as of March 31, 2025, are as follows:</w:t>
      </w:r>
    </w:p>
    <w:tbl>
      <w:tblPr>
        <w:tblW w:w="3678"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211"/>
        <w:gridCol w:w="61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(9 months remaining)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has entered into various financing arrangements with related parties, categorized as follows: (i) </w:t>
      </w:r>
      <w:r>
        <w:rPr>
          <w:rFonts w:ascii="Times New Roman;sans-serif" w:hAnsi="Times New Roman;sans-serif"/>
          <w:b w:val="false"/>
          <w:i/>
          <w:color w:val="000000"/>
          <w:sz w:val="20"/>
        </w:rPr>
        <w:t>Unsecured Convertible Note</w:t>
      </w:r>
      <w:r>
        <w:rPr>
          <w:rFonts w:ascii="Times New Roman;sans-serif" w:hAnsi="Times New Roman;sans-serif"/>
          <w:b w:val="false"/>
          <w:color w:val="000000"/>
          <w:sz w:val="20"/>
        </w:rPr>
        <w:t xml:space="preserve">; (ii) </w:t>
      </w:r>
      <w:r>
        <w:rPr>
          <w:rFonts w:ascii="Times New Roman;sans-serif" w:hAnsi="Times New Roman;sans-serif"/>
          <w:b w:val="false"/>
          <w:i/>
          <w:color w:val="000000"/>
          <w:sz w:val="20"/>
        </w:rPr>
        <w:t>Unsecured Convertible Note</w:t>
      </w:r>
      <w:r>
        <w:rPr>
          <w:rFonts w:ascii="Times New Roman;sans-serif" w:hAnsi="Times New Roman;sans-serif"/>
          <w:b w:val="false"/>
          <w:color w:val="000000"/>
          <w:sz w:val="20"/>
        </w:rPr>
        <w:t xml:space="preserve">; (iii) 2025 March Unsecured SPA Notes; (iv) </w:t>
      </w:r>
      <w:r>
        <w:rPr>
          <w:rFonts w:ascii="Times New Roman;sans-serif" w:hAnsi="Times New Roman;sans-serif"/>
          <w:b w:val="false"/>
          <w:i/>
          <w:color w:val="000000"/>
          <w:sz w:val="20"/>
        </w:rPr>
        <w:t>Notes Payable — China</w:t>
      </w:r>
      <w:r>
        <w:rPr>
          <w:rFonts w:ascii="Times New Roman;sans-serif" w:hAnsi="Times New Roman;sans-serif"/>
          <w:b w:val="false"/>
          <w:color w:val="000000"/>
          <w:sz w:val="20"/>
        </w:rPr>
        <w:t xml:space="preserve">; (v) </w:t>
      </w:r>
      <w:r>
        <w:rPr>
          <w:rFonts w:ascii="Times New Roman;sans-serif" w:hAnsi="Times New Roman;sans-serif"/>
          <w:b w:val="false"/>
          <w:i/>
          <w:color w:val="000000"/>
          <w:sz w:val="20"/>
        </w:rPr>
        <w:t>Notes Payable on Demand — China</w:t>
      </w:r>
      <w:r>
        <w:rPr>
          <w:rFonts w:ascii="Times New Roman;sans-serif" w:hAnsi="Times New Roman;sans-serif"/>
          <w:b w:val="false"/>
          <w:color w:val="000000"/>
          <w:sz w:val="20"/>
        </w:rPr>
        <w:t xml:space="preserve">; (vi) </w:t>
      </w:r>
      <w:r>
        <w:rPr>
          <w:rFonts w:ascii="Times New Roman;sans-serif" w:hAnsi="Times New Roman;sans-serif"/>
          <w:b w:val="false"/>
          <w:i/>
          <w:color w:val="000000"/>
          <w:sz w:val="20"/>
        </w:rPr>
        <w:t>FFGP Note</w:t>
      </w:r>
      <w:r>
        <w:rPr>
          <w:rFonts w:ascii="Times New Roman;sans-serif" w:hAnsi="Times New Roman;sans-serif"/>
          <w:b w:val="false"/>
          <w:color w:val="000000"/>
          <w:sz w:val="20"/>
        </w:rPr>
        <w:t xml:space="preserve">; and (vii) </w:t>
      </w:r>
      <w:r>
        <w:rPr>
          <w:rFonts w:ascii="Times New Roman;sans-serif" w:hAnsi="Times New Roman;sans-serif"/>
          <w:b w:val="false"/>
          <w:i/>
          <w:color w:val="000000"/>
          <w:sz w:val="20"/>
        </w:rPr>
        <w:t>Convertible FFGP Note</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180"/>
        <w:jc w:val="both"/>
        <w:rPr>
          <w:rFonts w:ascii="Times New Roman;sans-serif" w:hAnsi="Times New Roman;sans-serif"/>
          <w:b/>
          <w:i/>
          <w:color w:val="000000"/>
          <w:sz w:val="20"/>
        </w:rPr>
      </w:pPr>
      <w:r>
        <w:rPr>
          <w:rFonts w:ascii="Times New Roman;sans-serif" w:hAnsi="Times New Roman;sans-serif"/>
          <w:b/>
          <w:i/>
          <w:color w:val="000000"/>
          <w:sz w:val="20"/>
        </w:rPr>
        <w:t>2023 Unsecured SPA Notes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In May 2023, June 2023, and October 2023, the Company issued unsecured convertible notes to </w:t>
      </w:r>
      <w:r>
        <w:rPr>
          <w:rFonts w:ascii="Times New Roman;sans-serif" w:hAnsi="Times New Roman;sans-serif"/>
          <w:b w:val="false"/>
          <w:color w:val="000000"/>
          <w:sz w:val="20"/>
          <w:shd w:fill="FFFFFF" w:val="clear"/>
        </w:rPr>
        <w:t>MHL, a related party,</w:t>
      </w:r>
      <w:r>
        <w:rPr>
          <w:color w:val="000000"/>
        </w:rPr>
        <w:t xml:space="preserve"> </w:t>
      </w:r>
      <w:r>
        <w:rPr>
          <w:rFonts w:ascii="Times New Roman;sans-serif" w:hAnsi="Times New Roman;sans-serif"/>
          <w:b w:val="false"/>
          <w:color w:val="000000"/>
          <w:sz w:val="20"/>
        </w:rPr>
        <w:t xml:space="preserve">under the 2023 Unsecured SPA Notes as the anchor investor. (For information on the terms of this note, see Note 7, </w:t>
      </w:r>
      <w:r>
        <w:rPr>
          <w:rFonts w:ascii="Times New Roman;sans-serif" w:hAnsi="Times New Roman;sans-serif"/>
          <w:b w:val="false"/>
          <w:i/>
          <w:color w:val="000000"/>
          <w:sz w:val="20"/>
        </w:rPr>
        <w:t xml:space="preserve">Notes Payable </w:t>
      </w:r>
      <w:r>
        <w:rPr>
          <w:rFonts w:ascii="Times New Roman;sans-serif" w:hAnsi="Times New Roman;sans-serif"/>
          <w:b w:val="false"/>
          <w:color w:val="000000"/>
          <w:sz w:val="20"/>
        </w:rPr>
        <w:t xml:space="preserve">2023 Unsecured SPA Notes issued to third-parties.)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Company elected the fair value o</w:t>
      </w:r>
      <w:r>
        <w:rPr>
          <w:rFonts w:ascii="Times New Roman;sans-serif" w:hAnsi="Times New Roman;sans-serif"/>
          <w:b w:val="false"/>
          <w:color w:val="000000"/>
          <w:sz w:val="20"/>
          <w:shd w:fill="FFFFFF" w:val="clear"/>
        </w:rPr>
        <w:t xml:space="preserve">ption under ASC 825, </w:t>
      </w:r>
      <w:r>
        <w:rPr>
          <w:rFonts w:ascii="Times New Roman;sans-serif" w:hAnsi="Times New Roman;sans-serif"/>
          <w:b w:val="false"/>
          <w:i/>
          <w:color w:val="000000"/>
          <w:sz w:val="20"/>
          <w:shd w:fill="FFFFFF" w:val="clear"/>
        </w:rPr>
        <w:t>Financial Instruments</w:t>
      </w:r>
      <w:r>
        <w:rPr>
          <w:rFonts w:ascii="Times New Roman;sans-serif" w:hAnsi="Times New Roman;sans-serif"/>
          <w:b w:val="false"/>
          <w:color w:val="000000"/>
          <w:sz w:val="20"/>
          <w:shd w:fill="FFFFFF" w:val="clear"/>
        </w:rPr>
        <w:t xml:space="preserve">, for the 2023 Unsecured SPA Notes because the notes include features such as a contingently exercisable put option, which meets the definition of an embedded derivative.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MHL converted $0.7 million of gross principal balance in exchange for 33,107 shares of Class A Common Stock during the quarter ended March 31, 2024. During the quarter ended March 31, 2024, the Company recognized a loss of $0.2 million on the settlement (conversion) of related party notes payable into shares of Class A Common stock and losses of $0.1 million, due to fair value adjustments under ASC 825.</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xml:space="preserve">, there were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related party notes payable outstanding pursuant to the 2023 Unsecured SPA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Unsecured Convertible Note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In January 2024, the Company issued an unsecured convertible note to MHL, a related party, in a principal amount of $1.5 million. The note was due three months from the date of issuance (</w:t>
      </w:r>
      <w:r>
        <w:rPr>
          <w:rFonts w:ascii="Times New Roman;sans-serif" w:hAnsi="Times New Roman;sans-serif"/>
          <w:b w:val="false"/>
          <w:color w:val="000000"/>
          <w:sz w:val="18"/>
        </w:rPr>
        <w:t>April 2024</w:t>
      </w:r>
      <w:r>
        <w:rPr>
          <w:rFonts w:ascii="Times New Roman;sans-serif" w:hAnsi="Times New Roman;sans-serif"/>
          <w:b w:val="false"/>
          <w:color w:val="000000"/>
          <w:sz w:val="20"/>
          <w:shd w:fill="FFFFFF" w:val="clear"/>
        </w:rPr>
        <w:t xml:space="preserve">), accrued interest at an annual rate of </w:t>
      </w:r>
      <w:r>
        <w:rPr>
          <w:rFonts w:ascii="Times New Roman;sans-serif" w:hAnsi="Times New Roman;sans-serif"/>
          <w:b w:val="false"/>
          <w:color w:val="000000"/>
          <w:sz w:val="20"/>
        </w:rPr>
        <w:t>4.27%</w:t>
      </w:r>
      <w:r>
        <w:rPr>
          <w:color w:val="000000"/>
          <w:shd w:fill="FFFFFF" w:val="clear"/>
        </w:rPr>
        <w:t xml:space="preserve"> </w:t>
      </w:r>
      <w:r>
        <w:rPr>
          <w:rFonts w:ascii="Times New Roman;sans-serif" w:hAnsi="Times New Roman;sans-serif"/>
          <w:b w:val="false"/>
          <w:color w:val="000000"/>
          <w:sz w:val="20"/>
          <w:shd w:fill="FFFFFF" w:val="clear"/>
        </w:rPr>
        <w:t xml:space="preserve">per annum, and is convertible at the option of the holder into either Class A Common Stock or into a 2023 Unsecured SPA Note. In February 2025, MHL converted the outstanding debt with a principal balance of $1.5 million into </w:t>
      </w:r>
      <w:r>
        <w:rPr>
          <w:rFonts w:ascii="Times New Roman;sans-serif" w:hAnsi="Times New Roman;sans-serif"/>
          <w:b w:val="false"/>
          <w:color w:val="000000"/>
          <w:sz w:val="20"/>
        </w:rPr>
        <w:t>1,352,767</w:t>
      </w:r>
      <w:r>
        <w:rPr>
          <w:color w:val="000000"/>
          <w:shd w:fill="FFFFFF" w:val="clear"/>
        </w:rPr>
        <w:t xml:space="preserve"> </w:t>
      </w:r>
      <w:r>
        <w:rPr>
          <w:rFonts w:ascii="Times New Roman;sans-serif" w:hAnsi="Times New Roman;sans-serif"/>
          <w:b w:val="false"/>
          <w:color w:val="000000"/>
          <w:sz w:val="20"/>
          <w:shd w:fill="FFFFFF" w:val="clear"/>
        </w:rPr>
        <w:t xml:space="preserve">shares of Class A Common Stock </w:t>
      </w:r>
      <w:r>
        <w:rPr>
          <w:rFonts w:ascii="Times New Roman;sans-serif" w:hAnsi="Times New Roman;sans-serif"/>
          <w:b w:val="false"/>
          <w:color w:val="000000"/>
          <w:sz w:val="20"/>
        </w:rPr>
        <w:t>The conversion of the Unsecured Convertible Note into Class A Common Stock resulted in a Loss on extinguishment of $1.2 million</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In March 2025, the Company issued an unsecured convertible note to MHL, in a principal amount of $1.5 million. The note was due three months from the date of issuance, accrued interest at an annual rate of </w:t>
      </w:r>
      <w:r>
        <w:rPr>
          <w:rFonts w:ascii="Times New Roman;sans-serif" w:hAnsi="Times New Roman;sans-serif"/>
          <w:b w:val="false"/>
          <w:color w:val="000000"/>
          <w:sz w:val="20"/>
        </w:rPr>
        <w:t>4.27%</w:t>
      </w:r>
      <w:r>
        <w:rPr>
          <w:color w:val="000000"/>
          <w:shd w:fill="FFFFFF" w:val="clear"/>
        </w:rPr>
        <w:t xml:space="preserve"> </w:t>
      </w:r>
      <w:r>
        <w:rPr>
          <w:rFonts w:ascii="Times New Roman;sans-serif" w:hAnsi="Times New Roman;sans-serif"/>
          <w:b w:val="false"/>
          <w:color w:val="000000"/>
          <w:sz w:val="20"/>
          <w:shd w:fill="FFFFFF" w:val="clear"/>
        </w:rPr>
        <w:t xml:space="preserve">per annum, and is convertible at the option of the holder into either Class A Common Stock or into unsecured convertible notes issued subsequently pursuant to a Securities Purchase Agreement. If conversion into Class A Common Stock is elected, the conversion price would be based on the latest closing price of the Company’s Class A Common Stock on the conversion date. If settlement in a subsequent Securities Purchase Agreement is elected, the new note would be issued with a 15% original issue discount. Subsequent to </w:t>
      </w:r>
      <w:r>
        <w:rPr>
          <w:rFonts w:ascii="Times New Roman;sans-serif" w:hAnsi="Times New Roman;sans-serif"/>
          <w:b w:val="false"/>
          <w:color w:val="000000"/>
          <w:sz w:val="20"/>
        </w:rPr>
        <w:t>March 31, 2025 and prior to the issuance of these financial statements, MHL exchanged the Unsecured Convertible Note</w:t>
      </w:r>
      <w:r>
        <w:rPr>
          <w:color w:val="000000"/>
          <w:shd w:fill="FFFFFF" w:val="clear"/>
        </w:rPr>
        <w:t xml:space="preserve"> </w:t>
      </w:r>
      <w:r>
        <w:rPr>
          <w:rFonts w:ascii="Times New Roman;sans-serif" w:hAnsi="Times New Roman;sans-serif"/>
          <w:b w:val="false"/>
          <w:color w:val="000000"/>
          <w:sz w:val="20"/>
          <w:shd w:fill="FFFFFF" w:val="clear"/>
        </w:rPr>
        <w:t xml:space="preserve">into </w:t>
      </w:r>
      <w:r>
        <w:rPr>
          <w:rFonts w:ascii="Times New Roman;sans-serif" w:hAnsi="Times New Roman;sans-serif"/>
          <w:b w:val="false"/>
          <w:color w:val="000000"/>
          <w:sz w:val="20"/>
        </w:rPr>
        <w:t xml:space="preserve">2025 March Unsecured SPA Notes. As a result, management classified the </w:t>
      </w:r>
      <w:r>
        <w:rPr>
          <w:rFonts w:ascii="Times New Roman;sans-serif" w:hAnsi="Times New Roman;sans-serif"/>
          <w:b w:val="false"/>
          <w:color w:val="000000"/>
          <w:sz w:val="20"/>
          <w:shd w:fill="FFFFFF" w:val="clear"/>
        </w:rPr>
        <w:t xml:space="preserve">$1.5 million </w:t>
      </w:r>
      <w:r>
        <w:rPr>
          <w:rFonts w:ascii="Times New Roman;sans-serif" w:hAnsi="Times New Roman;sans-serif"/>
          <w:b w:val="false"/>
          <w:color w:val="000000"/>
          <w:sz w:val="20"/>
        </w:rPr>
        <w:t>Unsecured Convertible Note as a long-term related party debt instrument for the period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Company elected to apply the fair value option under ASC 825, </w:t>
      </w:r>
      <w:r>
        <w:rPr>
          <w:rFonts w:ascii="Times New Roman;sans-serif" w:hAnsi="Times New Roman;sans-serif"/>
          <w:b w:val="false"/>
          <w:i/>
          <w:color w:val="000000"/>
          <w:sz w:val="20"/>
          <w:shd w:fill="FFFFFF" w:val="clear"/>
        </w:rPr>
        <w:t>Financial Instruments</w:t>
      </w:r>
      <w:r>
        <w:rPr>
          <w:rFonts w:ascii="Times New Roman;sans-serif" w:hAnsi="Times New Roman;sans-serif"/>
          <w:b w:val="false"/>
          <w:color w:val="000000"/>
          <w:sz w:val="20"/>
          <w:shd w:fill="FFFFFF" w:val="clear"/>
        </w:rPr>
        <w:t xml:space="preserve">, for these notes, based on its expectation that the note will be exchanged into SPA Portfolio Notes pursuant to the holder’s conversion rights. SPA Portfolio Notes include features such as a contingently exercisable put option, which meet the definition of an embedded derivative under applicable accounting standards.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For the three months ended March 31, 2025 the Company recognized a gain in the amount o</w:t>
      </w:r>
      <w:r>
        <w:rPr>
          <w:rFonts w:ascii="Times New Roman;sans-serif" w:hAnsi="Times New Roman;sans-serif"/>
          <w:b w:val="false"/>
          <w:color w:val="000000"/>
          <w:sz w:val="20"/>
        </w:rPr>
        <w:t>f approximately zero in</w:t>
      </w:r>
      <w:r>
        <w:rPr>
          <w:color w:val="000000"/>
          <w:shd w:fill="FFFFFF" w:val="clear"/>
        </w:rPr>
        <w:t xml:space="preserve"> </w:t>
      </w:r>
      <w:r>
        <w:rPr>
          <w:rFonts w:ascii="Times New Roman;sans-serif" w:hAnsi="Times New Roman;sans-serif"/>
          <w:b w:val="false"/>
          <w:color w:val="000000"/>
          <w:sz w:val="20"/>
          <w:shd w:fill="FFFFFF" w:val="clear"/>
        </w:rPr>
        <w:t>Change in fair value of related party notes payable, warrant liabilities, and derivative call options within the Unaudited Condensed Consolidated Statements of Operations and Comprehensive Loss. This gain reflects the adjustment to the note’s fair value during the reporting period.</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For the three months ended March 31, 2024, the Company recognized a $0.1 million gain from fair value remeasurement of the Unsecured Convertible Note</w:t>
      </w:r>
      <w:r>
        <w:rPr>
          <w:color w:val="000000"/>
          <w:shd w:fill="FFFFFF" w:val="clear"/>
        </w:rPr>
        <w:t xml:space="preserve"> </w:t>
      </w:r>
      <w:r>
        <w:rPr>
          <w:rFonts w:ascii="Times New Roman;sans-serif" w:hAnsi="Times New Roman;sans-serif"/>
          <w:b w:val="false"/>
          <w:color w:val="000000"/>
          <w:sz w:val="20"/>
          <w:shd w:fill="FFFFFF" w:val="clear"/>
        </w:rPr>
        <w:t xml:space="preserve">under ASC 825, recorded in Change in fair value of related party notes payable, warrant liabilities, and derivative call options within the Unaudited Condensed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2025 March Unsecured SPA Notes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Certain investors in the </w:t>
      </w:r>
      <w:r>
        <w:rPr>
          <w:rFonts w:ascii="Times New Roman;sans-serif" w:hAnsi="Times New Roman;sans-serif"/>
          <w:b w:val="false"/>
          <w:color w:val="000000"/>
          <w:sz w:val="20"/>
        </w:rPr>
        <w:t>2025 March Unsecured SPA Notes</w:t>
      </w:r>
      <w:r>
        <w:rPr>
          <w:color w:val="000000"/>
          <w:shd w:fill="FFFFFF" w:val="clear"/>
        </w:rPr>
        <w:t xml:space="preserve"> </w:t>
      </w:r>
      <w:r>
        <w:rPr>
          <w:rFonts w:ascii="Times New Roman;sans-serif" w:hAnsi="Times New Roman;sans-serif"/>
          <w:b w:val="false"/>
          <w:color w:val="000000"/>
          <w:sz w:val="20"/>
          <w:shd w:fill="FFFFFF" w:val="clear"/>
        </w:rPr>
        <w:t xml:space="preserve">(see </w:t>
      </w:r>
      <w:r>
        <w:rPr>
          <w:rFonts w:ascii="Times New Roman;sans-serif" w:hAnsi="Times New Roman;sans-serif"/>
          <w:b w:val="false"/>
          <w:color w:val="000000"/>
          <w:sz w:val="20"/>
        </w:rPr>
        <w:t xml:space="preserve">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shd w:fill="FFFFFF" w:val="clear"/>
        </w:rPr>
        <w:t xml:space="preserve">) include related parties.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Activity</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During the three months ended March 31, 2025, related party investors funded a portion of the Company’s total proceeds under the 2025 March Unsecured SPA. The Company issued $0.4 million in principal amount of</w:t>
      </w:r>
      <w:r>
        <w:rPr>
          <w:rFonts w:ascii="Times New Roman;sans-serif" w:hAnsi="Times New Roman;sans-serif"/>
          <w:b w:val="false"/>
          <w:color w:val="000000"/>
          <w:sz w:val="20"/>
        </w:rPr>
        <w:t>2025 March Unsecured SPA Notes</w:t>
      </w:r>
      <w:r>
        <w:rPr>
          <w:color w:val="000000"/>
          <w:shd w:fill="FFFFFF" w:val="clear"/>
        </w:rPr>
        <w:t xml:space="preserve"> </w:t>
      </w:r>
      <w:r>
        <w:rPr>
          <w:rFonts w:ascii="Times New Roman;sans-serif" w:hAnsi="Times New Roman;sans-serif"/>
          <w:b w:val="false"/>
          <w:color w:val="000000"/>
          <w:sz w:val="20"/>
          <w:shd w:fill="FFFFFF" w:val="clear"/>
        </w:rPr>
        <w:t xml:space="preserve">to related parties in connection with these closings. These related party investors also received 2025 March Unsecured SPA Warrants and Incremental Warrants on terms identical to those described in </w:t>
      </w:r>
      <w:r>
        <w:rPr>
          <w:rFonts w:ascii="Times New Roman;sans-serif" w:hAnsi="Times New Roman;sans-serif"/>
          <w:b w:val="false"/>
          <w:color w:val="000000"/>
          <w:sz w:val="20"/>
        </w:rPr>
        <w:t xml:space="preserve">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shd w:fill="FFFFFF" w:val="clear"/>
        </w:rPr>
        <w:t>.</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The fair value of these related party-held notes as of March 31, 2025, was approximately $0.1 million. During the three months ended March 31, 2025, the Company recognized a change in fair val</w:t>
      </w:r>
      <w:r>
        <w:rPr>
          <w:rFonts w:ascii="Times New Roman;sans-serif" w:hAnsi="Times New Roman;sans-serif"/>
          <w:b w:val="false"/>
          <w:color w:val="000000"/>
          <w:sz w:val="20"/>
        </w:rPr>
        <w:t>ue of approximately zero, under AS</w:t>
      </w:r>
      <w:r>
        <w:rPr>
          <w:rFonts w:ascii="Times New Roman;sans-serif" w:hAnsi="Times New Roman;sans-serif"/>
          <w:b w:val="false"/>
          <w:color w:val="000000"/>
          <w:sz w:val="20"/>
          <w:shd w:fill="FFFFFF" w:val="clear"/>
        </w:rPr>
        <w:t>C 825, recorded in Change in fair value of related party notes payable, warrant liabilities, and derivative call options within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Notes Payable — China</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The Company has outstanding debt payable to Leshi Small Loan Co., Ltd. (“Chongqing”), a related party, also known as “</w:t>
      </w:r>
      <w:r>
        <w:rPr>
          <w:rFonts w:ascii="Times New Roman;sans-serif" w:hAnsi="Times New Roman;sans-serif"/>
          <w:b w:val="false"/>
          <w:color w:val="000000"/>
          <w:sz w:val="20"/>
        </w:rPr>
        <w:t>Notes Payable — China.”</w:t>
      </w:r>
      <w:r>
        <w:rPr>
          <w:color w:val="000000"/>
          <w:shd w:fill="FFFFFF" w:val="clear"/>
        </w:rPr>
        <w:t xml:space="preserve"> </w:t>
      </w:r>
      <w:r>
        <w:rPr>
          <w:rFonts w:ascii="Times New Roman;sans-serif" w:hAnsi="Times New Roman;sans-serif"/>
          <w:b w:val="false"/>
          <w:color w:val="000000"/>
          <w:sz w:val="20"/>
          <w:shd w:fill="FFFFFF" w:val="clear"/>
        </w:rPr>
        <w:t xml:space="preserve">In 2022, Chongqing agreed to modify the debt agreement, contingent on the Company making an initial payment of </w:t>
      </w:r>
      <w:r>
        <w:rPr>
          <w:rFonts w:ascii="Times New Roman;sans-serif" w:hAnsi="Times New Roman;sans-serif"/>
          <w:b w:val="false"/>
          <w:color w:val="000000"/>
          <w:sz w:val="20"/>
        </w:rPr>
        <w:t>10%</w:t>
      </w:r>
      <w:r>
        <w:rPr>
          <w:color w:val="000000"/>
          <w:shd w:fill="FFFFFF" w:val="clear"/>
        </w:rPr>
        <w:t xml:space="preserve"> </w:t>
      </w:r>
      <w:r>
        <w:rPr>
          <w:rFonts w:ascii="Times New Roman;sans-serif" w:hAnsi="Times New Roman;sans-serif"/>
          <w:b w:val="false"/>
          <w:color w:val="000000"/>
          <w:sz w:val="20"/>
          <w:shd w:fill="FFFFFF" w:val="clear"/>
        </w:rPr>
        <w:t xml:space="preserve">of the agreed upon discounted principal amount. Under the modified terms, the Company received a waiver of accrued interest, a reduction in the principal balance, and an extended repayment schedule requiring full payment of the discounted principal by December 31, 2023. However, the Company did not pay the outstanding principal amount in full by the maturity date of December 31, 2023, and as a result, in January 2024 the Company incurred substantial interest and penalties. Per the terms of the 2022 agreement, in the event of a default at maturity all outstanding interest and penalties since the inception of the original agreement reverted to Chongqing and the discounted principal balance returned to the full unpaid amount. As a result, the Company recognized a loss of $14.1 million shown as component of </w:t>
      </w:r>
      <w:r>
        <w:rPr>
          <w:rFonts w:ascii="Times New Roman;sans-serif" w:hAnsi="Times New Roman;sans-serif"/>
          <w:b w:val="false"/>
          <w:color w:val="000000"/>
          <w:sz w:val="20"/>
        </w:rPr>
        <w:t>Loss on settlement of related party notes payable</w:t>
      </w:r>
      <w:r>
        <w:rPr>
          <w:color w:val="000000"/>
          <w:shd w:fill="FFFFFF" w:val="clear"/>
        </w:rPr>
        <w:t xml:space="preserve"> </w:t>
      </w:r>
      <w:r>
        <w:rPr>
          <w:rFonts w:ascii="Times New Roman;sans-serif" w:hAnsi="Times New Roman;sans-serif"/>
          <w:b w:val="false"/>
          <w:color w:val="000000"/>
          <w:sz w:val="20"/>
          <w:shd w:fill="FFFFFF" w:val="clear"/>
        </w:rPr>
        <w:t xml:space="preserve">in the Unaudited Condensed Consolidated Statements of Operations and Comprehensive Loss during the </w:t>
      </w:r>
      <w:r>
        <w:rPr>
          <w:rFonts w:ascii="Times New Roman;sans-serif" w:hAnsi="Times New Roman;sans-serif"/>
          <w:b w:val="false"/>
          <w:color w:val="000000"/>
          <w:sz w:val="20"/>
        </w:rPr>
        <w:t>three months ended March 31, 2024.</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In December 2024, the Company repaid $0.1 million</w:t>
      </w:r>
      <w:r>
        <w:rPr>
          <w:color w:val="000000"/>
        </w:rPr>
        <w:t xml:space="preserve"> </w:t>
      </w:r>
      <w:r>
        <w:rPr>
          <w:rFonts w:ascii="Times New Roman;sans-serif" w:hAnsi="Times New Roman;sans-serif"/>
          <w:b w:val="false"/>
          <w:color w:val="000000"/>
          <w:sz w:val="20"/>
        </w:rPr>
        <w:t>an</w:t>
      </w:r>
      <w:r>
        <w:rPr>
          <w:rFonts w:ascii="Times New Roman;sans-serif" w:hAnsi="Times New Roman;sans-serif"/>
          <w:b w:val="false"/>
          <w:color w:val="000000"/>
          <w:sz w:val="20"/>
          <w:shd w:fill="FFFFFF" w:val="clear"/>
        </w:rPr>
        <w:t>d entered into supplementary agreements with Chongqing, further restructuring its outstanding debt.</w:t>
      </w:r>
      <w:r>
        <w:rPr>
          <w:color w:val="000000"/>
        </w:rPr>
        <w:t xml:space="preserve"> </w:t>
      </w:r>
      <w:r>
        <w:rPr>
          <w:rFonts w:ascii="Times New Roman;sans-serif" w:hAnsi="Times New Roman;sans-serif"/>
          <w:b w:val="false"/>
          <w:color w:val="000000"/>
          <w:sz w:val="20"/>
        </w:rPr>
        <w:t xml:space="preserve">The December 2024 agreements largely restored the debt to amounts outstanding prior to the default on December 31, 2023. </w:t>
      </w:r>
      <w:r>
        <w:rPr>
          <w:rFonts w:ascii="Times New Roman;sans-serif" w:hAnsi="Times New Roman;sans-serif"/>
          <w:b w:val="false"/>
          <w:color w:val="000000"/>
          <w:sz w:val="20"/>
          <w:shd w:fill="FFFFFF" w:val="clear"/>
        </w:rPr>
        <w:t xml:space="preserve">If the Company defaults again on its payment plan with Chongqing the interest and penalties accrued since the inception of the original agreement and the note principal will revert back to Chongqing in proportion to the unpaid portion of the discounted principal balance. The agreements maintain an </w:t>
      </w:r>
      <w:r>
        <w:rPr>
          <w:rFonts w:ascii="Times New Roman;sans-serif" w:hAnsi="Times New Roman;sans-serif"/>
          <w:b w:val="false"/>
          <w:color w:val="000000"/>
          <w:sz w:val="20"/>
        </w:rPr>
        <w:t>18.0%</w:t>
      </w:r>
      <w:r>
        <w:rPr>
          <w:color w:val="000000"/>
          <w:shd w:fill="FFFFFF" w:val="clear"/>
        </w:rPr>
        <w:t xml:space="preserve"> </w:t>
      </w:r>
      <w:r>
        <w:rPr>
          <w:rFonts w:ascii="Times New Roman;sans-serif" w:hAnsi="Times New Roman;sans-serif"/>
          <w:b w:val="false"/>
          <w:color w:val="000000"/>
          <w:sz w:val="20"/>
          <w:shd w:fill="FFFFFF" w:val="clear"/>
        </w:rPr>
        <w:t xml:space="preserve">stated interest rate for the debt and establish a payment plan for periodic principal and interest payments until the revised maturity date of </w:t>
      </w:r>
      <w:r>
        <w:rPr>
          <w:rFonts w:ascii="Times New Roman;sans-serif" w:hAnsi="Times New Roman;sans-serif"/>
          <w:b w:val="false"/>
          <w:color w:val="000000"/>
          <w:sz w:val="20"/>
        </w:rPr>
        <w:t>April 2027</w:t>
      </w:r>
      <w:r>
        <w:rPr>
          <w:rFonts w:ascii="Times New Roman;sans-serif" w:hAnsi="Times New Roman;sans-serif"/>
          <w:b w:val="false"/>
          <w:color w:val="000000"/>
          <w:sz w:val="20"/>
          <w:shd w:fill="FFFFFF" w:val="clear"/>
        </w:rPr>
        <w:t xml:space="preserve">. The Company accounted for the restructuring as a troubled debt restructuring under ASC 470-60, </w:t>
      </w:r>
      <w:r>
        <w:rPr>
          <w:rFonts w:ascii="Times New Roman;sans-serif" w:hAnsi="Times New Roman;sans-serif"/>
          <w:b w:val="false"/>
          <w:i/>
          <w:color w:val="000000"/>
          <w:sz w:val="20"/>
          <w:shd w:fill="FFFFFF" w:val="clear"/>
        </w:rPr>
        <w:t>Debt – Troubled Debt Restructurings by Debto</w:t>
      </w:r>
      <w:r>
        <w:rPr>
          <w:rFonts w:ascii="Times New Roman;sans-serif" w:hAnsi="Times New Roman;sans-serif"/>
          <w:b w:val="false"/>
          <w:i/>
          <w:color w:val="000000"/>
          <w:sz w:val="20"/>
        </w:rPr>
        <w:t>rs</w:t>
      </w:r>
      <w:r>
        <w:rPr>
          <w:rFonts w:ascii="Times New Roman;sans-serif" w:hAnsi="Times New Roman;sans-serif"/>
          <w:b w:val="false"/>
          <w:color w:val="000000"/>
          <w:sz w:val="20"/>
        </w:rPr>
        <w:t>. As a result of the restructuring, the Company recognized a gain of $0.7 million in additional paid-in capital, reflecting the related party nature of the transaction. Following the restructuring and subsequent principal payments, the Company's Notes Payable—China is in good standing as of March 31, 2025.</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As of March 31, 2025, the principal value of this note payable was $4.2 million, compared to $4.4 million as of December 31, 2024. </w:t>
      </w:r>
      <w:r>
        <w:rPr>
          <w:rFonts w:ascii="Times New Roman;sans-serif" w:hAnsi="Times New Roman;sans-serif"/>
          <w:b w:val="false"/>
          <w:color w:val="000000"/>
          <w:sz w:val="20"/>
          <w:shd w:fill="FFFFFF" w:val="clear"/>
        </w:rPr>
        <w:t>During the three months ended March 31, 2025, the Company</w:t>
      </w:r>
      <w:r>
        <w:rPr>
          <w:color w:val="000000"/>
        </w:rPr>
        <w:t xml:space="preserve"> </w:t>
      </w:r>
      <w:r>
        <w:rPr>
          <w:rFonts w:ascii="Times New Roman;sans-serif" w:hAnsi="Times New Roman;sans-serif"/>
          <w:b w:val="false"/>
          <w:color w:val="000000"/>
          <w:sz w:val="20"/>
          <w:shd w:fill="FFFFFF" w:val="clear"/>
        </w:rPr>
        <w:t xml:space="preserve">repaid $0.1 million and </w:t>
      </w:r>
      <w:r>
        <w:rPr>
          <w:rFonts w:ascii="Times New Roman;sans-serif" w:hAnsi="Times New Roman;sans-serif"/>
          <w:b w:val="false"/>
          <w:color w:val="000000"/>
          <w:sz w:val="20"/>
        </w:rPr>
        <w:t>recognized a gain of $0.7 million in additional paid-in capital,</w:t>
      </w:r>
      <w:r>
        <w:rPr>
          <w:color w:val="000000"/>
          <w:shd w:fill="FFFFFF" w:val="clear"/>
        </w:rPr>
        <w:t xml:space="preserve"> </w:t>
      </w:r>
      <w:r>
        <w:rPr>
          <w:rFonts w:ascii="Times New Roman;sans-serif" w:hAnsi="Times New Roman;sans-serif"/>
          <w:b w:val="false"/>
          <w:color w:val="000000"/>
          <w:sz w:val="20"/>
        </w:rPr>
        <w:t xml:space="preserve">As of March 31, 2025 and December 31, 2024, the Company had accrued but unpaid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penalties of $22.2 million and $23.1 million recorded in Related party accrued interest on the Unaudited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Notes Payable on Demand — China</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w:t>
      </w:r>
      <w:r>
        <w:rPr>
          <w:rFonts w:ascii="Times New Roman;sans-serif" w:hAnsi="Times New Roman;sans-serif"/>
          <w:b w:val="false"/>
          <w:color w:val="000000"/>
          <w:sz w:val="20"/>
          <w:shd w:fill="FFFFFF" w:val="clear"/>
        </w:rPr>
        <w:t>any's notes payable with investors based in China (“Notes Payable on Demand — China”</w:t>
      </w:r>
      <w:r>
        <w:rPr>
          <w:rFonts w:ascii="Times New Roman;sans-serif" w:hAnsi="Times New Roman;sans-serif"/>
          <w:b w:val="false"/>
          <w:color w:val="000000"/>
          <w:sz w:val="20"/>
        </w:rPr>
        <w:t xml:space="preserve">) bear a zero percent interest rate. The outstanding balance as of March 31, 2025 and December 31, 2024, was $0.4 million and $0.4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i/>
          <w:color w:val="000000"/>
          <w:sz w:val="20"/>
        </w:rPr>
        <w:t>FFGP Note</w:t>
      </w:r>
      <w:r>
        <w:rPr>
          <w:color w:val="000000"/>
        </w:rPr>
        <w:t xml:space="preserve">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and January 2024, the Company issued unsecured promissory notes to FFGP Investment Holding I, LLC (“FFGP”), a related party, in an aggregate principal amount of $1.6 million. These notes, referred to as the “FFGP Note”, were due three months from their respective dates of issuance and accrued interest at either 4.27% or 5.27%.</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FFGP fully waived its enforcement rights and remedies under the loan agreement with respect to the outstanding principal balance until final settlement. As a result, the </w:t>
      </w:r>
      <w:r>
        <w:rPr>
          <w:rFonts w:ascii="Times New Roman;sans-serif" w:hAnsi="Times New Roman;sans-serif"/>
          <w:b w:val="false"/>
          <w:color w:val="000000"/>
          <w:sz w:val="20"/>
        </w:rPr>
        <w:t>FFGP Note</w:t>
      </w:r>
      <w:r>
        <w:rPr>
          <w:color w:val="000000"/>
        </w:rPr>
        <w:t xml:space="preserve"> </w:t>
      </w:r>
      <w:r>
        <w:rPr>
          <w:rFonts w:ascii="Times New Roman;sans-serif" w:hAnsi="Times New Roman;sans-serif"/>
          <w:b w:val="false"/>
          <w:color w:val="000000"/>
          <w:sz w:val="20"/>
          <w:shd w:fill="FFFFFF" w:val="clear"/>
        </w:rPr>
        <w:t xml:space="preserve">is in good standing as of March 31, 2025, however, it remains due on-demand. The carrying values of the FFGP Note were $1.6 million as of </w:t>
      </w:r>
      <w:r>
        <w:rPr>
          <w:rFonts w:ascii="Times New Roman;sans-serif" w:hAnsi="Times New Roman;sans-serif"/>
          <w:b w:val="false"/>
          <w:color w:val="000000"/>
          <w:sz w:val="20"/>
        </w:rPr>
        <w:t>March 31, 2025 and December 31, 2024</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Convertible FFGP Note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In February 2024, th</w:t>
      </w:r>
      <w:r>
        <w:rPr>
          <w:rFonts w:ascii="Times New Roman;sans-serif" w:hAnsi="Times New Roman;sans-serif"/>
          <w:b w:val="false"/>
          <w:color w:val="000000"/>
          <w:sz w:val="20"/>
          <w:shd w:fill="FFFFFF" w:val="clear"/>
        </w:rPr>
        <w:t>e Company and FFGP entered into an unsecured convertible note in the principal amount of $0.3 million. The note referred to as the “</w:t>
      </w:r>
      <w:r>
        <w:rPr>
          <w:rFonts w:ascii="Times New Roman;sans-serif" w:hAnsi="Times New Roman;sans-serif"/>
          <w:b w:val="false"/>
          <w:i/>
          <w:color w:val="000000"/>
          <w:sz w:val="20"/>
          <w:shd w:fill="FFFFFF" w:val="clear"/>
        </w:rPr>
        <w:t>Convertible FFGP Note”,</w:t>
      </w:r>
      <w:r>
        <w:rPr>
          <w:color w:val="000000"/>
          <w:shd w:fill="FFFFFF" w:val="clear"/>
        </w:rPr>
        <w:t xml:space="preserve"> </w:t>
      </w:r>
      <w:r>
        <w:rPr>
          <w:rFonts w:ascii="Times New Roman;sans-serif" w:hAnsi="Times New Roman;sans-serif"/>
          <w:b w:val="false"/>
          <w:color w:val="000000"/>
          <w:sz w:val="20"/>
          <w:shd w:fill="FFFFFF" w:val="clear"/>
        </w:rPr>
        <w:t xml:space="preserve">has a maturity date of </w:t>
      </w:r>
      <w:r>
        <w:rPr>
          <w:rFonts w:ascii="Times New Roman;sans-serif" w:hAnsi="Times New Roman;sans-serif"/>
          <w:b w:val="false"/>
          <w:color w:val="000000"/>
          <w:sz w:val="18"/>
        </w:rPr>
        <w:t>May 2024</w:t>
      </w:r>
      <w:r>
        <w:rPr>
          <w:color w:val="000000"/>
          <w:shd w:fill="FFFFFF" w:val="clear"/>
        </w:rPr>
        <w:t xml:space="preserve"> </w:t>
      </w:r>
      <w:r>
        <w:rPr>
          <w:rFonts w:ascii="Times New Roman;sans-serif" w:hAnsi="Times New Roman;sans-serif"/>
          <w:b w:val="false"/>
          <w:color w:val="000000"/>
          <w:sz w:val="20"/>
          <w:shd w:fill="FFFFFF" w:val="clear"/>
        </w:rPr>
        <w:t>accrued interest at a rate of 4.27% per annum, and is convertible into the Company’s Class A Common Stock at the holder’s option. The conversion price is the latest closing price of the Company’s Class A Common Stock on the conversion date.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FFGP fully waived its enforcement rights and remedies under the loan agreement with respect to the outstanding principal balance until final settlement. As a result, the </w:t>
      </w:r>
      <w:r>
        <w:rPr>
          <w:rFonts w:ascii="Times New Roman;sans-serif" w:hAnsi="Times New Roman;sans-serif"/>
          <w:b w:val="false"/>
          <w:color w:val="000000"/>
          <w:sz w:val="20"/>
        </w:rPr>
        <w:t>Convertible FFGP Note</w:t>
      </w:r>
      <w:r>
        <w:rPr>
          <w:color w:val="000000"/>
        </w:rPr>
        <w:t xml:space="preserve"> </w:t>
      </w:r>
      <w:r>
        <w:rPr>
          <w:rFonts w:ascii="Times New Roman;sans-serif" w:hAnsi="Times New Roman;sans-serif"/>
          <w:b w:val="false"/>
          <w:color w:val="000000"/>
          <w:sz w:val="20"/>
          <w:shd w:fill="FFFFFF" w:val="clear"/>
        </w:rPr>
        <w:t xml:space="preserve">is in good standing as of March 31, 2025, however, it remains due on-demand. The carrying value of the Convertible FFGP Note was $0.3 million as of March 31, 2025 </w:t>
      </w:r>
      <w:r>
        <w:rPr>
          <w:rFonts w:ascii="Times New Roman;sans-serif" w:hAnsi="Times New Roman;sans-serif"/>
          <w:b w:val="false"/>
          <w:color w:val="000000"/>
          <w:sz w:val="20"/>
        </w:rPr>
        <w:t>and December 31, 2024</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Related Party Accounts Payable, Accrued Liabilities and Other Significant Transactions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engages in various related party transactions that do not involve notes payable, including property leases, consulting services, advertising services, and other financial arrangements with entities affiliated with its founder, key executives, and their family members. This section excludes related party notes, which are discussed separately, and focuses on summarizing the nature, terms, and financial impacts of these non-debt-related transactions as of March 31, 2025 and December 31, 2024, including payments, outstanding balances, and other key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X-Butler Transactions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Company l</w:t>
      </w:r>
      <w:r>
        <w:rPr>
          <w:rFonts w:ascii="Times New Roman;sans-serif" w:hAnsi="Times New Roman;sans-serif"/>
          <w:b w:val="false"/>
          <w:color w:val="000000"/>
          <w:sz w:val="20"/>
          <w:shd w:fill="FFFFFF" w:val="clear"/>
        </w:rPr>
        <w:t xml:space="preserve">eased two real properties, located in Rancho Palos Verdes, California (the “Rancho Palos Verdes Properties”), from X-Butler from January 1, 2018, through </w:t>
      </w:r>
      <w:r>
        <w:rPr>
          <w:rFonts w:ascii="Times New Roman;sans-serif" w:hAnsi="Times New Roman;sans-serif"/>
          <w:b w:val="false"/>
          <w:color w:val="000000"/>
          <w:sz w:val="20"/>
        </w:rPr>
        <w:t>March 31, 2022.</w:t>
      </w:r>
      <w:r>
        <w:rPr>
          <w:color w:val="000000"/>
          <w:shd w:fill="FFFFFF" w:val="clear"/>
        </w:rPr>
        <w:t xml:space="preserve"> </w:t>
      </w:r>
      <w:r>
        <w:rPr>
          <w:rFonts w:ascii="Times New Roman;sans-serif" w:hAnsi="Times New Roman;sans-serif"/>
          <w:b w:val="false"/>
          <w:color w:val="000000"/>
          <w:sz w:val="20"/>
          <w:shd w:fill="FFFFFF" w:val="clear"/>
        </w:rPr>
        <w:t xml:space="preserve">X-Butler in turn leased the Rancho Palos Verdes Properties from Mr. Yueting Jia, the Company’s founder and </w:t>
      </w:r>
      <w:r>
        <w:rPr>
          <w:rFonts w:ascii="Times New Roman;sans-serif" w:hAnsi="Times New Roman;sans-serif"/>
          <w:b w:val="false"/>
          <w:color w:val="000000"/>
          <w:sz w:val="20"/>
        </w:rPr>
        <w:t>Global Co-CEO</w:t>
      </w:r>
      <w:r>
        <w:rPr>
          <w:rFonts w:ascii="Times New Roman;sans-serif" w:hAnsi="Times New Roman;sans-serif"/>
          <w:b w:val="false"/>
          <w:color w:val="000000"/>
          <w:sz w:val="20"/>
          <w:shd w:fill="FFFFFF" w:val="clear"/>
        </w:rPr>
        <w:t xml:space="preserve">. The Rancho Palos Verdes Properties were used by the Company to provide long-term or temporary housing to employees of the Company (including a former Global CEO). According to the agreement between the parties, the Company paid X-Butler for rent and certain services, including catering, room services and organization </w:t>
      </w:r>
      <w:r>
        <w:rPr>
          <w:rFonts w:ascii="Times New Roman;sans-serif" w:hAnsi="Times New Roman;sans-serif"/>
          <w:b w:val="false"/>
          <w:color w:val="000000"/>
          <w:sz w:val="20"/>
        </w:rPr>
        <w:t>of meetings, external gatherings and events, for the Rancho Palos Verdes Properties. For the quarters ended March 31, 2025 and 2024, the Company paid to X-Butler $0.1 million and $0.1 million, respectively, for rent and business development services rendered to the Company and its executives. The Company has recorded approximately $0.3 million and $0.3 million in Accounts Payable as of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FF Global Transactions and Consulting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Global is an affiliate of the Company’s founder and Global Co-CEO, Mr. Yueting Jia, and has historically exerted significant influence over the Company’s governance. Effective March 23, 2025, the Company terminated its Consulting Services Agreement with FF Global, which had originally become effective on February 1, 2023. The agreement, which provided for a monthly fee of $0.2 million in exchange for strategic and operational advisory services, had automatically renewed on March 6, 2024, for an additional 12-month term. It also permitted FF Global to request reimbursement for reasonable and documented out-of-pocket expenses, including travel and legal fees, subject to certain limits.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early 2023, FF Global submitted a request for $6.5 million in legal expense reimbursements related to governance matters. The request was not approved by the Board, no liability has been recorded, and the matter remains unresolved. Following the termination of the agreement, the Company has no further obligations to FF Global other than for consulting fees and reimbursable expenses incurred prior to March 23, 2025. The Company has recorded approximately $2.0 million and $2.0 million in Accounts Payable as of March 31, 2025 and December 31, 2024, respectively. These amounts do not include the $6.5 million reimbursement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Advertising Services Payable to Leshi Information Technology Co., Ltd. (“LeTV”)</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 payable to LeTV within Related party accrued expenses and other current liabilities in the amount of $7.8 million and $7.7 million as of March 31, 2025 and 2024, respectively, in connection with advertising services provided to the Company in prior years. LeTV is a Shanghai Stock Exchange-listed public company founded and controlled by Mr. Yueting Jia, the Company’s founder and Global Co-CEO.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Grow Fandor</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the Company entered into several related party transactions with Grow Fandor Inc. (“Grow Fandor”). Grow Fandor is considered a related party because it is significantly influenced by Mr. Yueting Jia, the Company’s Global Co-CEO, who has a financial and operational interest in the entity. Grow Fandor was co-founded by Mr. Jia and Mr. Jerry Wang, who currently serves as President of the Company and is the sole director of Grow Fandor. There have been no related party transactions with Grow Fandor during 2025. Below is a summary of the Company’s transactions with Grow Fandor and the related accounting treatment: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u w:val="single"/>
        </w:rPr>
        <w:t>Promissory Note:</w:t>
      </w:r>
      <w:r>
        <w:rPr>
          <w:color w:val="000000"/>
        </w:rPr>
        <w:t xml:space="preserve"> </w:t>
      </w:r>
      <w:r>
        <w:rPr>
          <w:rFonts w:ascii="Times New Roman;sans-serif" w:hAnsi="Times New Roman;sans-serif"/>
          <w:b w:val="false"/>
          <w:color w:val="000000"/>
          <w:sz w:val="20"/>
        </w:rPr>
        <w:t>In September 2024, the Company executed a promissory note with Grow Fandor in the principal amount of $75,000. This note has been classified as “Other Notes” in table above that the summarizes the related party note payable agreements as of March 31, 2025.</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i/>
          <w:color w:val="000000"/>
          <w:sz w:val="20"/>
          <w:u w:val="single"/>
        </w:rPr>
        <w:t>Share Donation:</w:t>
      </w:r>
      <w:r>
        <w:rPr>
          <w:color w:val="000000"/>
        </w:rPr>
        <w:t xml:space="preserve"> </w:t>
      </w:r>
      <w:r>
        <w:rPr>
          <w:rFonts w:ascii="Times New Roman;sans-serif" w:hAnsi="Times New Roman;sans-serif"/>
          <w:b w:val="false"/>
          <w:color w:val="000000"/>
          <w:sz w:val="20"/>
        </w:rPr>
        <w:t>In October 2024, the Company received a donation of 15,000,000 shares of Class B Common Stock of Grow Fandor from Mr. Yueting Jia, which represents an approximately 10% ownership interest. Because Grow Fandor is in the preliminary stages of development and has not begun commercial operations, management concluded that the shares do not currently have value within the financial statements.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i/>
          <w:color w:val="000000"/>
          <w:sz w:val="20"/>
          <w:u w:val="single"/>
        </w:rPr>
        <w:t>Trademark License Agreement:</w:t>
      </w:r>
      <w:r>
        <w:rPr>
          <w:color w:val="000000"/>
        </w:rPr>
        <w:t xml:space="preserve"> </w:t>
      </w:r>
      <w:r>
        <w:rPr>
          <w:rFonts w:ascii="Times New Roman;sans-serif" w:hAnsi="Times New Roman;sans-serif"/>
          <w:b w:val="false"/>
          <w:color w:val="000000"/>
          <w:sz w:val="20"/>
        </w:rPr>
        <w:t xml:space="preserve">In October 2024, the Company and Grow Fandor executed the Trademark License Agreement. Under the terms of the licensing agreement, Grow Fandor has exclusive licensing rights as the only third-party allowed to use the FF and FX brands and marks during the contract term. In exchange Grow Fandor will pay to the Company: (1) a royalty fee, payable quarterly, calculated as the greater of: (a) 50% of the annual net profit from FF and FX ecosystem products, and (b) 5% of net sales revenue from all relevant brand ecosystem products; and (2) a $250,000 annual base license fee. Grow Fandor paid the initial annual license fee. Subsequent annual license fees will be payable within 30 days after each contract year. The Company recorded the initial license fee as a capital contribution due to the related party nature of the relationship with Grow Fandor and Yueting Jia’s public statements that the relationship is designed to provide incremental capital to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both"/>
        <w:rPr/>
      </w:pPr>
      <w:r>
        <w:rPr>
          <w:rFonts w:ascii="Aptos;san-serif" w:hAnsi="Aptos;san-serif"/>
          <w:b/>
          <w:color w:val="000000"/>
          <w:sz w:val="20"/>
        </w:rPr>
        <w:t>9.</w:t>
      </w:r>
      <w:r>
        <w:rPr>
          <w:rFonts w:ascii="Times New Roman;sans-serif" w:hAnsi="Times New Roman;sans-serif"/>
          <w:b/>
          <w:color w:val="000000"/>
          <w:sz w:val="20"/>
        </w:rPr>
        <w:t>Other Financing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FF ieFactory California (“Hanford”) Financing Arrangement</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On October 19, 2023, the Company entered into a sale leaseback transaction whereby it has exercised its option to purchase its </w:t>
      </w:r>
      <w:r>
        <w:rPr>
          <w:rFonts w:ascii="Times New Roman;sans-serif" w:hAnsi="Times New Roman;sans-serif"/>
          <w:b w:val="false"/>
          <w:color w:val="000000"/>
          <w:sz w:val="20"/>
          <w:shd w:fill="FFFFFF" w:val="clear"/>
        </w:rPr>
        <w:t xml:space="preserve">FF ieFactory California </w:t>
      </w:r>
      <w:r>
        <w:rPr>
          <w:rFonts w:ascii="Times New Roman;sans-serif" w:hAnsi="Times New Roman;sans-serif"/>
          <w:b w:val="false"/>
          <w:color w:val="000000"/>
          <w:sz w:val="20"/>
        </w:rPr>
        <w:t>manufacturing facility located in Hanford California (the “Property”) and simultaneously completed a sale leaseback to Ocean West Capital Partners (“Landlord”) pursuant to that certain Lease Agreement, dated as of October 19, 2023, by and between the Tenant and 10701 Idaho Owner, LLC (the “Lease Agreement”). This Lease Agreement also allows the Tenant access to up to $12.0 million of tenant improvement allowance for the Property. The Lease Agreement is for a term of five years, with a monthly lease rate of $355,197, with a five-year extension option, and the Tenant has an option to purchase the fee interest in the Property at any time after the second year of the lease term. Furthermore, the Tenant has a right of first offer to purchase the Property in the event Landlord desires to sell the Property. The obligations of the Tenant under the lease are guaranteed by the Company pursuant to that certain Guaranty of Lease made by the Company to 10701 Idaho Owner,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inclusion of the purchase option in the lease agreement, the Company was considered to have continuing involvement and, thus, accounted for the transaction as a failed sale lease back, with the Property assets subject to the sale leaseback remaining on the balance sheet and the sale proceeds recorded as a liability in accordance with the financing method. The Company recognized a $1.1 million financing obligation at the completion of the transaction, which was recorded to the Other financing liabilities, long term portion on its Unaudited Condensed Consolidated Balance Sheets. No gain or loss was recorded on the failed sale and lease back.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On March 14, 2024, the Company entered into the First Amendment to the Lease Agreement (the “First Amendment). The First Amendment established a repayment plan requiring the Company to pay an aggregate amount of $1.7 million of past due rent by March 31, 2024. The Company has an original Security Deposit balance of $1.5 million. In December 2024, the Landlord applied $0.6 million of the original Security Deposit</w:t>
      </w:r>
      <w:r>
        <w:rPr>
          <w:color w:val="000000"/>
        </w:rPr>
        <w:t xml:space="preserve"> </w:t>
      </w:r>
      <w:r>
        <w:rPr>
          <w:rFonts w:ascii="Times New Roman;sans-serif" w:hAnsi="Times New Roman;sans-serif"/>
          <w:b w:val="false"/>
          <w:color w:val="000000"/>
          <w:sz w:val="20"/>
          <w:shd w:fill="FFFFFF" w:val="clear"/>
        </w:rPr>
        <w:t>to past due rent. In January 2025, the Company paid the Landlord $0.6 million that reinstated the Security Deposit balance.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27, 2024, the Company entered into the Second Amendment to the Lease Agreement (the “Second Amendment”). Under the terms of the original lease agreement, the Company expected to receive $12.0 million in tenant improvement allowance, the repayment of which was included in the scheduled financing obligation payments. In the Second Amendment, the Landlord agreed to fund up to $10.0 million of the costs associated with the replacement of the Property’s roof and the remaining $2.0 million for other improvement costs. The $2.0 million may be reduced by incremental actual costs incurred for the roof replacement and the remaining amount will be contingent on the Company funding up to 66.67% of the other improvement costs.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had a leasehold improvement balance of $8.0 million and $6.9 million, respectively, within Property, plant and equipment, net, reflecting amounts funded through the tenant improvement allowance. The repayment of the tenant improvement allowance are included in the scheduled financing obligation payments.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quarters ended March 31, 2025 and 2024, the Company recorded interest expense of $1.9 million and $1.7 million, respectively. The financial liability as of March 31, 2025 and 2024 was $36.5 million and $33.7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ans-serif" w:hAnsi="Times New Roman;sans-serif"/>
          <w:b/>
          <w:i/>
          <w:color w:val="000000"/>
          <w:sz w:val="20"/>
        </w:rPr>
      </w:pPr>
      <w:r>
        <w:rPr>
          <w:rFonts w:ascii="Times New Roman;sans-serif" w:hAnsi="Times New Roman;sans-serif"/>
          <w:b/>
          <w:i/>
          <w:color w:val="000000"/>
          <w:sz w:val="20"/>
        </w:rPr>
        <w:t>Collateralized Loan</w:t>
      </w:r>
    </w:p>
    <w:p>
      <w:pPr>
        <w:pStyle w:val="TextBody"/>
        <w:bidi w:val="0"/>
        <w:spacing w:lineRule="auto" w:line="288" w:before="160" w:after="283"/>
        <w:jc w:val="both"/>
        <w:rPr/>
      </w:pPr>
      <w:r>
        <w:rPr>
          <w:rFonts w:ascii="Times New Roman;sans-serif" w:hAnsi="Times New Roman;sans-serif"/>
          <w:b w:val="false"/>
          <w:i/>
          <w:color w:val="000000"/>
          <w:sz w:val="20"/>
        </w:rPr>
        <w:t>Overview and T</w:t>
      </w:r>
      <w:r>
        <w:rPr>
          <w:rFonts w:ascii="Times New Roman;sans-serif" w:hAnsi="Times New Roman;sans-serif"/>
          <w:b w:val="false"/>
          <w:i/>
          <w:color w:val="000000"/>
          <w:sz w:val="20"/>
          <w:shd w:fill="FFFFFF" w:val="clear"/>
        </w:rPr>
        <w:t xml:space="preserve">erms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The Collateralized Loan was entered into on July 11, 2024, with Utica Leaseco, LLC. The loan is secured by machinery and equipment owned by the Company. It bears an effective interest rate of 23% and requires </w:t>
      </w:r>
      <w:r>
        <w:rPr>
          <w:rFonts w:ascii="Times New Roman;sans-serif" w:hAnsi="Times New Roman;sans-serif"/>
          <w:b w:val="false"/>
          <w:color w:val="000000"/>
          <w:sz w:val="20"/>
        </w:rPr>
        <w:t>51</w:t>
      </w:r>
      <w:r>
        <w:rPr>
          <w:color w:val="000000"/>
          <w:shd w:fill="FFFFFF" w:val="clear"/>
        </w:rPr>
        <w:t xml:space="preserve"> </w:t>
      </w:r>
      <w:r>
        <w:rPr>
          <w:rFonts w:ascii="Times New Roman;sans-serif" w:hAnsi="Times New Roman;sans-serif"/>
          <w:b w:val="false"/>
          <w:color w:val="000000"/>
          <w:sz w:val="20"/>
          <w:shd w:fill="FFFFFF" w:val="clear"/>
        </w:rPr>
        <w:t>monthly payments of $0.1 million, concluding with a $0.5 million balloon payment in October 2028. The loan terms include provisions for adjusting monthly payments based on fluctuations in the prime rate.</w:t>
      </w:r>
    </w:p>
    <w:p>
      <w:pPr>
        <w:pStyle w:val="TextBody"/>
        <w:bidi w:val="0"/>
        <w:spacing w:lineRule="auto" w:line="288" w:before="160" w:after="283"/>
        <w:ind w:left="0" w:right="0" w:firstLine="540"/>
        <w:jc w:val="both"/>
        <w:rPr/>
      </w:pPr>
      <w:r>
        <w:rPr>
          <w:rFonts w:ascii="Times New Roman;sans-serif" w:hAnsi="Times New Roman;sans-serif"/>
          <w:b w:val="false"/>
          <w:i/>
          <w:color w:val="000000"/>
          <w:sz w:val="20"/>
          <w:shd w:fill="FFFFFF" w:val="clear"/>
        </w:rPr>
        <w:t>Summary of Collateralized Loan Activity</w:t>
      </w:r>
      <w:r>
        <w:rPr>
          <w:color w:val="000000"/>
          <w:shd w:fill="FFFFFF" w:val="clear"/>
        </w:rPr>
        <w:t xml:space="preser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As of March 31, 2025 and December 31, 2024, the carrying value of the Collateralized Loan was </w:t>
      </w:r>
      <w:r>
        <w:rPr>
          <w:rFonts w:ascii="Times New Roman;sans-serif" w:hAnsi="Times New Roman;sans-serif"/>
          <w:b w:val="false"/>
          <w:color w:val="000000"/>
          <w:sz w:val="20"/>
        </w:rPr>
        <w:t>$4.1 million and $4.3 million</w:t>
      </w:r>
      <w:r>
        <w:rPr>
          <w:rFonts w:ascii="Times New Roman;sans-serif" w:hAnsi="Times New Roman;sans-serif"/>
          <w:b w:val="false"/>
          <w:color w:val="000000"/>
          <w:sz w:val="20"/>
          <w:shd w:fill="FFFFFF" w:val="clear"/>
        </w:rPr>
        <w:t xml:space="preserve">, respectively. Of these amounts </w:t>
      </w:r>
      <w:r>
        <w:rPr>
          <w:rFonts w:ascii="Times New Roman;sans-serif" w:hAnsi="Times New Roman;sans-serif"/>
          <w:b w:val="false"/>
          <w:color w:val="000000"/>
          <w:sz w:val="20"/>
        </w:rPr>
        <w:t>$0.8 million</w:t>
      </w:r>
      <w:r>
        <w:rPr>
          <w:color w:val="000000"/>
          <w:shd w:fill="FFFFFF" w:val="clear"/>
        </w:rPr>
        <w:t xml:space="preserve"> </w:t>
      </w:r>
      <w:r>
        <w:rPr>
          <w:rFonts w:ascii="Times New Roman;sans-serif" w:hAnsi="Times New Roman;sans-serif"/>
          <w:b w:val="false"/>
          <w:color w:val="000000"/>
          <w:sz w:val="20"/>
          <w:shd w:fill="FFFFFF" w:val="clear"/>
        </w:rPr>
        <w:t xml:space="preserve">and $0.8 million, respectively, were included in </w:t>
      </w:r>
      <w:r>
        <w:rPr>
          <w:rFonts w:ascii="Times New Roman;sans-serif" w:hAnsi="Times New Roman;sans-serif"/>
          <w:b w:val="false"/>
          <w:color w:val="000000"/>
          <w:sz w:val="20"/>
        </w:rPr>
        <w:t>Other financing liabilities, current portion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$3.3 million</w:t>
      </w:r>
      <w:r>
        <w:rPr>
          <w:color w:val="000000"/>
          <w:shd w:fill="FFFFFF" w:val="clear"/>
        </w:rPr>
        <w:t xml:space="preserve"> </w:t>
      </w:r>
      <w:r>
        <w:rPr>
          <w:rFonts w:ascii="Times New Roman;sans-serif" w:hAnsi="Times New Roman;sans-serif"/>
          <w:b w:val="false"/>
          <w:color w:val="000000"/>
          <w:sz w:val="20"/>
          <w:shd w:fill="FFFFFF" w:val="clear"/>
        </w:rPr>
        <w:t xml:space="preserve">and $3.5 million, respectively, were included in </w:t>
      </w:r>
      <w:r>
        <w:rPr>
          <w:rFonts w:ascii="Times New Roman;sans-serif" w:hAnsi="Times New Roman;sans-serif"/>
          <w:b w:val="false"/>
          <w:color w:val="000000"/>
          <w:sz w:val="20"/>
        </w:rPr>
        <w:t>Other financing liabilities, long term portion</w:t>
      </w:r>
      <w:r>
        <w:rPr>
          <w:color w:val="000000"/>
          <w:shd w:fill="FFFFFF" w:val="clear"/>
        </w:rPr>
        <w:t xml:space="preserve"> </w:t>
      </w:r>
      <w:r>
        <w:rPr>
          <w:rFonts w:ascii="Times New Roman;sans-serif" w:hAnsi="Times New Roman;sans-serif"/>
          <w:b w:val="false"/>
          <w:color w:val="000000"/>
          <w:sz w:val="20"/>
          <w:shd w:fill="FFFFFF" w:val="clear"/>
        </w:rPr>
        <w:t xml:space="preserve">in the </w:t>
      </w:r>
      <w:r>
        <w:rPr>
          <w:rFonts w:ascii="Times New Roman;sans-serif" w:hAnsi="Times New Roman;sans-serif"/>
          <w:b w:val="false"/>
          <w:color w:val="000000"/>
          <w:sz w:val="20"/>
        </w:rPr>
        <w:t>Unaudited Condensed Consolidated Balance Sheets</w:t>
      </w:r>
      <w:r>
        <w:rPr>
          <w:rFonts w:ascii="Times New Roman;sans-serif" w:hAnsi="Times New Roman;sans-serif"/>
          <w:b w:val="false"/>
          <w:color w:val="000000"/>
          <w:sz w:val="20"/>
          <w:shd w:fill="FFFFFF" w:val="clear"/>
        </w:rPr>
        <w:t xml:space="preserve">. For the three months ended March 31, 2025, the Company repaid </w:t>
      </w:r>
      <w:r>
        <w:rPr>
          <w:rFonts w:ascii="Times New Roman;sans-serif" w:hAnsi="Times New Roman;sans-serif"/>
          <w:b w:val="false"/>
          <w:color w:val="000000"/>
          <w:sz w:val="20"/>
        </w:rPr>
        <w:t>$0.2 million</w:t>
      </w:r>
      <w:r>
        <w:rPr>
          <w:color w:val="000000"/>
          <w:shd w:fill="FFFFFF" w:val="clear"/>
        </w:rPr>
        <w:t xml:space="preserve"> </w:t>
      </w:r>
      <w:r>
        <w:rPr>
          <w:rFonts w:ascii="Times New Roman;sans-serif" w:hAnsi="Times New Roman;sans-serif"/>
          <w:b w:val="false"/>
          <w:color w:val="000000"/>
          <w:sz w:val="20"/>
          <w:shd w:fill="FFFFFF" w:val="clear"/>
        </w:rPr>
        <w:t>of Collateralized Loan principal.</w:t>
      </w:r>
    </w:p>
    <w:p>
      <w:pPr>
        <w:pStyle w:val="TextBody"/>
        <w:bidi w:val="0"/>
        <w:spacing w:lineRule="auto" w:line="288" w:before="160" w:after="16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financing obligations as of March 31, 2025 are as follows:</w:t>
      </w:r>
    </w:p>
    <w:tbl>
      <w:tblPr>
        <w:tblW w:w="4214" w:type="dxa"/>
        <w:jc w:val="left"/>
        <w:tblInd w:w="0" w:type="dxa"/>
        <w:tblLayout w:type="fixed"/>
        <w:tblCellMar>
          <w:top w:w="28" w:type="dxa"/>
          <w:left w:w="28" w:type="dxa"/>
          <w:bottom w:w="28" w:type="dxa"/>
          <w:right w:w="28" w:type="dxa"/>
        </w:tblCellMar>
      </w:tblPr>
      <w:tblGrid>
        <w:gridCol w:w="896"/>
        <w:gridCol w:w="788"/>
        <w:gridCol w:w="790"/>
        <w:gridCol w:w="109"/>
        <w:gridCol w:w="109"/>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2025 </w:t>
            </w:r>
            <w:r>
              <w:rPr>
                <w:rFonts w:ascii="Times New Roman;sans-serif" w:hAnsi="Times New Roman;sans-serif"/>
                <w:b w:val="false"/>
                <w:i/>
                <w:color w:val="000000"/>
                <w:sz w:val="20"/>
              </w:rPr>
              <w:t>( 9 months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pPr>
      <w:r>
        <w:rPr>
          <w:rFonts w:ascii="Times New Roman;sans-serif" w:hAnsi="Times New Roman;sans-serif"/>
          <w:b/>
          <w:color w:val="000000"/>
          <w:sz w:val="20"/>
        </w:rPr>
        <w:t>10.</w:t>
      </w:r>
      <w:r>
        <w:rPr>
          <w:color w:val="000000"/>
        </w:rPr>
        <w:t xml:space="preserve"> </w:t>
      </w:r>
      <w:r>
        <w:rPr>
          <w:rFonts w:ascii="Times New Roman;sans-serif" w:hAnsi="Times New Roman;sans-serif"/>
          <w:b/>
          <w:color w:val="000000"/>
          <w:sz w:val="20"/>
        </w:rPr>
        <w:t>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its commencement if the Company is both able to identify an asset and conclude the Company has the right to control the identified asset. Leases are classified as finance or operating based on the principle of whether or not the lease is effectively a financed purchase by the lessee. An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or bargain purchase options.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the Company’s agreements have variable lease payments, the Company includes variable lease payments that depend on an index or a rate in the measurement and classification of a lease and exclude those that depend on facts or circumstances occurring after the commencement date, other than the passage of time. Lease expense for operating leases is recognized on a straight-line basis over the lease term and is recorded in operating expenses in the Unaudited Condensed Consolidated Statements of Operations and Comprehensive Loss. Amortization of ROU assets on finance leases is recorded on a straight-line basis within operating expenses in the Unaudited Condensed Consolidated Statements of Operations and Comprehensive Loss. Interest expense incurred on finance lease liabilities is recorded in Interest expense in the Unaudited Condensed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Operating lease right-of-use assets, net, Operating lease liabilities, current portion and Operating lease liabilities, long term portion in the Company's Unaudited Condensed Consolidated Balance Sheets.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lease arrangements primarily consist of corporate office, store, and vehicle lease agreements. The leases expire on various dates through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11.Commitments and Contingencies</w:t>
      </w:r>
    </w:p>
    <w:p>
      <w:pPr>
        <w:pStyle w:val="TextBody"/>
        <w:bidi w:val="0"/>
        <w:spacing w:lineRule="auto" w:line="288" w:before="160" w:after="18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from time to time, subject to claims and disputes arising in the normal course of business. In the opinion of management, the outcome of any such claims and disputes cannot be predicted with certainty.</w:t>
      </w:r>
    </w:p>
    <w:p>
      <w:pPr>
        <w:pStyle w:val="TextBody"/>
        <w:bidi w:val="0"/>
        <w:spacing w:lineRule="auto" w:line="288" w:before="180" w:after="18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Legal Proceedings Against the Company</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As of March 31, 2025 and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Company had accrued legal contingencies of </w:t>
      </w:r>
      <w:r>
        <w:rPr>
          <w:rFonts w:ascii="Times New Roman;sans-serif" w:hAnsi="Times New Roman;sans-serif"/>
          <w:b w:val="false"/>
          <w:color w:val="000000"/>
          <w:sz w:val="20"/>
        </w:rPr>
        <w:t>$6.6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$9.1 million</w:t>
      </w:r>
      <w:r>
        <w:rPr>
          <w:rFonts w:ascii="Times New Roman;sans-serif" w:hAnsi="Times New Roman;sans-serif"/>
          <w:b w:val="false"/>
          <w:color w:val="000000"/>
          <w:sz w:val="20"/>
          <w:shd w:fill="FFFFFF" w:val="clear"/>
        </w:rPr>
        <w:t xml:space="preserve">, respectively, recorded within Accrued expenses and other current liabilities and Accounts payable for potential financial exposure related to ongoing legal matters, primarily related to breach of contracts and employment matters, which are deemed both probable of loss and reasonably estimable. </w:t>
      </w:r>
    </w:p>
    <w:p>
      <w:pPr>
        <w:pStyle w:val="TextBody"/>
        <w:bidi w:val="0"/>
        <w:spacing w:lineRule="auto" w:line="288" w:before="1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Class and Derivative Actions</w:t>
      </w:r>
    </w:p>
    <w:p>
      <w:pPr>
        <w:pStyle w:val="TextBody"/>
        <w:bidi w:val="0"/>
        <w:spacing w:lineRule="auto" w:line="288" w:before="160" w:after="283"/>
        <w:jc w:val="both"/>
        <w:rPr/>
      </w:pPr>
      <w:r>
        <w:rPr>
          <w:rFonts w:ascii="Times New Roman;sans-serif" w:hAnsi="Times New Roman;sans-serif"/>
          <w:b w:val="false"/>
          <w:i/>
          <w:color w:val="000000"/>
          <w:sz w:val="20"/>
          <w:u w:val="single"/>
          <w:shd w:fill="FFFFFF" w:val="clear"/>
        </w:rPr>
        <w:t>Zhou v. Faraday Future Intelligent Electric Inc. f/k/a Property Solutions Acquisition Corp. et al., Case No. 2:21-cv-009914 (U.S. District Court – Central District of California).</w:t>
      </w:r>
      <w:r>
        <w:rPr>
          <w:color w:val="000000"/>
          <w:shd w:fill="FFFFFF" w:val="clear"/>
        </w:rPr>
        <w:t xml:space="preserve">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December 23, 2021, a putative class action lawsuit alleging violations of the Exchange Act was filed in the United States District Court, Central District of California, against the Company and its former Chief Executive Officer and Chief Financial Officer, and its then-Chief Product and User Ecosystem Officer (who was promoted to Global Co-CEO in April 2025), as well as the Co-CEOs of Property Solutions Acquisition Corp. (“PSAC”). On May 6, 2022, the appointed lead plaintiffs in the Zhou putative class action filed an amended complaint alleging violations of Sections 10(b), 14(a) and 20(a) of the Exchange Act, Sections 11 and 15 of the Securities Act , and related “control” person claims for secondary liability under those statutes, seeking unspecified damages. Following motion to dismiss briefing and the subsequent court-ordered dismissal of several of the plaintiffs’ claims, answers were filed and the parties agreed to participate in mediation. On April 27, 2023, the court granted the parties’ joint motion for a temporary stay pending mediation. The parties thereafter participated in a private mediation on June 29, 2023. After further discussions and negotiations, the parties reached an agreement-in-principle to settle the Zhou putative class action. Although denying all allegations, the Company nevertheless agreed to settle the Zhou putative class action for a non-reversionary cash payment of $7.5 million to be funded entirely by the Company’s insurers for the benefit of the settlement class, in exchange for the release of all claims that were or could have been asserted against the Company. The court thereafter granted preliminary approval of the settlement on November 7, 2023, and scheduled a hearing for final approval of the settlement to take place on March 18, 2024. On January 23, 2024, the ostensible lead plaintiff in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Delaware Class Action discussed below, filed an Objection to final approval of the settlement (the “Objection”) to which the Company and the other defendants responded on March 11, 2024. On March 18, 2024, the court overruled the Objection in its entirety and entered an Order finally approving the Zhou putative class action settlement. </w:t>
      </w:r>
    </w:p>
    <w:p>
      <w:pPr>
        <w:pStyle w:val="TextBody"/>
        <w:bidi w:val="0"/>
        <w:spacing w:lineRule="auto" w:line="288" w:before="160" w:after="283"/>
        <w:jc w:val="both"/>
        <w:rPr/>
      </w:pPr>
      <w:r>
        <w:rPr>
          <w:rFonts w:ascii="Times New Roman;sans-serif" w:hAnsi="Times New Roman;sans-serif"/>
          <w:b w:val="false"/>
          <w:i/>
          <w:color w:val="000000"/>
          <w:sz w:val="20"/>
          <w:u w:val="single"/>
          <w:shd w:fill="FFFFFF" w:val="clear"/>
        </w:rPr>
        <w:t>Farazmand v. Breitfeld et al.</w:t>
      </w:r>
      <w:r>
        <w:rPr>
          <w:rFonts w:ascii="Times New Roman;sans-serif" w:hAnsi="Times New Roman;sans-serif"/>
          <w:b w:val="false"/>
          <w:color w:val="000000"/>
          <w:sz w:val="20"/>
          <w:u w:val="single"/>
          <w:shd w:fill="FFFFFF" w:val="clear"/>
        </w:rPr>
        <w:t xml:space="preserve">, Case No. 2:22-cv-01570 (U.S. District Court – Central District of California). </w:t>
      </w:r>
    </w:p>
    <w:p>
      <w:pPr>
        <w:pStyle w:val="TextBody"/>
        <w:bidi w:val="0"/>
        <w:spacing w:lineRule="auto" w:line="288" w:before="0" w:after="0"/>
        <w:jc w:val="both"/>
        <w:rPr/>
      </w:pPr>
      <w:r>
        <w:rPr>
          <w:rFonts w:ascii="Times New Roman;sans-serif" w:hAnsi="Times New Roman;sans-serif"/>
          <w:b w:val="false"/>
          <w:i/>
          <w:color w:val="000000"/>
          <w:sz w:val="20"/>
          <w:u w:val="single"/>
          <w:shd w:fill="FFFFFF" w:val="clear"/>
        </w:rPr>
        <w:t>Zhou v Breitfeld et al.</w:t>
      </w:r>
      <w:r>
        <w:rPr>
          <w:rFonts w:ascii="Times New Roman;sans-serif" w:hAnsi="Times New Roman;sans-serif"/>
          <w:b w:val="false"/>
          <w:color w:val="000000"/>
          <w:sz w:val="20"/>
          <w:u w:val="single"/>
          <w:shd w:fill="FFFFFF" w:val="clear"/>
        </w:rPr>
        <w:t xml:space="preserve">, Case No. 2:22-cv-01852 (U.S. District Court – Central District of California). </w:t>
      </w:r>
    </w:p>
    <w:p>
      <w:pPr>
        <w:pStyle w:val="TextBody"/>
        <w:bidi w:val="0"/>
        <w:spacing w:lineRule="auto" w:line="288" w:before="0" w:after="0"/>
        <w:jc w:val="both"/>
        <w:rPr/>
      </w:pPr>
      <w:r>
        <w:rPr>
          <w:rFonts w:ascii="Times New Roman;sans-serif" w:hAnsi="Times New Roman;sans-serif"/>
          <w:b w:val="false"/>
          <w:i/>
          <w:color w:val="000000"/>
          <w:sz w:val="20"/>
          <w:u w:val="single"/>
          <w:shd w:fill="FFFFFF" w:val="clear"/>
        </w:rPr>
        <w:t>Moubarak v. Breitfeld et al.</w:t>
      </w:r>
      <w:r>
        <w:rPr>
          <w:rFonts w:ascii="Times New Roman;sans-serif" w:hAnsi="Times New Roman;sans-serif"/>
          <w:b w:val="false"/>
          <w:color w:val="000000"/>
          <w:sz w:val="20"/>
          <w:u w:val="single"/>
          <w:shd w:fill="FFFFFF" w:val="clear"/>
        </w:rPr>
        <w:t xml:space="preserve">, Case No. 1:22-cv-00467 (U.S. District Court – District of Delaware). </w:t>
      </w:r>
    </w:p>
    <w:p>
      <w:pPr>
        <w:pStyle w:val="TextBody"/>
        <w:bidi w:val="0"/>
        <w:spacing w:lineRule="auto" w:line="288" w:before="0" w:after="0"/>
        <w:jc w:val="both"/>
        <w:rPr/>
      </w:pPr>
      <w:r>
        <w:rPr>
          <w:rFonts w:ascii="Times New Roman;sans-serif" w:hAnsi="Times New Roman;sans-serif"/>
          <w:b w:val="false"/>
          <w:i/>
          <w:color w:val="000000"/>
          <w:sz w:val="20"/>
          <w:u w:val="single"/>
          <w:shd w:fill="FFFFFF" w:val="clear"/>
        </w:rPr>
        <w:t>Wang v. Breitfeld et al.</w:t>
      </w:r>
      <w:r>
        <w:rPr>
          <w:rFonts w:ascii="Times New Roman;sans-serif" w:hAnsi="Times New Roman;sans-serif"/>
          <w:b w:val="false"/>
          <w:color w:val="000000"/>
          <w:sz w:val="20"/>
          <w:u w:val="single"/>
          <w:shd w:fill="FFFFFF" w:val="clear"/>
        </w:rPr>
        <w:t xml:space="preserve">, Case No. 1:22-cv-00525 (U.S. District Court – District of Delaware). </w:t>
      </w:r>
    </w:p>
    <w:p>
      <w:pPr>
        <w:pStyle w:val="TextBody"/>
        <w:bidi w:val="0"/>
        <w:spacing w:lineRule="auto" w:line="288" w:before="0" w:after="0"/>
        <w:jc w:val="both"/>
        <w:rPr/>
      </w:pPr>
      <w:r>
        <w:rPr>
          <w:rFonts w:ascii="Times New Roman;sans-serif" w:hAnsi="Times New Roman;sans-serif"/>
          <w:b w:val="false"/>
          <w:i/>
          <w:color w:val="000000"/>
          <w:sz w:val="20"/>
          <w:u w:val="single"/>
          <w:shd w:fill="FFFFFF" w:val="clear"/>
        </w:rPr>
        <w:t>Wallace v. Breitfeld et al.</w:t>
      </w:r>
      <w:r>
        <w:rPr>
          <w:rFonts w:ascii="Times New Roman;sans-serif" w:hAnsi="Times New Roman;sans-serif"/>
          <w:b w:val="false"/>
          <w:color w:val="000000"/>
          <w:sz w:val="20"/>
          <w:u w:val="single"/>
          <w:shd w:fill="FFFFFF" w:val="clear"/>
        </w:rPr>
        <w:t xml:space="preserve">, Case No. 2023-0639-KSJM (Delaware Court of Chancery). </w:t>
      </w:r>
    </w:p>
    <w:p>
      <w:pPr>
        <w:pStyle w:val="TextBody"/>
        <w:bidi w:val="0"/>
        <w:spacing w:lineRule="auto" w:line="288" w:before="0" w:after="0"/>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 xml:space="preserve">Ashkan Farazmand and Wangjun Zhou v. Breitfeld, et al., Case No. 2023-1283 (Delaware Court of Chancery).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8 (Farazmand) and March 21 (Zhou), 2022, putative stockholder derivative lawsuits were respectively filed in the United States District Court, Central District of California and were subsequently consolidated in an action entitled In re Faraday Future Intelligent Electric Inc. Case No. 2:22-cv-1570 (the “California Federal Derivative Action”). The California Federal Derivative Action was stayed pending resolution of certain proceedings in the Zhou putative class action discussed above, which stay expired in February 2023. Plaintiffs thereafter filed a verified consolidated amended complaint on June 2, 2023, in response to which the Company and the other defendants filed a motion to dismiss. On January 22, 2024, the court granted in part, and denied in part, the motion to dismiss with leave to amend. On February 6, 2024, the parties filed a stipulation to stay the California Federal Derivative Action pending mediation that was entered by the court on February 12, 2024.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April 11 (Moubarak) and April 25 (Wang), 2022, putative stockholder derivative lawsuits were respectively filed in the United States Delaware District Court (collectively, the “Delaware Federal Derivative Actions”). On February 6, 2023, the Delaware Derivative Actions were stayed pending resolution of the pending proceedings in the Zhou putative class action.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June 21 (Wallace) and December 22 (Farazmand), 2023, putative derivative lawsuits were respectively filed in the Delaware Court of Chancery (collectively, the “Delaware State Derivative Actions”). The parties stipulated to a stay of the Wallace action which was entered by the court on December 29, 2023.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Each of the foregoing derivative lawsuits purported to assert claims on behalf of the Company against certain of the Company’s current and former officers and directors for alleged violations of the Exchange Act or for various common law claims based upon those officers’ and directors’ alleged breaches of their purported fiduciary duties owed to the Company and/or for their alleged aiding and abetting of those purported breaches, resulting in unspecified damages to the Company. Although the complaints filed in the foregoing lawsuits vary in detail, they are generally premised upon many of the same underlying allegations made in the Zhou putative class action. The parties to the foregoing derivative lawsuits participated in a mediation on May 13, 2024, following which they reached a settlement in principle. On July 19, 2024, the parties entered into a Stipulation and Agreement of Settlement that was filed in the California Federal Derivative Action, which incorporated all of the foregoing derivative lawsuits respectively filed in California and Delaware. On September 3, 2024, the California Federal Derivative Action Court entered an order preliminarily approving the Stipulation and Agreement of Settlement (the “Preliminary Approval Order”) and provided for notice of the same to be made to Current Stockholders. On October 30, 2024, the California Federal Derivative Action Court approved the Settlement Agreement, resolving all of the foregoing derivative lawsuits. Following the approval of the Settlement Agreement, the California Federal Derivative Action was dismissed on October 30, 2024 and the Delaware Federal Derivative Actions were dismissed on November 15, 2024 (Wang) and November 19, 2024 (Moubarak). On December 31, 2024, the parties in the Farazmand filed a stipulation of dismissal which was subsequently entered by the court. </w:t>
      </w:r>
    </w:p>
    <w:p>
      <w:pPr>
        <w:pStyle w:val="TextBody"/>
        <w:bidi w:val="0"/>
        <w:spacing w:lineRule="auto" w:line="288" w:before="1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The Consolidated Delaware Class Action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On June 14, 2022, a verified stockholder class action complaint was filed in the Delaware Court of Chancery against, among others, the Company, its former Global CEO and CFO, and its then-Chief Product and User Ecosystem Officer (who was promoted to Global Co-CEO in April 2025), alleging breaches of fiduciary duties (the “Yun Class Action”). On September 21, 2022, a second verified stockholder class action complaint was filed in the Delaware Court of Chancery against, among others, the Company, the Co-CEOs and independent directors of PSAC, and certain third-party advisors to PSAC, alleging breaches of fiduciary duties, and aiding and abetting those alleged breaches, in connection with disclosures and stockholder voting leading up to the PSAC/Legacy FF merger (the “Cleveland Class Action”).</w:t>
      </w:r>
      <w:r>
        <w:rPr>
          <w:color w:val="000000"/>
        </w:rPr>
        <w:t xml:space="preserve"> </w:t>
      </w:r>
      <w:r>
        <w:rPr>
          <w:rFonts w:ascii="Times New Roman;sans-serif" w:hAnsi="Times New Roman;sans-serif"/>
          <w:b w:val="false"/>
          <w:color w:val="000000"/>
          <w:sz w:val="20"/>
          <w:shd w:fill="FFFFFF" w:val="clear"/>
        </w:rPr>
        <w:t xml:space="preserve">The Cleveland and Yun Class Actions subsequently were consolidated the complaint in the Cleveland Class Action being designated as the operative pleading (collectively, the “Consolidated Delaware Class Action”). In April 2023, the defendants respectively filed motions to dismiss that complaint. While the defendants’ motions to dismiss were pending, the Central District of California approved the Zhou putative class action settlement. On May 24, 2024, the defendants in the Consolidated Delaware Class Action filed a motion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summary judgment based upon the court-approved settlement agreement in Zhou putative class action on the grounds that among other things, the releases of that settlement agreement barred the claims in the Consolidated Delaware Class Action. On February 10, 2025, the Delaware Court of Chancery granted summary judgment and dismissed the Consolidated Delaware Class Action both in its entirety and with prejudice.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Additionally, on September 19, 2022, FF Global, filed a lawsuit in the Chancery Court of the State of Delaware against the Company, seeking the removal of Ms. Susan Swenson and Mr. Brian Krolicki from the Board. On September 27, 2022, the case was dismissed without prejudice pursuant to an agreement between FF Global and FF Top (the “Heads of Agreement”). 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On October 3, 2022, Ms. Swenson and Mr. Scott Vogel, a member of the Board, tendered their resignation from the Board effective immediately. On October 3, 2022, Mr. Jordan Vogel also tendered his resignation from the Board effective on October 5, 2022. On October 28, 2022, Mr. Brian Krolicki tendered his resignation from the Board effective immediately.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Legal Proceedings Initiated by the Company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there to be financial exposure related to an ongoing legal matter, primarily arising from the bankruptcy of a key supplier. The exposure involves previously recorded deposits and tooling equipment, which have since become subject to legal contingency considerations due to the supplier’s insolvency.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initially recorded $1.9 million in deposits and $12.9 million in tooling equipment in connection with its contractual relationship with a primary supplier. These amounts were originally recognized as a deposit paid for goods and services and tooling received, respectively, and continue to be reflected in their originally recorded accounts on the Consolidated Balance Sheets. However, following the primary supplier’s bankruptcy filing, these balances were identified as at risk, creating potential financial exposure for the Company. The $2.7 million charge consists of a $1.4 million write-off of deposits and a $1.3 million accrual for additional payments the Company expects to have to make to maintain access to its tooling located at vendors of the key supplier (the “secondary suppliers”). The $1.4 million write-off of deposits reflects the Company's estimate that recovery of that asset is not probable and leaves a remaining exposure of $0.5 million.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expect any further financial loss related to tooling. Although the Company has title to the tooling; the secondary suppliers have possession of it. The Company anticipates establishing a direct contractual arrangement with the secondary suppliers. Once in place, these agreements are expected to provide the Company with continued access to the tooling without additional financial exposure.</w:t>
      </w:r>
    </w:p>
    <w:p>
      <w:pPr>
        <w:pStyle w:val="TextBody"/>
        <w:bidi w:val="0"/>
        <w:spacing w:lineRule="auto" w:line="288" w:before="1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Legal Action Against Tesca USA and Tesca ABC</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6, 2025, Faraday&amp;Future Inc. (“Faraday”) filed a demand for arbitration against Tesca USA, Inc. and Tesca ABC, LLC alleging the breach of an Engineering Services Agreement (“ESA”) between Tesca USA and Faraday&amp;Future Inc., under which Tesca USA was obligated to produce certain items related to automobile seating assembly and frame production. Pursuant to the ESA, Faraday paid Tesca USA approximately $36.0 million for certain parts, tooling, engineering design and development, and other items. According to a Verified Petition Regarding Assignment for the Benefit of Creditors filed in May 2024, Tesca USA, after failing to deliver any of these products or services to Faraday, assigned all its assets to Tesca ABC, a Delaware series limited liability company. Faraday has reason to suspect that Tesca USA may have made one or more large cash transfers to Tesca Group before it commenced the Assignment for Benefit of Creditors. Faraday is seeking in excess of $36.0 million in damages through this arbitration. The Company is unable to evaluate the likelihood of a favorable outcome given the early stages of these legal proceedings.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Governance Matters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Following the completion of the Special Committee (as defined below) investigation through the date hereof, the Company and certain of its directors and officers have received numerous e-mail communications from a group of self-described “employee whistleblowers” and from various individuals and entities who represented themselves as current investors of the Company. These communications have included various allegations (including, for example, that certain directors have conspired to push the Company into bankruptcy for their own personal gain) and requests for certain organizational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governance changes. The Company engaged an independent law firm to conduct a thorough independent external investigation with respect to these allegations. The independent investigation found that all such allegations have been without merit.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Other Legal Matters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January 30, 2023, Riverside Management Group, LLC (“Riverside”) filed a verified complaint seeking to enforce its alleged contractual right to the advancement of all reasonable costs and expenses, including attorneys’ fees, it has and will incur as a named defendant in the Consolidated Delaware Class Action under its October 13, 2020 Transaction Services Agreement with the Company and Property Solutions Acquisition Sponsor, LLC (the “TSA”), pursuant to which Riverside provided PSAC with advisory services in connection with the PSAC/Legacy FF merger. In addition to seeking the advancement of such costs and expenses, Riverside also sought an award of its attorneys’ fees and costs incurred in enforcing its alleged advancement rights under the TSA, and concurrently filed a Motion for Expedited Proceedings, requesting that trial of the action be conducted on a summary basis and commence within 30 days of the motion’s disposition. The Company subsequently entered into a Stipulation and Order with Riverside under which it would conditionally advance Riverside the reasonable attorneys’ fees and costs it incurs in defense of the Consolidated Delaware Action, subject to, and in express reservation of, the Company’s right to recover all such fees and expenses following disposition of the Consolidated Delaware Class Action which, as noted above, was recently dismissed, with prejudice, on summary judgment by the Delaware Chancery Court.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January 31, 2023, Raymond Handling Solutions, Inc. (“Raymond”), an equipment supplier, filed an action alleging that the Company breached its contract with Raymond and refused to pay for warehouse racking equipment. Raymond requested a judgement in its favor in the amount of </w:t>
      </w:r>
      <w:r>
        <w:rPr>
          <w:rFonts w:ascii="Times New Roman;sans-serif" w:hAnsi="Times New Roman;sans-serif"/>
          <w:b w:val="false"/>
          <w:color w:val="000000"/>
          <w:sz w:val="20"/>
        </w:rPr>
        <w:t>$1.1 million</w:t>
      </w:r>
      <w:r>
        <w:rPr>
          <w:rFonts w:ascii="Times New Roman;sans-serif" w:hAnsi="Times New Roman;sans-serif"/>
          <w:b w:val="false"/>
          <w:color w:val="000000"/>
          <w:sz w:val="20"/>
          <w:shd w:fill="FFFFFF" w:val="clear"/>
        </w:rPr>
        <w:t xml:space="preserve">. On April 15, 2024, the Company and Raymond executed a Settlement Agreement under which Raymond released all claims in exchange for the return the of racking equipment.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In July 2021, the Company and Palantir entered into a Master Subscription Agreement (“MSA”) setting forth the terms of the Palantir platform hosting arrangement which was expected to be used as a central operating system for data and analytics. On April 26, 2023, the Company received a letter from Palantir Technologies Inc. (“Palantir”) providing a notice of dispute alleging that the Company had not paid outstanding invoices totaling </w:t>
      </w:r>
      <w:r>
        <w:rPr>
          <w:rFonts w:ascii="Times New Roman;sans-serif" w:hAnsi="Times New Roman;sans-serif"/>
          <w:b w:val="false"/>
          <w:color w:val="000000"/>
          <w:sz w:val="20"/>
        </w:rPr>
        <w:t>$12.3 million</w:t>
      </w:r>
      <w:r>
        <w:rPr>
          <w:rFonts w:ascii="Times New Roman;sans-serif" w:hAnsi="Times New Roman;sans-serif"/>
          <w:b w:val="false"/>
          <w:color w:val="000000"/>
          <w:sz w:val="20"/>
          <w:shd w:fill="FFFFFF" w:val="clear"/>
        </w:rPr>
        <w:t xml:space="preserve">. On July 7, 2023, Palantir filed a Demand for Arbitration against the Company with Judicial Arbitration and Mediation Services, Inc., regarding the parties’ dispute under the MSA in which it alleged that the amount in controversy was </w:t>
      </w:r>
      <w:r>
        <w:rPr>
          <w:rFonts w:ascii="Times New Roman;sans-serif" w:hAnsi="Times New Roman;sans-serif"/>
          <w:b w:val="false"/>
          <w:color w:val="000000"/>
          <w:sz w:val="20"/>
        </w:rPr>
        <w:t>$41.5 million</w:t>
      </w:r>
      <w:r>
        <w:rPr>
          <w:rFonts w:ascii="Times New Roman;sans-serif" w:hAnsi="Times New Roman;sans-serif"/>
          <w:b w:val="false"/>
          <w:color w:val="000000"/>
          <w:sz w:val="20"/>
          <w:shd w:fill="FFFFFF" w:val="clear"/>
        </w:rPr>
        <w:t xml:space="preserve">. On August 4, 2023, the Company submitted its response to Palantir’s arbitration demand, which response included both affirmative defenses and a general denial of all allegations of Palantir’s arbitration demand. On March 11, 2024, the Company and Palantir executed a Settlement and Release Agreement terminating the MSA and resolving all of the parties’ disputes in exchange for the Company’s agreement to pay Palantir </w:t>
      </w:r>
      <w:r>
        <w:rPr>
          <w:rFonts w:ascii="Times New Roman;sans-serif" w:hAnsi="Times New Roman;sans-serif"/>
          <w:b w:val="false"/>
          <w:color w:val="000000"/>
          <w:sz w:val="20"/>
        </w:rPr>
        <w:t>$5.0 million</w:t>
      </w:r>
      <w:r>
        <w:rPr>
          <w:rFonts w:ascii="Times New Roman;sans-serif" w:hAnsi="Times New Roman;sans-serif"/>
          <w:b w:val="false"/>
          <w:color w:val="000000"/>
          <w:sz w:val="20"/>
          <w:shd w:fill="FFFFFF" w:val="clear"/>
        </w:rPr>
        <w:t xml:space="preserve">, with a liquidated damages clause of </w:t>
      </w:r>
      <w:r>
        <w:rPr>
          <w:rFonts w:ascii="Times New Roman;sans-serif" w:hAnsi="Times New Roman;sans-serif"/>
          <w:b w:val="false"/>
          <w:color w:val="000000"/>
          <w:sz w:val="20"/>
        </w:rPr>
        <w:t>$0.3 million</w:t>
      </w:r>
      <w:r>
        <w:rPr>
          <w:color w:val="000000"/>
          <w:shd w:fill="FFFFFF" w:val="clear"/>
        </w:rPr>
        <w:t xml:space="preserve"> </w:t>
      </w:r>
      <w:r>
        <w:rPr>
          <w:rFonts w:ascii="Times New Roman;sans-serif" w:hAnsi="Times New Roman;sans-serif"/>
          <w:b w:val="false"/>
          <w:color w:val="000000"/>
          <w:sz w:val="20"/>
          <w:shd w:fill="FFFFFF" w:val="clear"/>
        </w:rPr>
        <w:t xml:space="preserve">for late payments. This settlement includes mutual waivers and releases of claims to avoid future disputes. On August 9, 2024, the Company and Palantir entered into an amendment to the Settlement and Release Agreement pursuant to which, in lieu of paying the remaining </w:t>
      </w:r>
      <w:r>
        <w:rPr>
          <w:rFonts w:ascii="Times New Roman;sans-serif" w:hAnsi="Times New Roman;sans-serif"/>
          <w:b w:val="false"/>
          <w:color w:val="000000"/>
          <w:sz w:val="20"/>
        </w:rPr>
        <w:t>$4.8 million</w:t>
      </w:r>
      <w:r>
        <w:rPr>
          <w:color w:val="000000"/>
          <w:shd w:fill="FFFFFF" w:val="clear"/>
        </w:rPr>
        <w:t xml:space="preserve"> </w:t>
      </w:r>
      <w:r>
        <w:rPr>
          <w:rFonts w:ascii="Times New Roman;sans-serif" w:hAnsi="Times New Roman;sans-serif"/>
          <w:b w:val="false"/>
          <w:color w:val="000000"/>
          <w:sz w:val="20"/>
          <w:shd w:fill="FFFFFF" w:val="clear"/>
        </w:rPr>
        <w:t xml:space="preserve">due under the settlement agreement in cash, the parties agreed that the Company would issue, and Palantir would accept, </w:t>
      </w:r>
      <w:r>
        <w:rPr>
          <w:rFonts w:ascii="Times New Roman;sans-serif" w:hAnsi="Times New Roman;sans-serif"/>
          <w:b w:val="false"/>
          <w:color w:val="000000"/>
          <w:sz w:val="20"/>
        </w:rPr>
        <w:t>$2.4 million</w:t>
      </w:r>
      <w:r>
        <w:rPr>
          <w:color w:val="000000"/>
          <w:shd w:fill="FFFFFF" w:val="clear"/>
        </w:rPr>
        <w:t xml:space="preserve"> </w:t>
      </w:r>
      <w:r>
        <w:rPr>
          <w:rFonts w:ascii="Times New Roman;sans-serif" w:hAnsi="Times New Roman;sans-serif"/>
          <w:b w:val="false"/>
          <w:color w:val="000000"/>
          <w:sz w:val="20"/>
          <w:shd w:fill="FFFFFF" w:val="clear"/>
        </w:rPr>
        <w:t xml:space="preserve">of Class A Common Stock by August 9, 2024, and </w:t>
      </w:r>
      <w:r>
        <w:rPr>
          <w:rFonts w:ascii="Times New Roman;sans-serif" w:hAnsi="Times New Roman;sans-serif"/>
          <w:b w:val="false"/>
          <w:color w:val="000000"/>
          <w:sz w:val="20"/>
        </w:rPr>
        <w:t>$2.4 million</w:t>
      </w:r>
      <w:r>
        <w:rPr>
          <w:color w:val="000000"/>
          <w:shd w:fill="FFFFFF" w:val="clear"/>
        </w:rPr>
        <w:t xml:space="preserve"> </w:t>
      </w:r>
      <w:r>
        <w:rPr>
          <w:rFonts w:ascii="Times New Roman;sans-serif" w:hAnsi="Times New Roman;sans-serif"/>
          <w:b w:val="false"/>
          <w:color w:val="000000"/>
          <w:sz w:val="20"/>
          <w:shd w:fill="FFFFFF" w:val="clear"/>
        </w:rPr>
        <w:t xml:space="preserve">in Class A Common Stock by October 1, 2024. The August 9, 2024 issuance totaled approximately </w:t>
      </w:r>
      <w:r>
        <w:rPr>
          <w:rFonts w:ascii="Times New Roman;sans-serif" w:hAnsi="Times New Roman;sans-serif"/>
          <w:b w:val="false"/>
          <w:color w:val="000000"/>
          <w:sz w:val="20"/>
        </w:rPr>
        <w:t>11.1 million</w:t>
      </w:r>
      <w:r>
        <w:rPr>
          <w:color w:val="000000"/>
          <w:shd w:fill="FFFFFF" w:val="clear"/>
        </w:rPr>
        <w:t xml:space="preserve"> </w:t>
      </w:r>
      <w:r>
        <w:rPr>
          <w:rFonts w:ascii="Times New Roman;sans-serif" w:hAnsi="Times New Roman;sans-serif"/>
          <w:b w:val="false"/>
          <w:color w:val="000000"/>
          <w:sz w:val="20"/>
          <w:shd w:fill="FFFFFF" w:val="clear"/>
        </w:rPr>
        <w:t xml:space="preserve">shares of Common Stock. The Company further agreed to register the shares under the Securities Act for resale by Palantir.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May 2, 2023, the Company received a notice of Commencement of Arbitration by Envisage Group Developments Inc. USA (“Envisage”) for unpaid invoices relating to professional engineering services and for design and manufacture of a Master Buck cube seeking alleged damages of </w:t>
      </w:r>
      <w:r>
        <w:rPr>
          <w:rFonts w:ascii="Times New Roman;sans-serif" w:hAnsi="Times New Roman;sans-serif"/>
          <w:b w:val="false"/>
          <w:color w:val="000000"/>
          <w:sz w:val="20"/>
        </w:rPr>
        <w:t>$1.1 million</w:t>
      </w:r>
      <w:r>
        <w:rPr>
          <w:rFonts w:ascii="Times New Roman;sans-serif" w:hAnsi="Times New Roman;sans-serif"/>
          <w:b w:val="false"/>
          <w:color w:val="000000"/>
          <w:sz w:val="20"/>
          <w:shd w:fill="FFFFFF" w:val="clear"/>
        </w:rPr>
        <w:t xml:space="preserve">. At the arbitration hearing, the Company disputed the adequacy of Envisage’s documentation for professional services and contended that no contract exists for Master Buck due to unfulfilled payment conditions. The Company further challenged Envisage’s unilateral alteration of payment terms. In June 2024, the arbitrator issued an award to Envisage totaling </w:t>
      </w:r>
      <w:r>
        <w:rPr>
          <w:rFonts w:ascii="Times New Roman;sans-serif" w:hAnsi="Times New Roman;sans-serif"/>
          <w:b w:val="false"/>
          <w:color w:val="000000"/>
          <w:sz w:val="20"/>
        </w:rPr>
        <w:t>$1.1 million</w:t>
      </w:r>
      <w:r>
        <w:rPr>
          <w:rFonts w:ascii="Times New Roman;sans-serif" w:hAnsi="Times New Roman;sans-serif"/>
          <w:b w:val="false"/>
          <w:color w:val="000000"/>
          <w:sz w:val="20"/>
          <w:shd w:fill="FFFFFF" w:val="clear"/>
        </w:rPr>
        <w:t xml:space="preserve">. Envisage subsequently filed a motion for attorneys’ fees and costs. Envisage was ultimately awarded a total of </w:t>
      </w:r>
      <w:r>
        <w:rPr>
          <w:rFonts w:ascii="Times New Roman;sans-serif" w:hAnsi="Times New Roman;sans-serif"/>
          <w:b w:val="false"/>
          <w:color w:val="000000"/>
          <w:sz w:val="20"/>
        </w:rPr>
        <w:t>$1.4 million</w:t>
      </w:r>
      <w:r>
        <w:rPr>
          <w:rFonts w:ascii="Times New Roman;sans-serif" w:hAnsi="Times New Roman;sans-serif"/>
          <w:b w:val="false"/>
          <w:color w:val="000000"/>
          <w:sz w:val="20"/>
          <w:shd w:fill="FFFFFF" w:val="clear"/>
        </w:rPr>
        <w:t xml:space="preserve">. The parties have reached an agreement to settle their dispute for </w:t>
      </w:r>
      <w:r>
        <w:rPr>
          <w:rFonts w:ascii="Times New Roman;sans-serif" w:hAnsi="Times New Roman;sans-serif"/>
          <w:b w:val="false"/>
          <w:color w:val="000000"/>
          <w:sz w:val="20"/>
        </w:rPr>
        <w:t>$0.8 million</w:t>
      </w:r>
      <w:r>
        <w:rPr>
          <w:rFonts w:ascii="Times New Roman;sans-serif" w:hAnsi="Times New Roman;sans-serif"/>
          <w:b w:val="false"/>
          <w:color w:val="000000"/>
          <w:sz w:val="20"/>
          <w:shd w:fill="FFFFFF" w:val="clear"/>
        </w:rPr>
        <w:t xml:space="preserve">.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June 12, 2023, the Company received a letter demanding access to the Company’s books and records in connection with (a) the Company entering into the amended and restated shareholder agreement with FF Top Holding LLC n/k/a FF Global and (b) certain other related matters. Given the early stages of the legal proceedings, the Company is unable to evaluate the likelihood of an unfavorable outcome.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June 13, 2023, L &amp; W LLC (“Autokiniton”), a provider of tooling for use in the automotive industry, filed an action in State of Michigan 3rd Judicial Circuit County of Wayne Court alleging the Company breached its contract with Autokiniton and refused to fulfill its obligations under the applicable Purchase Order. Autokiniton requested a judgment in the amount of at least </w:t>
      </w:r>
      <w:r>
        <w:rPr>
          <w:rFonts w:ascii="Times New Roman;sans-serif" w:hAnsi="Times New Roman;sans-serif"/>
          <w:b w:val="false"/>
          <w:color w:val="000000"/>
          <w:sz w:val="20"/>
        </w:rPr>
        <w:t>$8.1 million</w:t>
      </w:r>
      <w:r>
        <w:rPr>
          <w:rFonts w:ascii="Times New Roman;sans-serif" w:hAnsi="Times New Roman;sans-serif"/>
          <w:b w:val="false"/>
          <w:color w:val="000000"/>
          <w:sz w:val="20"/>
          <w:shd w:fill="FFFFFF" w:val="clear"/>
        </w:rPr>
        <w:t xml:space="preserve">. In discovery, the Company conceded that </w:t>
      </w:r>
      <w:r>
        <w:rPr>
          <w:rFonts w:ascii="Times New Roman;sans-serif" w:hAnsi="Times New Roman;sans-serif"/>
          <w:b w:val="false"/>
          <w:color w:val="000000"/>
          <w:sz w:val="20"/>
        </w:rPr>
        <w:t>$4.6 million</w:t>
      </w:r>
      <w:r>
        <w:rPr>
          <w:color w:val="000000"/>
          <w:shd w:fill="FFFFFF" w:val="clear"/>
        </w:rPr>
        <w:t xml:space="preserve"> </w:t>
      </w:r>
      <w:r>
        <w:rPr>
          <w:rFonts w:ascii="Times New Roman;sans-serif" w:hAnsi="Times New Roman;sans-serif"/>
          <w:b w:val="false"/>
          <w:color w:val="000000"/>
          <w:sz w:val="20"/>
          <w:shd w:fill="FFFFFF" w:val="clear"/>
        </w:rPr>
        <w:t xml:space="preserve">was due and owing under the Purchase Order. In July 2024, the parties subsequently filed a stipulated order and judgment totaling </w:t>
      </w:r>
      <w:r>
        <w:rPr>
          <w:rFonts w:ascii="Times New Roman;sans-serif" w:hAnsi="Times New Roman;sans-serif"/>
          <w:b w:val="false"/>
          <w:color w:val="000000"/>
          <w:sz w:val="20"/>
        </w:rPr>
        <w:t>$8.1 million</w:t>
      </w:r>
      <w:r>
        <w:rPr>
          <w:rFonts w:ascii="Times New Roman;sans-serif" w:hAnsi="Times New Roman;sans-serif"/>
          <w:b w:val="false"/>
          <w:color w:val="000000"/>
          <w:sz w:val="20"/>
          <w:shd w:fill="FFFFFF" w:val="clear"/>
        </w:rPr>
        <w:t xml:space="preserve">, plus statutory interest, which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entered by the court. The parties are engaged in discussions regarding this matter. In December 2024, the parties reached an agreement to settle their dispute for </w:t>
      </w:r>
      <w:r>
        <w:rPr>
          <w:rFonts w:ascii="Times New Roman;sans-serif" w:hAnsi="Times New Roman;sans-serif"/>
          <w:b w:val="false"/>
          <w:color w:val="000000"/>
          <w:sz w:val="20"/>
        </w:rPr>
        <w:t>$3.7 million</w:t>
      </w:r>
      <w:r>
        <w:rPr>
          <w:rFonts w:ascii="Times New Roman;sans-serif" w:hAnsi="Times New Roman;sans-serif"/>
          <w:b w:val="false"/>
          <w:color w:val="000000"/>
          <w:sz w:val="20"/>
          <w:shd w:fill="FFFFFF" w:val="clear"/>
        </w:rPr>
        <w:t xml:space="preserve">.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October 11, 2023, Joseph Hof and Scott McPherson filed a class action lawsuit in Supreme Court of the State of New York, County of New York against Benchmark 237 LLC, Benchmark Real Estate Trust, SLLC, Canvas Investment Partners, LLC, Canvas Property Group, LLC, Juliet Technologies, LLC, and the Company, alleging that the defendants engaged in various scheming practices that discriminatorily impacted the plaintiffs and other class members The court granted the Company’s Motion to Dismiss on January 12, 2024, and dismissed the case on January 18, 2024. The plaintiffs filed an appeal on February 12, 2024 as to the dismissal orders, which appeal subsequently was dismissed due to the plaintiffs’ failure to timely file their appellate briefs. Although Plaintiffs have a year to file a motion to vacate the dismissal based upon a showing good cause, Plaintiff Hof recently filed a motion to seal the record and expressed the Plaintiffs’ desire to cease litigating the matter further.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December 8, 2023, 10701 Idaho Owner, LLC (“Landlord”) notified the Company of rental defaults amounting to </w:t>
      </w:r>
      <w:r>
        <w:rPr>
          <w:rFonts w:ascii="Times New Roman;sans-serif" w:hAnsi="Times New Roman;sans-serif"/>
          <w:b w:val="false"/>
          <w:color w:val="000000"/>
          <w:sz w:val="20"/>
        </w:rPr>
        <w:t>$0.6 million</w:t>
      </w:r>
      <w:r>
        <w:rPr>
          <w:color w:val="000000"/>
          <w:shd w:fill="FFFFFF" w:val="clear"/>
        </w:rPr>
        <w:t xml:space="preserve"> </w:t>
      </w:r>
      <w:r>
        <w:rPr>
          <w:rFonts w:ascii="Times New Roman;sans-serif" w:hAnsi="Times New Roman;sans-serif"/>
          <w:b w:val="false"/>
          <w:color w:val="000000"/>
          <w:sz w:val="20"/>
          <w:shd w:fill="FFFFFF" w:val="clear"/>
        </w:rPr>
        <w:t xml:space="preserve">for the months of October to December 2023 and demanded a </w:t>
      </w:r>
      <w:r>
        <w:rPr>
          <w:rFonts w:ascii="Times New Roman;sans-serif" w:hAnsi="Times New Roman;sans-serif"/>
          <w:b w:val="false"/>
          <w:color w:val="000000"/>
          <w:sz w:val="20"/>
        </w:rPr>
        <w:t>5%</w:t>
      </w:r>
      <w:r>
        <w:rPr>
          <w:color w:val="000000"/>
          <w:shd w:fill="FFFFFF" w:val="clear"/>
        </w:rPr>
        <w:t xml:space="preserve"> </w:t>
      </w:r>
      <w:r>
        <w:rPr>
          <w:rFonts w:ascii="Times New Roman;sans-serif" w:hAnsi="Times New Roman;sans-serif"/>
          <w:b w:val="false"/>
          <w:color w:val="000000"/>
          <w:sz w:val="20"/>
          <w:shd w:fill="FFFFFF" w:val="clear"/>
        </w:rPr>
        <w:t xml:space="preserve">late fee and </w:t>
      </w:r>
      <w:r>
        <w:rPr>
          <w:rFonts w:ascii="Times New Roman;sans-serif" w:hAnsi="Times New Roman;sans-serif"/>
          <w:b w:val="false"/>
          <w:color w:val="000000"/>
          <w:sz w:val="20"/>
        </w:rPr>
        <w:t>18%</w:t>
      </w:r>
      <w:r>
        <w:rPr>
          <w:color w:val="000000"/>
          <w:shd w:fill="FFFFFF" w:val="clear"/>
        </w:rPr>
        <w:t xml:space="preserve"> </w:t>
      </w:r>
      <w:r>
        <w:rPr>
          <w:rFonts w:ascii="Times New Roman;sans-serif" w:hAnsi="Times New Roman;sans-serif"/>
          <w:b w:val="false"/>
          <w:color w:val="000000"/>
          <w:sz w:val="20"/>
          <w:shd w:fill="FFFFFF" w:val="clear"/>
        </w:rPr>
        <w:t xml:space="preserve">annual interest on allegedly overdue amounts. The parties thereafter entered into a First Amendment to the Lease Agreement dated October 19, 2023 to address the Company’s total rent default of </w:t>
      </w:r>
      <w:r>
        <w:rPr>
          <w:rFonts w:ascii="Times New Roman;sans-serif" w:hAnsi="Times New Roman;sans-serif"/>
          <w:b w:val="false"/>
          <w:color w:val="000000"/>
          <w:sz w:val="20"/>
        </w:rPr>
        <w:t>$1.1 million</w:t>
      </w:r>
      <w:r>
        <w:rPr>
          <w:rFonts w:ascii="Times New Roman;sans-serif" w:hAnsi="Times New Roman;sans-serif"/>
          <w:b w:val="false"/>
          <w:color w:val="000000"/>
          <w:sz w:val="20"/>
          <w:shd w:fill="FFFFFF" w:val="clear"/>
        </w:rPr>
        <w:t xml:space="preserve">, including a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partial payment made on January 26, 2024, and additional late fees and charges of </w:t>
      </w:r>
      <w:r>
        <w:rPr>
          <w:rFonts w:ascii="Times New Roman;sans-serif" w:hAnsi="Times New Roman;sans-serif"/>
          <w:b w:val="false"/>
          <w:color w:val="000000"/>
          <w:sz w:val="20"/>
        </w:rPr>
        <w:t>$0.2 million</w:t>
      </w:r>
      <w:r>
        <w:rPr>
          <w:rFonts w:ascii="Times New Roman;sans-serif" w:hAnsi="Times New Roman;sans-serif"/>
          <w:b w:val="false"/>
          <w:color w:val="000000"/>
          <w:sz w:val="20"/>
          <w:shd w:fill="FFFFFF" w:val="clear"/>
        </w:rPr>
        <w:t xml:space="preserve">. The amendment established a repayment plan requiring the Company to pay </w:t>
      </w:r>
      <w:r>
        <w:rPr>
          <w:rFonts w:ascii="Times New Roman;sans-serif" w:hAnsi="Times New Roman;sans-serif"/>
          <w:b w:val="false"/>
          <w:color w:val="000000"/>
          <w:sz w:val="20"/>
        </w:rPr>
        <w:t xml:space="preserve">$1.2 million </w:t>
      </w:r>
      <w:r>
        <w:rPr>
          <w:rFonts w:ascii="Times New Roman;sans-serif" w:hAnsi="Times New Roman;sans-serif"/>
          <w:b w:val="false"/>
          <w:color w:val="000000"/>
          <w:sz w:val="20"/>
          <w:shd w:fill="FFFFFF" w:val="clear"/>
        </w:rPr>
        <w:t xml:space="preserve">from February 26 to March 31, 2024, and to either replenish or provide a new </w:t>
      </w:r>
      <w:r>
        <w:rPr>
          <w:rFonts w:ascii="Times New Roman;sans-serif" w:hAnsi="Times New Roman;sans-serif"/>
          <w:b w:val="false"/>
          <w:color w:val="000000"/>
          <w:sz w:val="20"/>
        </w:rPr>
        <w:t>$0.6 million</w:t>
      </w:r>
      <w:r>
        <w:rPr>
          <w:color w:val="000000"/>
          <w:shd w:fill="FFFFFF" w:val="clear"/>
        </w:rPr>
        <w:t xml:space="preserve"> </w:t>
      </w:r>
      <w:r>
        <w:rPr>
          <w:rFonts w:ascii="Times New Roman;sans-serif" w:hAnsi="Times New Roman;sans-serif"/>
          <w:b w:val="false"/>
          <w:color w:val="000000"/>
          <w:sz w:val="20"/>
          <w:shd w:fill="FFFFFF" w:val="clear"/>
        </w:rPr>
        <w:t xml:space="preserve">Letter of Credit. On March 26, 2024, the Landlord served the Company with a Notice to Pay or Quit, demanding payment of </w:t>
      </w:r>
      <w:r>
        <w:rPr>
          <w:rFonts w:ascii="Times New Roman;sans-serif" w:hAnsi="Times New Roman;sans-serif"/>
          <w:b w:val="false"/>
          <w:color w:val="000000"/>
          <w:sz w:val="20"/>
        </w:rPr>
        <w:t>$1.0 million</w:t>
      </w:r>
      <w:r>
        <w:rPr>
          <w:color w:val="000000"/>
          <w:shd w:fill="FFFFFF" w:val="clear"/>
        </w:rPr>
        <w:t xml:space="preserve"> </w:t>
      </w:r>
      <w:r>
        <w:rPr>
          <w:rFonts w:ascii="Times New Roman;sans-serif" w:hAnsi="Times New Roman;sans-serif"/>
          <w:b w:val="false"/>
          <w:color w:val="000000"/>
          <w:sz w:val="20"/>
          <w:shd w:fill="FFFFFF" w:val="clear"/>
        </w:rPr>
        <w:t xml:space="preserve">within five business days. On April 10, 2024, the Company made a </w:t>
      </w:r>
      <w:r>
        <w:rPr>
          <w:rFonts w:ascii="Times New Roman;sans-serif" w:hAnsi="Times New Roman;sans-serif"/>
          <w:b w:val="false"/>
          <w:color w:val="000000"/>
          <w:sz w:val="20"/>
        </w:rPr>
        <w:t>$0.2 million</w:t>
      </w:r>
      <w:r>
        <w:rPr>
          <w:color w:val="000000"/>
          <w:shd w:fill="FFFFFF" w:val="clear"/>
        </w:rPr>
        <w:t xml:space="preserve"> </w:t>
      </w:r>
      <w:r>
        <w:rPr>
          <w:rFonts w:ascii="Times New Roman;sans-serif" w:hAnsi="Times New Roman;sans-serif"/>
          <w:b w:val="false"/>
          <w:color w:val="000000"/>
          <w:sz w:val="20"/>
          <w:shd w:fill="FFFFFF" w:val="clear"/>
        </w:rPr>
        <w:t xml:space="preserve">payment to Landlord in exchange for Landlord deferring further action.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February 14, 2024, Rexford Industrial - 18455 Figueroa, LLC (“Rexford”) filed a Complaint for Unlawful Detainer against Faraday SPE, LLC in the Superior Court of California, County of Los Angeles. The complaint asserted that the Company has failed to pay outstanding rent in the amount of </w:t>
      </w:r>
      <w:r>
        <w:rPr>
          <w:rFonts w:ascii="Times New Roman;sans-serif" w:hAnsi="Times New Roman;sans-serif"/>
          <w:b w:val="false"/>
          <w:color w:val="000000"/>
          <w:sz w:val="20"/>
        </w:rPr>
        <w:t>$0.9 million</w:t>
      </w:r>
      <w:r>
        <w:rPr>
          <w:rFonts w:ascii="Times New Roman;sans-serif" w:hAnsi="Times New Roman;sans-serif"/>
          <w:b w:val="false"/>
          <w:color w:val="000000"/>
          <w:sz w:val="20"/>
          <w:shd w:fill="FFFFFF" w:val="clear"/>
        </w:rPr>
        <w:t xml:space="preserve">, and sought recovery of reasonable attorney’s fees and damages. This action is based on a breach of a Lease Agreement dated March 8, 2019, for the premises located at 18455 S. Figueroa Street, Gardena, California, and wherein Rexford is requesting forfeiture of the lease. On April 10, 2024, the court issued a Notice of Dismissal, dismissing the Complaint without prejudice.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In February 2024, the Company initiated a lawsuit against Draexlmaier Automotive Technologies of America LLC (“Draexlmaier”) for breach of contract, seeking </w:t>
      </w:r>
      <w:r>
        <w:rPr>
          <w:rFonts w:ascii="Times New Roman;sans-serif" w:hAnsi="Times New Roman;sans-serif"/>
          <w:b w:val="false"/>
          <w:color w:val="000000"/>
          <w:sz w:val="20"/>
        </w:rPr>
        <w:t>$3.2 million</w:t>
      </w:r>
      <w:r>
        <w:rPr>
          <w:color w:val="000000"/>
          <w:shd w:fill="FFFFFF" w:val="clear"/>
        </w:rPr>
        <w:t xml:space="preserve"> </w:t>
      </w:r>
      <w:r>
        <w:rPr>
          <w:rFonts w:ascii="Times New Roman;sans-serif" w:hAnsi="Times New Roman;sans-serif"/>
          <w:b w:val="false"/>
          <w:color w:val="000000"/>
          <w:sz w:val="20"/>
          <w:shd w:fill="FFFFFF" w:val="clear"/>
        </w:rPr>
        <w:t xml:space="preserve">in damages plus legal costs incurred. The dispute involves two Purchase Orders placed by the Company with Draexlmaier in September 2021 for the development and tooling of FF 91 vehicle consoles. The parties’ agreement included a clause allowing Faraday to terminate the Purchase Orders at any time, with the understanding that Draexlmaier would promptly refund any advanced payments for undelivered items or unperformed work. Faraday met its financial obligations under the agreement and in March 2022, terminated the agreement prior to the start of tooling fabrication and requested a refund of </w:t>
      </w:r>
      <w:r>
        <w:rPr>
          <w:rFonts w:ascii="Times New Roman;sans-serif" w:hAnsi="Times New Roman;sans-serif"/>
          <w:b w:val="false"/>
          <w:color w:val="000000"/>
          <w:sz w:val="20"/>
        </w:rPr>
        <w:t>$3.2 million</w:t>
      </w:r>
      <w:r>
        <w:rPr>
          <w:color w:val="000000"/>
          <w:shd w:fill="FFFFFF" w:val="clear"/>
        </w:rPr>
        <w:t xml:space="preserve"> </w:t>
      </w:r>
      <w:r>
        <w:rPr>
          <w:rFonts w:ascii="Times New Roman;sans-serif" w:hAnsi="Times New Roman;sans-serif"/>
          <w:b w:val="false"/>
          <w:color w:val="000000"/>
          <w:sz w:val="20"/>
          <w:shd w:fill="FFFFFF" w:val="clear"/>
        </w:rPr>
        <w:t xml:space="preserve">for the undelivered work, which Draexlmaier refund failed to remit. Faraday thereafter issued a final demand for this refund in August 2023, and subsequently initiated its lawsuit against Draexlmaier. In May 2024, Draexlmaier filed an Answer and Counterclaim alleging fraudulent inducement, breach of contract, violations of South Carolina’s Unfair Trade Practices Act, and unjust enrichment, and seeking </w:t>
      </w:r>
      <w:r>
        <w:rPr>
          <w:rFonts w:ascii="Times New Roman;sans-serif" w:hAnsi="Times New Roman;sans-serif"/>
          <w:b w:val="false"/>
          <w:color w:val="000000"/>
          <w:sz w:val="20"/>
        </w:rPr>
        <w:t>$5.0 million</w:t>
      </w:r>
      <w:r>
        <w:rPr>
          <w:color w:val="000000"/>
          <w:shd w:fill="FFFFFF" w:val="clear"/>
        </w:rPr>
        <w:t xml:space="preserve"> </w:t>
      </w:r>
      <w:r>
        <w:rPr>
          <w:rFonts w:ascii="Times New Roman;sans-serif" w:hAnsi="Times New Roman;sans-serif"/>
          <w:b w:val="false"/>
          <w:color w:val="000000"/>
          <w:sz w:val="20"/>
          <w:shd w:fill="FFFFFF" w:val="clear"/>
        </w:rPr>
        <w:t xml:space="preserve">in damages for breach of contract, as well as unspecified actual, consequential, punitive, and treble damages, and attorneys’ fees and costs. The Company disputes Draexlmaier’s claims and has stated its intention to vigorously defend the action. Given the early stages of these legal proceedings, the Company is unable to evaluate the likelihood of an unfavorable outcome and/or the amount or range of potential loss.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March 25, 2024, Cooper Standard GmbH filed a lawsuit against Faraday&amp;Future Inc. in Superior Court of California, County of Los Angeles, alleging the non-payment of the estimated sum of </w:t>
      </w:r>
      <w:r>
        <w:rPr>
          <w:rFonts w:ascii="Times New Roman;sans-serif" w:hAnsi="Times New Roman;sans-serif"/>
          <w:b w:val="false"/>
          <w:color w:val="000000"/>
          <w:sz w:val="20"/>
        </w:rPr>
        <w:t>$1.5 million</w:t>
      </w:r>
      <w:r>
        <w:rPr>
          <w:color w:val="000000"/>
          <w:shd w:fill="FFFFFF" w:val="clear"/>
        </w:rPr>
        <w:t xml:space="preserve"> </w:t>
      </w:r>
      <w:r>
        <w:rPr>
          <w:rFonts w:ascii="Times New Roman;sans-serif" w:hAnsi="Times New Roman;sans-serif"/>
          <w:b w:val="false"/>
          <w:color w:val="000000"/>
          <w:sz w:val="20"/>
          <w:shd w:fill="FFFFFF" w:val="clear"/>
        </w:rPr>
        <w:t xml:space="preserve">that was purportedly in breach of contractual obligations set forth in purchase orders, a Letter of Tool Acceptance, and invoices to facilitate the supply of automotive products and services for the FF 91 vehicle from August 2021 to December 2022. The parties have tentatively reached a settlement and are in the process of memorializing their agreement.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March 27 and March 29, 2024, Jose Guerrero and Victoria Xie, the Company’s former Senior Director of Sales and Aftersales, and Go-to-Market Project Manager and Launch Manager, respectively, filed wrongful termination lawsuits against Faraday&amp;Future Inc. and certain of its officers in Superior Court of California, County of Los Angeles, each of which seeks compensatory, general, and special damages in an amount not less than </w:t>
      </w:r>
      <w:r>
        <w:rPr>
          <w:rFonts w:ascii="Times New Roman;sans-serif" w:hAnsi="Times New Roman;sans-serif"/>
          <w:b w:val="false"/>
          <w:color w:val="000000"/>
          <w:sz w:val="20"/>
        </w:rPr>
        <w:t>$1.0 million</w:t>
      </w:r>
      <w:r>
        <w:rPr>
          <w:rFonts w:ascii="Times New Roman;sans-serif" w:hAnsi="Times New Roman;sans-serif"/>
          <w:b w:val="false"/>
          <w:color w:val="000000"/>
          <w:sz w:val="20"/>
          <w:shd w:fill="FFFFFF" w:val="clear"/>
        </w:rPr>
        <w:t xml:space="preserve">. On April 19, 2024, another former employee, Karimul Khan, submitted a request for arbitration against the same group of defendants without quantifying the alleged damages sought. Given the early stages of these legal proceedings, the Company is unable to evaluate the likelihood of an unfavorable outcome and/or the amount or range of potential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9, 2024, Jeffrey D. Prol, as trustee of the Founding Future Creditors Trust, filed a lawsuit against the Company seeking to compel the production of certain books and records for inspection and requesting attorney’s fees and costs. The plaintiff is demanding inspection to allegedly value his shares of the Company. In March 2025, plaintiff agreed to dismiss the lawsuit without prejudice and a stipulation to dismiss was filed and granted.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On August 1, 2024, Yun Han, former Chief Accounting Officer and Interim Chief Financial Officer, filed an arbitration demand claiming that she is owed certain monetary amounts and restricted stock units, pursuant to various agreements with the Company and collectively, totaling approximately </w:t>
      </w:r>
      <w:r>
        <w:rPr>
          <w:rFonts w:ascii="Times New Roman;sans-serif" w:hAnsi="Times New Roman;sans-serif"/>
          <w:b w:val="false"/>
          <w:color w:val="000000"/>
          <w:sz w:val="20"/>
        </w:rPr>
        <w:t>$1.2 million</w:t>
      </w:r>
      <w:r>
        <w:rPr>
          <w:rFonts w:ascii="Times New Roman;sans-serif" w:hAnsi="Times New Roman;sans-serif"/>
          <w:b w:val="false"/>
          <w:color w:val="000000"/>
          <w:sz w:val="20"/>
          <w:shd w:fill="FFFFFF" w:val="clear"/>
        </w:rPr>
        <w:t xml:space="preserve">.  Given the early stages of the proceedings, the Company is unable to evaluate the likelihood of an unfavorable outcome and/or the amount or range of potential loss.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In March 2025, BXP filed a lawsuit against the Company, alleging unpaid rent and a balance of approximately $1.0 million under a lease agreement signed with the Company.</w:t>
      </w:r>
      <w:r>
        <w:rPr>
          <w:color w:val="000000"/>
        </w:rPr>
        <w:t xml:space="preserve"> </w:t>
      </w:r>
      <w:r>
        <w:rPr>
          <w:rFonts w:ascii="Times New Roman;sans-serif" w:hAnsi="Times New Roman;sans-serif"/>
          <w:b w:val="false"/>
          <w:color w:val="000000"/>
          <w:sz w:val="20"/>
          <w:shd w:fill="FFFFFF" w:val="clear"/>
        </w:rPr>
        <w:t>The parties agreed to settle their dispute for $0.35 million.</w:t>
      </w:r>
    </w:p>
    <w:p>
      <w:pPr>
        <w:pStyle w:val="TextBody"/>
        <w:bidi w:val="0"/>
        <w:spacing w:lineRule="auto" w:line="288" w:before="1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Dispute with Noteholders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August 2023 and September 2023, the Company received correspondence from each of Senyun, MHL and V W Investment alleging that the Company had entered into oral agreements to compensate those investors for any losses in connection with converting their notes into shares of the Company in order to support the Company’s proposals at the August 2023 special stockholders meeting. The Company is unaware of any such oral agreements and is contesting these claims on multiple grounds.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Other than disclosed herein, as of the date hereof the Company is not a party to any legal proceedings the outcome of which, if determined adversely to the Company, would individually or in the aggregate be reasonably expected to have a material adverse effect on the Company’s business, financial condition, or results of operations. </w:t>
      </w:r>
    </w:p>
    <w:p>
      <w:pPr>
        <w:pStyle w:val="TextBody"/>
        <w:bidi w:val="0"/>
        <w:spacing w:lineRule="auto" w:line="288" w:before="1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Special Committee Investigation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the Company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the Company announced that the Special Committee completed its review. On April 14, 2022, the Company announced the completion of additional investigative work based on the Special Committee’s findings which was performed under the direction of the Executive Chairperson, reporting to the Audit Committee. In connection with the Special Committee’s review and subsequent investigative work, the following findings were made: </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In connection with the Business Combination, statements made by certain Company employees to certain investors describing the role of Mr. Yueting Jia, within the Company were inaccurate and his involvement in the management of the Company post-Business Combination was more significant than what had been represented to certain investors.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Consistent with the Company’s previous public disclosures regarding identified material weaknesses in its internal control over financial reporting, the Company’s internal control over financial reporting required an upgrade in personnel and systems.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Company’s corporate culture failed to sufficiently prioritize compliance.</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Mr. Jia’s role as an intermediary in leasing certain properties which were subsequently leased to the Company was not disclosed in the Company’s corporate housing disclosures.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In preparing the Company’s related party transaction disclosures, the Company failed to investigate and identify the sources of loans received from individuals and entities associated with Company employees.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the investigation found that certain individuals failed to fully disclose to individuals involved in the preparation of the Company’s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the Company’s former independent registered public accounting firm PricewaterhouseCoopers LLP.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investigation also found that certain individuals failed to cooperate and withheld potentially relevant information in connection with the Special Committee investigation. Among such individuals were non-executive officers or members of the management team of the Company, and remedial action was taken with respect to such individuals based on the extent of their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Based on the results of the investigation, the Special Committee concluded that, except as described above, the other substantive allegations of inaccurate Company disclosures that it evaluated, were not supported by the evidence reviewed. Although the investigation did not change any of the above findings with respect to the substantive allegations of inaccurate Company disclosures, the investigation did confirm the need for remedial actions to help ensure enhanced focus on compliance and disclosure within the Company.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Based on the results of the Special Committee investigation and subsequent investigative work described above, the Board approved the following remedial actions designed to enhance oversight and corporate governance of the Company: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the appointment of Susan Swenson, a former member of the Board, to the then newly created position of Executive Chairperson of the Company.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Dr. Carsten Breitfeld, the Company’s former Global CEO, reporting directly to Ms. Swenson and receiving a 25% annual base salary reduction;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removal of Mr. Jia as an executive officer, who would continue in his position as Chief Product &amp; User Ecosystem Officer of the Company. Certain dual-reporting arrangements were eliminated with respect to Mr. Jia, who also was required to report directly to Ms. Swenson, a non-independent director nominated by FF Top. Please see “Risk Factors–</w:t>
      </w:r>
      <w:r>
        <w:rPr>
          <w:rFonts w:ascii="Times New Roman;sans-serif" w:hAnsi="Times New Roman;sans-serif"/>
          <w:b w:val="false"/>
          <w:i/>
          <w:color w:val="000000"/>
          <w:sz w:val="20"/>
          <w:shd w:fill="FFFFFF" w:val="clear"/>
        </w:rPr>
        <w:t>Risks Related to our Business and Industry–Yueting Jia and FF Global, over which Mr. Jia exercises significant influence, have control over our management, business and operations, and may use this control in ways that are not aligned with our business or financial objectives or strategies or that are otherwise inconsistent with our interests.</w:t>
      </w:r>
      <w:r>
        <w:rPr>
          <w:color w:val="000000"/>
          <w:shd w:fill="FFFFFF" w:val="clear"/>
        </w:rPr>
        <w:t xml:space="preserve">” </w:t>
      </w:r>
      <w:r>
        <w:rPr>
          <w:rFonts w:ascii="Times New Roman;sans-serif" w:hAnsi="Times New Roman;sans-serif"/>
          <w:b w:val="false"/>
          <w:color w:val="000000"/>
          <w:sz w:val="20"/>
          <w:shd w:fill="FFFFFF" w:val="clear"/>
        </w:rPr>
        <w:t>Mr. Jia also received a 25% annual base salary reduction, and his role was limited from a policy-making position to focusing on (a) Product and Mobility Ecosystem and (b) Internet, Artificial Intelligence, and Advanced R&amp;D technology. On February 26, 2023, after an assessment by the Board of the Company’s management structure, the Board approved Mr. Yueting Jia (alongside Mr. Xuefeng Chen) reporting directly to the Board, as well as FF’s product, mobility ecosystem, I.A.I., and advanced R&amp;D technology departments reporting directly to Mr. Jia. The Board also approved the Company’s user ecosystem, capital markets, human resources and administration, corporate strategy and China departments reporting to both Mr. Jia and Mr. Xuefeng in accordance with processes and controls to be determined by the Board after consultation with the Company’s management. Based on the changes to his responsibilities within the Company, the Board determined that Mr. Jia is an “officer” of the Company within the meaning of Section 16 of the Exchange Act and an “executive officer” of the Company under Rule 3b-7 under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On April 25 2025, the Company announced the appointment of Mr. Yueting Jia as Global Co-Chief Executive Officer ("Global Co-CEO"), jointly leading the Company alongside Matthias Aydt, with a focus on advancing user ecosystem development, supply chain management, EV R&amp;D, finance, legal, and China and Middle East operations;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Matthias Aydt, then Senior Vice President, Business Development and Product Definition and a director of the Company, and currently Global Co-CEO and a director of the Company, being placed on probation as an executive officer for a six-month period, during which period he remained a non-independent member of the Board, and which probationary period has since ended;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the suspension without pay of Jiawei (“Jerry”) Wang, the Company’s former Vice President, Global Capital Markets, who subsequently notified the Board of his decision to resign from the Company on April 10, 2022, but remained with the Company as a consultant and was subsequently appointed President of the Company on March 24, 2025;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the assessment and enhancement of Company’s policies and procedures regarding financial accounting and reporting and the upgrading of the Company’s internal control over financial accounting and reporting, including by hiring additional financial reporting and accounting support, in each case at the direction of the Audit Committee;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the implementation of enhanced controls around the Company’s contracting and related party transactions, including regular attestations by the Company’s employees with authority to bind the Company to contracts and related party transactions, for purposes of enabling the Company to make complete and accurate disclosures regarding related party transactions;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the hiring of a Compliance Officer with the title of Deputy General Counsel (hired in March 2023), to report on a dotted line to the Chair of the Audit committee, and a Director of Risks and Internal Controls; and assessing and enhancing FF’s compliance policies and procedures;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the implementation of a comprehensive training program for all directors and officers regarding, among other things, internal Company policies;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the separation of Jarret Johnson, FF’s Vice President, General Counsel and Secretary; and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certain other disciplinary actions and terminations of employment with respect to other Company employees (none of whom is an executive officer).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As of March 3, 2025, the Company 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Please see “</w:t>
      </w:r>
      <w:r>
        <w:rPr>
          <w:rFonts w:ascii="Times New Roman;sans-serif" w:hAnsi="Times New Roman;sans-serif"/>
          <w:b w:val="false"/>
          <w:i/>
          <w:color w:val="000000"/>
          <w:sz w:val="20"/>
          <w:shd w:fill="FFFFFF" w:val="clear"/>
        </w:rPr>
        <w:t>Risk Factors – Risks Related to our Business and Industry – We have taken remedial measures in response to the Special Committee findings, which may be unsuccessful</w:t>
      </w:r>
      <w:r>
        <w:rPr>
          <w:color w:val="000000"/>
          <w:shd w:fill="FFFFFF" w:val="clear"/>
        </w:rPr>
        <w:t xml:space="preserve">” </w:t>
      </w:r>
      <w:r>
        <w:rPr>
          <w:rFonts w:ascii="Times New Roman;sans-serif" w:hAnsi="Times New Roman;sans-serif"/>
          <w:b w:val="false"/>
          <w:color w:val="000000"/>
          <w:sz w:val="20"/>
          <w:shd w:fill="FFFFFF" w:val="clear"/>
        </w:rPr>
        <w:t xml:space="preserve">included in the Form 10-K. There can be no assurance that such remedial measures will be successful. In addition, there can be no assurance that such remedial measures will be fully implemented in light of the recent corporate governance agreements with FF Top and FF Global and the recent assessment by the Board of FF’s management structure, including management roles, responsibilities and reporting lines and changes to the Board.” However, pursuant to the Heads of Agreement, the Company has implemented certain governance changes that impact 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On October 28, 2022, Mr. Brian Krolicki tendered his resignation from the Board effective immediately. 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immediately. Mr. Ye remained a consultant of the Company as an independent contractor until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November 18, 2023. On January 25, 2023, Mr. Chui Tin Mok was appointed to the Board, effective immediately, following the resignation of Mr. Ye. Each of Ms. Ke Sun and Mr. Xuefeng Chen have subsequently resigned from the Board.</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Subsequent to the Company announcing the completion of the Special Committee investigation on February 1, 2022, certain members of the management team and employees of the Company received a notice of preservation and subpoena from the staff of the SEC stating that the SEC had commenced a formal investigation relating to the matters that were the subject of the Special Committee investigation. The Company, which had previously voluntarily contacted the SEC in connection with the Special Committee investigation in October 2021, is cooperating fully with the SEC’s investigation. The outcome of such an investigation is difficult to predict. The Company has incurred, and may continue to incur, significant expenses related to legal and other professional services in connection with the SEC investigation. At this stage, the Company is unable to assess whether any material loss or adverse effect is reasonably possible as a result of the SEC’s investigation or to estimate the range of any potential loss. In addition, in June 2022, the Company received a preliminary request for information from the DOJ in connection with the matters that were the subject of the Special Committee investigation. The Company has responded to that request and intends to fully cooperate with any future requests from the DOJ.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12.Stockholders’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authorized, issued and outstanding stock, were as follows:</w:t>
      </w:r>
    </w:p>
    <w:tbl>
      <w:tblPr>
        <w:tblW w:w="5580" w:type="dxa"/>
        <w:jc w:val="left"/>
        <w:tblInd w:w="0" w:type="dxa"/>
        <w:tblLayout w:type="fixed"/>
        <w:tblCellMar>
          <w:top w:w="28" w:type="dxa"/>
          <w:left w:w="28" w:type="dxa"/>
          <w:bottom w:w="28" w:type="dxa"/>
          <w:right w:w="28" w:type="dxa"/>
        </w:tblCellMar>
      </w:tblPr>
      <w:tblGrid>
        <w:gridCol w:w="737"/>
        <w:gridCol w:w="650"/>
        <w:gridCol w:w="653"/>
        <w:gridCol w:w="592"/>
        <w:gridCol w:w="594"/>
        <w:gridCol w:w="341"/>
        <w:gridCol w:w="141"/>
        <w:gridCol w:w="141"/>
        <w:gridCol w:w="141"/>
        <w:gridCol w:w="553"/>
        <w:gridCol w:w="528"/>
        <w:gridCol w:w="509"/>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Authorized </w:t>
              <w:br/>
              <w:t>Shares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Issued Shares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124,815,625 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86,786,748 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4,429,688 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139,245,313 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86,793,415 </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38" w:type="dxa"/>
        <w:jc w:val="left"/>
        <w:tblInd w:w="0" w:type="dxa"/>
        <w:tblLayout w:type="fixed"/>
        <w:tblCellMar>
          <w:top w:w="28" w:type="dxa"/>
          <w:left w:w="28" w:type="dxa"/>
          <w:bottom w:w="28" w:type="dxa"/>
          <w:right w:w="28" w:type="dxa"/>
        </w:tblCellMar>
      </w:tblPr>
      <w:tblGrid>
        <w:gridCol w:w="737"/>
        <w:gridCol w:w="650"/>
        <w:gridCol w:w="653"/>
        <w:gridCol w:w="592"/>
        <w:gridCol w:w="594"/>
        <w:gridCol w:w="341"/>
        <w:gridCol w:w="171"/>
        <w:gridCol w:w="171"/>
        <w:gridCol w:w="171"/>
        <w:gridCol w:w="540"/>
        <w:gridCol w:w="541"/>
        <w:gridCol w:w="396"/>
        <w:gridCol w:w="109"/>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481" w:type="dxa"/>
            <w:gridSpan w:val="4"/>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Authorized </w:t>
              <w:br/>
              <w:t>Shares</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Issued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99,815,625 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65,919,127 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4,429,688 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114,245,313 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65,925,795 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Amendments to the Company’s Certificate of Incorporation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Closing Date of the Business Combination, the Company’s shareholders adopted the Company’s Second Amended and Restated Certificate of Incorporation. The amendment set forth the rights, privileges, and preferences of the Common Stock. The amendment authorizes the issuance of 10,000,000 shares of Preferred Stock with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Increase in Authorized Shares and Reverse Stock Split (February 2024)</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5, 2024, the Company filed an amendment to the Company’s Third Amended and Restated Certificate of Incorporation, as amended, with the office of the Secretary of the State of Delaware to effect an increase in the authorized shares of Common Stock from 3,860,938 to 34,748,438.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a special meeting of the Company’s stockholders held on February 5, 2024, the Company’s stockholders approved an amendment to the Company’s Third Amended and Restated Certificate of Incorporation, as amended, to effect a reverse stock split of the Common Stock by a ratio of 1-for-3 (the “Second Reverse Stock Split”), with such action to be effected at such time and date, if at all, as determined by the Board within one year after the conclusion of the Special Meeting and a corresponding reduction in the total number of shares of Common Stock the Company is authorized to issue. On February 23, 2024, the Company filed a second amendment to the Company’s Third Amended and Restated Certificate of Incorporation with the Secretary of State of the State of Delaware to effect this reverse stock split and to set the number of authorized shares of Common Stock to 11,582,813 (which is 34,748,438 divided by 3). Pursuant to the Certificate of Amendment, effective on February 29, 2024, every three shares of the issued and outstanding Common Stock was automatically converted into one share of Common Stock, without any change in par value per share and the number of authorized shares of Common Stock was reduced to 11,582,813. No fractional shares of Common Stock were issued as a result of the Second Reverse Stock Split. Stockholders who would otherwise have received a fractional share were instead issued a full share in lieu of such fractional share.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Increase in Authorized Shares, Reverse Stock Split, Adjustments to Share Reserves (July/August 2024)</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annual meeting of the Company’s stockholders held on July 31, 2024, the Company’s stockholders approved an increase in the authorized shares of Common Stock from 11,582,813 to 104,245,313, increasing the total number of authorized shares of the Common Stock and preferred stock from 12,582,813 to 114,245,313. On August 1, 2024, the Company filed an amendment to the Company’s Third Amended and Restated Certificate of Incorporation, as amended, with the office of the Secretary of State of the State of Delaware to effect such increase.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at the annual meeting of the Company’s stockholders held on July 31, 2024, the Company’s stockholders approved an amendment to the Company’s Third Amended and Restated Certificate of Incorporation, as amended, to effect the reverse stock split of the outstanding Common Stock by a ratio of between 1-for-2 and 1-for-40, with such ratio to be determined in the discretion of the Board and with such action to be effected at such time and date, if at all, as determined by the Board within one year after the conclusion of the annual meeting, and a corresponding reduction in the total number of shares of Common Stock the Company is authorized to issue. The Board subsequently approved the implementation of the 1-for-40 stock split ratio (the “Third Reverse Stock Split”), and the Company filed an amendment (the “Fourth Certificate of Amendment”) to the Company’s Third Amended and Restated Certificate of Incorporation with the Secretary of State of the State of Delaware to effect the Third Reverse Stock Split and to set the number of authorized shares of Common Stock to 104,245,313. Pursuant to the Fourth Certificate of Amendment, effective after market close on August 16, 2024 (the “Effective Time”), every 40 shares of the issued and outstanding Common Stock were automatically converted into one share of Common Stock, without any change in par value per share, and the number of authorized shares of Common Stock were reduced to 104,245,313.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Common Stock began trading on The Nasdaq Capital Market on a split-adjusted basis for the August 2024 Reverse Stock Split at the opening of trading on August 19, 2024, under the symbol “FFIE” with a new CUSIP number (307359 885). The Class B Common Stock also received a new CUSIP number (307359 877).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Public Warrants continued to trade on The Nasdaq Capital Market under the symbol “FFIEW,” with the CUSIP number unchanged. However, under the terms of the applicable warrant agreement, the number of shares of Class A Common Stock issuable upon exercise of each warrant was proportionately decreased, and the exercise price adjusted. Accordingly, for the Company’s warrants trading under the symbol “FFIEW,” every 40 warrants became exercisable for one share of Class A Common Stock at an exercise price of $110,400.00 per share of Class A Common Stock.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Effective Time, the number of shares of Common Stock reserved for issuance under the 2021 SI Plan (as defined below), the Company’s Smart King Ltd. Equity Incentive Plan, and the Company’s Smart King Ltd. Special Talent Incentive Plan (collectively, the “Plans”), as well as the number of shares subject to the then-outstanding awards under each of the Plans, were proportionately adjusted, using the 1-for-40 ratio, rounded down to the nearest whole share. In addition, the exercise price of the then-outstanding options under each of the Plans was proportionately adjusted, using the 1-for-40 ratio, rounded up to the nearest whole cent. Proportionate adjustments were made to the number of shares of Common Stock issuable upon exercise or conversion of the Company’s outstanding warrants and convertible securities, as well as the applicable exercise or conversion prices.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Trading Symbols (March 2025)</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Effective March 10, 2025, the Class A Common Stock and Public Warrants currently trade under the new ticker symbols “FFAI” and “FFAIW,” respectively, on The Nasdaq Capital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Increase in Authorized Shares (March 2025)</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special meeting of the Company’s stockholders held on March 7, 2025, the Company’s stockholders approved an increase in the authorized shares of Common Stock from 104,245,313 to 129,245,313, increasing the total number of authorized shares of the Common Stock and preferred stock from 114,245,313 to 139,245,313. On March 10, 2025, the Company filed a Fifth Certificate of Amendment (the “Fifth Certificate of Amendment”) to the Company’s Third Amended and Restated Certificate of Incorporation with the Secretary of State of the State of Delaware to effect such increase.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Series A Preferred Stock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28, 2025, in connection with a purchase agreement entered into with Mr. Aydt, the Company’s Global Co-CEO, the Company filed a Series A Certificate of Designation with the Secretary of State of the State of Delaware. The Series A Certificate of Designation designated one share of the Company’s Preferred Stock as Series A preferred stock, par value $0.0001 per share and established the preferences, rights and limitations thereof. The closing of the sale and purchase of the shares of the Series A Preferred was completed on January 28, 2025 for a purchase price of $100.00.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was redeemed on March 7, 2025, for a redemption price of $100.00, following the special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Voting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Class A Common Stock and Class B Common Stock are entitled to one vote for each share held of record on all matters to be voted on by stockholders until the occurrence of a Qualifying Equity Market Capitalization, following which holders of Class B Common Stock shall be entitled to ten votes per share and shall continue to be entitled to ten votes per share regardless of whether the Qualifying Equity Market Capitalization shall continue to exist or not thereafter.</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winding-up of the Corporation, after payment or provision for payment of the debts and other liabilities of the Corporation, the holders of the shares of the Common Stock shall be entitled to receive all the remaining assets of the Corporation available for distribution to its stockholders, ratably in proportion to the number of shares of the Common Stock held by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the Company’s Class A Common Stock as of March 31, 2025 were as follows:</w:t>
      </w:r>
    </w:p>
    <w:tbl>
      <w:tblPr>
        <w:tblW w:w="9845" w:type="dxa"/>
        <w:jc w:val="left"/>
        <w:tblInd w:w="0" w:type="dxa"/>
        <w:tblLayout w:type="fixed"/>
        <w:tblCellMar>
          <w:top w:w="28" w:type="dxa"/>
          <w:left w:w="28" w:type="dxa"/>
          <w:bottom w:w="28" w:type="dxa"/>
          <w:right w:w="28" w:type="dxa"/>
        </w:tblCellMar>
      </w:tblPr>
      <w:tblGrid>
        <w:gridCol w:w="1144"/>
        <w:gridCol w:w="1009"/>
        <w:gridCol w:w="1011"/>
        <w:gridCol w:w="579"/>
        <w:gridCol w:w="579"/>
        <w:gridCol w:w="581"/>
        <w:gridCol w:w="109"/>
        <w:gridCol w:w="109"/>
        <w:gridCol w:w="109"/>
        <w:gridCol w:w="384"/>
        <w:gridCol w:w="384"/>
        <w:gridCol w:w="386"/>
        <w:gridCol w:w="109"/>
        <w:gridCol w:w="109"/>
        <w:gridCol w:w="109"/>
        <w:gridCol w:w="915"/>
        <w:gridCol w:w="915"/>
        <w:gridCol w:w="1304"/>
      </w:tblGrid>
      <w:tr>
        <w:trPr/>
        <w:tc>
          <w:tcPr>
            <w:tcW w:w="114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Ares Warrants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5,776,657 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 Warrants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November 1, 2031</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SPA Warrants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5,931,638 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September 30, 2029</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Unsecured SPA Warrants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25,874,953 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January 21, 2030</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March Unsecured SPA Warrants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3,438,357 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2030</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41,039,308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the Company’s Class A Common Stock as of December 31, 2024 were as follows: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9522" w:type="dxa"/>
        <w:jc w:val="left"/>
        <w:tblInd w:w="0" w:type="dxa"/>
        <w:tblLayout w:type="fixed"/>
        <w:tblCellMar>
          <w:top w:w="28" w:type="dxa"/>
          <w:left w:w="28" w:type="dxa"/>
          <w:bottom w:w="28" w:type="dxa"/>
          <w:right w:w="28" w:type="dxa"/>
        </w:tblCellMar>
      </w:tblPr>
      <w:tblGrid>
        <w:gridCol w:w="939"/>
        <w:gridCol w:w="824"/>
        <w:gridCol w:w="831"/>
        <w:gridCol w:w="579"/>
        <w:gridCol w:w="579"/>
        <w:gridCol w:w="581"/>
        <w:gridCol w:w="109"/>
        <w:gridCol w:w="109"/>
        <w:gridCol w:w="109"/>
        <w:gridCol w:w="211"/>
        <w:gridCol w:w="1081"/>
        <w:gridCol w:w="109"/>
        <w:gridCol w:w="109"/>
        <w:gridCol w:w="109"/>
        <w:gridCol w:w="109"/>
        <w:gridCol w:w="915"/>
        <w:gridCol w:w="915"/>
        <w:gridCol w:w="130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Ares warrants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5,776,657 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 Warrants</w:t>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November 1, 2031</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SPA Warrants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5,931,638 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September 30, 2029</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Unsecured SPA Warrants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10,788,746 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2029</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22,514,744 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warrants exercised for the three months ended March 31, 2025 or during the three months ended March 31, 2024.</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above Ares warrants and SPA Portfolio Note warrants contain full ratchet anti-dilution price protection that requires the exercise price to be adjusted if the Company sells shares of Common Stock below the current exercise price. There were not any dilutive events during the three months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Insufficient Authorized Shares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From time to time, certain of the Company’s equity-linked financial instruments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due to the Company having insufficient authorized shares to fully settle the equity-linked financial instruments in shares. In such case, the Company applies a sequencing policy under ASC 815-40,</w:t>
      </w:r>
      <w:r>
        <w:rPr>
          <w:color w:val="000000"/>
        </w:rPr>
        <w:t xml:space="preserve"> </w:t>
      </w:r>
      <w:r>
        <w:rPr>
          <w:rFonts w:ascii="Times New Roman;sans-serif" w:hAnsi="Times New Roman;sans-serif"/>
          <w:b w:val="false"/>
          <w:i/>
          <w:color w:val="000000"/>
          <w:sz w:val="20"/>
        </w:rPr>
        <w:t>Contracts in Entity’s Own Equity</w:t>
      </w:r>
      <w:r>
        <w:rPr>
          <w:rFonts w:ascii="Times New Roman;sans-serif" w:hAnsi="Times New Roman;sans-serif"/>
          <w:b w:val="false"/>
          <w:color w:val="000000"/>
          <w:sz w:val="20"/>
        </w:rPr>
        <w:t xml:space="preserve">,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13.Stock-Based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2021 Plan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the 2021 Stock Incentive Plan (“2021 Plan”). The 2021 Plan allows the Board to grant up to 5,164 incentive and nonqualified stock options, restricted shares, unrestricted shares, restricted share units, and other stock-based awards for the Class A Common Stock to employees, directors, and non-employees. The number of shares of Class A Common Stock available under the 2021 Plan will increase annually on the first day of each calendar year, beginning with the calendar year ending December 31, 2024, and continuing until (and including) the calendar year ending December 31, 2031. Annual increases are equal to the lesser of (i) 5 percent of the number of shares of Class A Common Stock issued and outstanding on December 31 of the immediately preceding fiscal year and (ii) an amount determined by the Board.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effective date of the 2021 Plan, no further stock awards have been or will be granted under the EI Plan or STI Plan (defined below).</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At the annual meeting of stockholders held on July 31, 2024, the Company’s stockholders approved (among other proposals) an amendment to the 2021 Plan to increase the number of shares of Class A Common Stock available for issuance under the 2021 Plan by an additional 2,206,324 shares, subject to proportionate adjustment for stock splits and similar events as provided in the 2021 Plan. As of March 31, 2025 and 2024 the Company had</w:t>
      </w:r>
      <w:r>
        <w:rPr>
          <w:color w:val="000000"/>
          <w:shd w:fill="FFFFFF" w:val="clear"/>
        </w:rPr>
        <w:t xml:space="preserve"> </w:t>
      </w:r>
      <w:r>
        <w:rPr>
          <w:rFonts w:ascii="Times New Roman;sans-serif" w:hAnsi="Times New Roman;sans-serif"/>
          <w:b w:val="false"/>
          <w:color w:val="000000"/>
          <w:sz w:val="20"/>
        </w:rPr>
        <w:t>535,027</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2,469,957 shares of Class A Common Stock available for future issuance under the 2021 SI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Option Awards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total unrecognized stock-based compensation expense for stock options granted under the 2021 Plan was less than $0.1 million, which is expected to be recognized over a weighted average period of 2.62 years.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options granted under the 2021 Plan during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Units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total unrecognized stock-based compensation expense for RSUs granted under the 2021 Plan was $0.5 million which is expected to be recognized over a weighted average period of 1.51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EI Plan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2018, the Board adopted the Equity Incentive Plan (“EI Plan”), under which the Board authorized the grant of up to 4,416 incentive and nonqualified stock options, restricted stock, unrestricted stock, restricted stock units, and other stock-based awards for Legacy FF’s Class A Ordinary Stock to employees, directors and non-employees.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and in connection with the Business Combination, each of the Legacy FF’s outstanding options under the EI Plan immediately prior to the closing of the Business Combination remained outstanding and converted into the right to purchase the Company’s Class A Common Stock based on the Exchange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total unrecognized stock-based compensation expense for stock options granted under the EI Plan was less than $0.1 million which is expected to be recognized over a weighted average period of 1.61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STI Plan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2019, the Company adopted its Special Talent Incentive Plan (“STI Plan”) under which the Board may grant up to 1,472 incentive and nonqualified stock options, restricted shares, unrestricted shares, restricted share units, and other stock-based awards for Legacy FF’s Class A Ordinary Stock to employees, directors, and non-employees.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STI Plan does not specify a limit on the number of stock options that can be issued under the plan. Per the terms of the STI Plan the Company must reserve and keep available a sufficient number of shares to satisfy the requirements of the STI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total unrecognized stock-based compensation expense for stock options granted under the STI Plan was less than $0.1 million, which is expected to be recognized over a weighted average period of approximately 1.66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stock-based compensation expense for all of the Company’s 2021 Plan, EI Plan, STI Plan and Common Units of FF Global included in each respective expense category in the Unaudited Condensed Consolidated Statements of Operations and Comprehensive Loss is as follows:</w:t>
      </w:r>
    </w:p>
    <w:tbl>
      <w:tblPr>
        <w:tblW w:w="4973" w:type="dxa"/>
        <w:jc w:val="left"/>
        <w:tblInd w:w="0" w:type="dxa"/>
        <w:tblLayout w:type="fixed"/>
        <w:tblCellMar>
          <w:top w:w="28" w:type="dxa"/>
          <w:left w:w="28" w:type="dxa"/>
          <w:bottom w:w="28" w:type="dxa"/>
          <w:right w:w="28" w:type="dxa"/>
        </w:tblCellMar>
      </w:tblPr>
      <w:tblGrid>
        <w:gridCol w:w="835"/>
        <w:gridCol w:w="734"/>
        <w:gridCol w:w="740"/>
        <w:gridCol w:w="211"/>
        <w:gridCol w:w="826"/>
        <w:gridCol w:w="109"/>
        <w:gridCol w:w="109"/>
        <w:gridCol w:w="109"/>
        <w:gridCol w:w="109"/>
        <w:gridCol w:w="211"/>
        <w:gridCol w:w="82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14.Fair Value of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Notes Payable &amp; Related Party Notes Payable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has elected to measure certain notes payable and related party notes payable at fair value. Specifically, the SPA Portfolio Notes or notes convertible into SPA Portfolio Notes as they contain embedded liquidation premiums with conversion rights that represent embedded derivatives (see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The Company uses a binomial lattice model and discounted cash flow methodology to value the notes carried at fair value. The significant assumptions used in the models include the volatility of the Class A Common Stock, the Company’s expectations around the full ratchet anti-dilution and other triggering events, the Company’s debt discount rate based on a CCC rating, annual dividend yield, the risk free rate, and the expected life of the instrument. Fair value measurements associated with the notes payable and related party notes payable represent Level 3 valuations under the fair value hierarchy.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adjustments related to notes payables and related party notes payable were recorded in Change in fair value of notes payable, warrant liabilities, and derivative call options or Change in fair value of related party notes payable, warrant liabilities, and derivative call options, respectively, in the Unaudited Condensed Consolidated Statements of Operations and Comprehensive Loss.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For notes payable and related party notes payable where the Company did not elect the fair value option pursuant to </w:t>
      </w:r>
      <w:r>
        <w:rPr>
          <w:rFonts w:ascii="Times New Roman;sans-serif" w:hAnsi="Times New Roman;sans-serif"/>
          <w:b w:val="false"/>
          <w:i/>
          <w:color w:val="000000"/>
          <w:sz w:val="20"/>
          <w:shd w:fill="FFFFFF" w:val="clear"/>
        </w:rPr>
        <w:t xml:space="preserve">ASC 825, Financial Instruments, </w:t>
      </w:r>
      <w:r>
        <w:rPr>
          <w:rFonts w:ascii="Times New Roman;sans-serif" w:hAnsi="Times New Roman;sans-serif"/>
          <w:b w:val="false"/>
          <w:color w:val="000000"/>
          <w:sz w:val="20"/>
          <w:shd w:fill="FFFFFF" w:val="clear"/>
        </w:rPr>
        <w:t xml:space="preserve">the carrying value approximates the fair value of the obligation.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SPA Portfolio Note Warrants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measure certain SPA Portfolio Note warrants at fair value. The Company uses a Monte Carlo simulation model to measure the fair value of the liability classified SPA Warrants, where the significant assumptions used include the volatility of the Company’s Class A Common Stock, the Company’s expectations around the full ratchet anti-dilution and other triggering events, the contractual term of the warrant, the risk-free rate and annual dividend yield. Fair value measurements associated with the liability-classified warrants represent Level 3 valuations under the fair value hierarchy.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adjustments related to the liability classified warrants were recorded in Change in fair value of notes payable, warrant liabilities, and derivative call options or Change in fair value of related party notes payable, warrant liabilities, and derivative call options, 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Derivative Call Options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Junior Secured SPA Notes, the 2024 Unsecured SPA Notes, and 2025 March Unsecured SPA Notes were issued Incremental Warrants to purchase additional notes on the same terms and conditions up to the amounts originally funded under their commitments. The Company estimates the fair value of the Incremental Warrants using both a binomial lattice model and Monte Carlo simulation to value the Incremental Warrants as the Incremental Warrants entitle the holder to the relevant SPA Portfolio Note and SPA Portfolio Warrant upon exercise. The significant assumptions used include the volatility of the Company’s Class A Common Stock, the Company’s expectations around the full ratchet anti-dilution and other triggering events, the contractual term of the Incremental Warrants, the risk-free rate and annual dividend yield. The underlying convertible notes and the warrants issuable upon the exercise of the Incremental Warrant were assumed to be exercisable up to the maximum allowable amount. Additionally, the terms of these instruments were presumed to be consistent with those of the convertible notes and warrants issued in connection with the Incremental Warrants. Fair value measurements associated with the liability-classified derivatives represent Level 3 valuations under the fair value hierarchy.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adjustments related to the Incremental Warrants were recorded in Change in fair value of notes payable, warrant liabilities, and derivative call options or Change in fair value of related party notes payable, warrant liabilities, and derivative call options 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are classified in their entirety based on the lowest level of input that is significant to the fair value measurement. The following tables present financial assets and liabilities remeasured on a recurring basis by level within the fair value hierarchy:</w:t>
      </w:r>
    </w:p>
    <w:tbl>
      <w:tblPr>
        <w:tblW w:w="8302" w:type="dxa"/>
        <w:jc w:val="left"/>
        <w:tblInd w:w="0" w:type="dxa"/>
        <w:tblLayout w:type="fixed"/>
        <w:tblCellMar>
          <w:top w:w="28" w:type="dxa"/>
          <w:left w:w="28" w:type="dxa"/>
          <w:bottom w:w="28" w:type="dxa"/>
          <w:right w:w="28" w:type="dxa"/>
        </w:tblCellMar>
      </w:tblPr>
      <w:tblGrid>
        <w:gridCol w:w="1178"/>
        <w:gridCol w:w="1036"/>
        <w:gridCol w:w="1039"/>
        <w:gridCol w:w="334"/>
        <w:gridCol w:w="643"/>
        <w:gridCol w:w="172"/>
        <w:gridCol w:w="172"/>
        <w:gridCol w:w="172"/>
        <w:gridCol w:w="172"/>
        <w:gridCol w:w="334"/>
        <w:gridCol w:w="643"/>
        <w:gridCol w:w="172"/>
        <w:gridCol w:w="172"/>
        <w:gridCol w:w="172"/>
        <w:gridCol w:w="172"/>
        <w:gridCol w:w="334"/>
        <w:gridCol w:w="1142"/>
        <w:gridCol w:w="243"/>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25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i/>
                <w:color w:val="000000"/>
                <w:sz w:val="16"/>
              </w:rPr>
              <w:t>(in thousands)</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Warrant liabilities</w:t>
            </w:r>
            <w:r>
              <w:rPr>
                <w:rFonts w:ascii="Times New Roman;sans-serif" w:hAnsi="Times New Roman;sans-serif"/>
                <w:b w:val="false"/>
                <w:color w:val="000000"/>
                <w:sz w:val="13"/>
              </w:rPr>
              <w:t>1</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Derivative call options</w:t>
            </w:r>
            <w:r>
              <w:rPr>
                <w:rFonts w:ascii="Times New Roman;sans-serif" w:hAnsi="Times New Roman;sans-serif"/>
                <w:b w:val="false"/>
                <w:color w:val="000000"/>
                <w:sz w:val="13"/>
              </w:rPr>
              <w:t>1</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Notes payable</w:t>
            </w:r>
            <w:r>
              <w:rPr>
                <w:rFonts w:ascii="Times New Roman;sans-serif" w:hAnsi="Times New Roman;sans-serif"/>
                <w:b w:val="false"/>
                <w:color w:val="000000"/>
                <w:sz w:val="13"/>
              </w:rPr>
              <w:t>1</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2" w:type="dxa"/>
            <w:gridSpan w:val="18"/>
            <w:tcBorders/>
            <w:tcMar>
              <w:top w:w="0" w:type="dxa"/>
              <w:left w:w="0" w:type="dxa"/>
              <w:bottom w:w="0" w:type="dxa"/>
              <w:right w:w="0" w:type="dxa"/>
            </w:tcMar>
            <w:vAlign w:val="center"/>
          </w:tcPr>
          <w:p>
            <w:pPr>
              <w:pStyle w:val="TableContents"/>
              <w:bidi w:val="0"/>
              <w:spacing w:lineRule="auto" w:line="288" w:before="160" w:after="283"/>
              <w:jc w:val="both"/>
              <w:rPr/>
            </w:pPr>
            <w:r>
              <w:rPr>
                <w:rFonts w:ascii="Times New Roman;sans-serif" w:hAnsi="Times New Roman;sans-serif"/>
                <w:b w:val="false"/>
                <w:i/>
                <w:color w:val="000000"/>
                <w:sz w:val="10"/>
              </w:rPr>
              <w:t xml:space="preserve">1 </w:t>
            </w:r>
            <w:r>
              <w:rPr>
                <w:rFonts w:ascii="Times New Roman;sans-serif" w:hAnsi="Times New Roman;sans-serif"/>
                <w:b w:val="false"/>
                <w:i/>
                <w:color w:val="000000"/>
                <w:sz w:val="16"/>
              </w:rPr>
              <w:t>Includes both related party and non-related party balances for the Company’s notes payable and warrant liabilities.</w:t>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r>
    </w:tbl>
    <w:tbl>
      <w:tblPr>
        <w:tblW w:w="8302" w:type="dxa"/>
        <w:jc w:val="left"/>
        <w:tblInd w:w="0" w:type="dxa"/>
        <w:tblLayout w:type="fixed"/>
        <w:tblCellMar>
          <w:top w:w="28" w:type="dxa"/>
          <w:left w:w="28" w:type="dxa"/>
          <w:bottom w:w="28" w:type="dxa"/>
          <w:right w:w="28" w:type="dxa"/>
        </w:tblCellMar>
      </w:tblPr>
      <w:tblGrid>
        <w:gridCol w:w="1178"/>
        <w:gridCol w:w="1036"/>
        <w:gridCol w:w="1039"/>
        <w:gridCol w:w="334"/>
        <w:gridCol w:w="643"/>
        <w:gridCol w:w="172"/>
        <w:gridCol w:w="172"/>
        <w:gridCol w:w="172"/>
        <w:gridCol w:w="172"/>
        <w:gridCol w:w="334"/>
        <w:gridCol w:w="643"/>
        <w:gridCol w:w="172"/>
        <w:gridCol w:w="172"/>
        <w:gridCol w:w="172"/>
        <w:gridCol w:w="172"/>
        <w:gridCol w:w="334"/>
        <w:gridCol w:w="1142"/>
        <w:gridCol w:w="243"/>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Warrant liabilities</w:t>
            </w:r>
            <w:r>
              <w:rPr>
                <w:rFonts w:ascii="Times New Roman;sans-serif" w:hAnsi="Times New Roman;sans-serif"/>
                <w:b w:val="false"/>
                <w:color w:val="000000"/>
                <w:sz w:val="13"/>
              </w:rPr>
              <w:t>1</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Derivative call options</w:t>
            </w:r>
            <w:r>
              <w:rPr>
                <w:rFonts w:ascii="Times New Roman;sans-serif" w:hAnsi="Times New Roman;sans-serif"/>
                <w:b w:val="false"/>
                <w:color w:val="000000"/>
                <w:sz w:val="13"/>
              </w:rPr>
              <w:t>1</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Notes payable</w:t>
            </w:r>
            <w:r>
              <w:rPr>
                <w:rFonts w:ascii="Times New Roman;sans-serif" w:hAnsi="Times New Roman;sans-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2" w:type="dxa"/>
            <w:gridSpan w:val="18"/>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i/>
                <w:color w:val="000000"/>
                <w:sz w:val="10"/>
              </w:rPr>
              <w:t xml:space="preserve">1 </w:t>
            </w:r>
            <w:r>
              <w:rPr>
                <w:rFonts w:ascii="Times New Roman;sans-serif" w:hAnsi="Times New Roman;sans-serif"/>
                <w:b w:val="false"/>
                <w:i/>
                <w:color w:val="000000"/>
                <w:sz w:val="16"/>
              </w:rPr>
              <w:t>Includes both related party and non-related party balances for the Company’s notes payable and warrant liabilities.</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not any transfers of assets and liabilities between Level 1, Level 2 and Level 3 of the fair value measurement hierarchy during the three months ended March 31, 2025 and the year ended December 31, 2024. The carrying amounts of the Company’s financial assets and liabilities, including cash, restricted cash, deposits, accounts payable, accrued liabilities and notes payable, other than the SPA Portfolio Notes, approximate fair value because of their short-term nature or contractually defined value.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Level 3 fair value measurements:</w:t>
      </w:r>
    </w:p>
    <w:tbl>
      <w:tblPr>
        <w:tblW w:w="10205" w:type="dxa"/>
        <w:jc w:val="left"/>
        <w:tblInd w:w="0" w:type="dxa"/>
        <w:tblLayout w:type="fixed"/>
        <w:tblCellMar>
          <w:top w:w="28" w:type="dxa"/>
          <w:left w:w="28" w:type="dxa"/>
          <w:bottom w:w="28" w:type="dxa"/>
          <w:right w:w="28" w:type="dxa"/>
        </w:tblCellMar>
      </w:tblPr>
      <w:tblGrid>
        <w:gridCol w:w="1402"/>
        <w:gridCol w:w="872"/>
        <w:gridCol w:w="874"/>
        <w:gridCol w:w="360"/>
        <w:gridCol w:w="1234"/>
        <w:gridCol w:w="186"/>
        <w:gridCol w:w="156"/>
        <w:gridCol w:w="156"/>
        <w:gridCol w:w="156"/>
        <w:gridCol w:w="386"/>
        <w:gridCol w:w="1320"/>
        <w:gridCol w:w="199"/>
        <w:gridCol w:w="156"/>
        <w:gridCol w:w="156"/>
        <w:gridCol w:w="156"/>
        <w:gridCol w:w="322"/>
        <w:gridCol w:w="1102"/>
        <w:gridCol w:w="166"/>
        <w:gridCol w:w="156"/>
        <w:gridCol w:w="156"/>
        <w:gridCol w:w="156"/>
        <w:gridCol w:w="109"/>
        <w:gridCol w:w="109"/>
        <w:gridCol w:w="160"/>
      </w:tblGrid>
      <w:tr>
        <w:trPr/>
        <w:tc>
          <w:tcPr>
            <w:tcW w:w="140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Warrant Liabilities</w:t>
            </w:r>
            <w:r>
              <w:rPr>
                <w:rFonts w:ascii="Times New Roman;sans-serif" w:hAnsi="Times New Roman;sans-serif"/>
                <w:b/>
                <w:color w:val="000000"/>
                <w:sz w:val="12"/>
              </w:rPr>
              <w:t>1</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Derivative Call Option</w:t>
            </w:r>
            <w:r>
              <w:rPr>
                <w:rFonts w:ascii="Times New Roman;sans-serif" w:hAnsi="Times New Roman;sans-serif"/>
                <w:b/>
                <w:color w:val="000000"/>
                <w:sz w:val="12"/>
              </w:rPr>
              <w:t>1</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Notes Payable</w:t>
            </w:r>
            <w:r>
              <w:rPr>
                <w:rFonts w:ascii="Times New Roman;sans-serif" w:hAnsi="Times New Roman;sans-serif"/>
                <w:b/>
                <w:color w:val="000000"/>
                <w:sz w:val="12"/>
              </w:rPr>
              <w:t>1</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w:t>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Conversions of notes to Class A Common Stock</w:t>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March 31, 2025</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_______________</w:t>
            </w:r>
          </w:p>
        </w:tc>
        <w:tc>
          <w:tcPr>
            <w:tcW w:w="17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21"/>
            <w:tcBorders/>
            <w:tcMar>
              <w:top w:w="0" w:type="dxa"/>
              <w:left w:w="0" w:type="dxa"/>
              <w:bottom w:w="0" w:type="dxa"/>
              <w:right w:w="0" w:type="dxa"/>
            </w:tcMar>
            <w:vAlign w:val="center"/>
          </w:tcPr>
          <w:p>
            <w:pPr>
              <w:pStyle w:val="TableContents"/>
              <w:bidi w:val="0"/>
              <w:spacing w:lineRule="auto" w:line="288" w:before="60" w:after="60"/>
              <w:ind w:left="0" w:right="0" w:hanging="18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Includes both related party and non-related party balances for the Company’s notes payable and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Addition to </w:t>
            </w:r>
            <w:r>
              <w:rPr>
                <w:rFonts w:ascii="Times New Roman;sans-serif" w:hAnsi="Times New Roman;sans-serif"/>
                <w:b w:val="false"/>
                <w:i/>
                <w:color w:val="000000"/>
                <w:sz w:val="16"/>
              </w:rPr>
              <w:t>Warrant Liabilities and Derivative Call Option</w:t>
            </w:r>
            <w:r>
              <w:rPr>
                <w:color w:val="000000"/>
              </w:rPr>
              <w:t xml:space="preserve"> </w:t>
            </w:r>
            <w:r>
              <w:rPr>
                <w:rFonts w:ascii="Times New Roman;sans-serif" w:hAnsi="Times New Roman;sans-serif"/>
                <w:b w:val="false"/>
                <w:color w:val="000000"/>
                <w:sz w:val="16"/>
              </w:rPr>
              <w:t xml:space="preserve">are included as loss in line items </w:t>
            </w:r>
            <w:r>
              <w:rPr>
                <w:rFonts w:ascii="Times New Roman;sans-serif" w:hAnsi="Times New Roman;sans-serif"/>
                <w:b w:val="false"/>
                <w:i/>
                <w:color w:val="000000"/>
                <w:sz w:val="16"/>
              </w:rPr>
              <w:t>Change in fair value of notes payable, warrant liabilities, and derivative call options</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Change in fair value of related party notes payable, warrant liabilities, and derivative call options</w:t>
            </w:r>
            <w:r>
              <w:rPr>
                <w:color w:val="000000"/>
              </w:rPr>
              <w:t xml:space="preserve"> </w:t>
            </w:r>
            <w:r>
              <w:rPr>
                <w:rFonts w:ascii="Times New Roman;sans-serif" w:hAnsi="Times New Roman;sans-serif"/>
                <w:b w:val="false"/>
                <w:color w:val="000000"/>
                <w:sz w:val="16"/>
              </w:rPr>
              <w:t xml:space="preserve">in the </w:t>
            </w:r>
            <w:r>
              <w:rPr>
                <w:rFonts w:ascii="Times New Roman;sans-serif" w:hAnsi="Times New Roman;sans-serif"/>
                <w:b w:val="false"/>
                <w:color w:val="000000"/>
                <w:sz w:val="16"/>
                <w:shd w:fill="FFFFFF" w:val="clear"/>
              </w:rPr>
              <w:t>Unaudited Condensed Consolidated Statements of Operations and Comprehensive Loss</w:t>
            </w:r>
            <w:r>
              <w:rPr>
                <w:rFonts w:ascii="Times New Roman;sans-serif" w:hAnsi="Times New Roman;sans-serif"/>
                <w:b w:val="false"/>
                <w:color w:val="000000"/>
                <w:sz w:val="16"/>
              </w:rPr>
              <w:t xml:space="preserve">. This information is presented to facilitate reconciliation to the related amounts reported in the </w:t>
            </w:r>
            <w:r>
              <w:rPr>
                <w:rFonts w:ascii="Times New Roman;sans-serif" w:hAnsi="Times New Roman;sans-serif"/>
                <w:b w:val="false"/>
                <w:color w:val="000000"/>
                <w:sz w:val="16"/>
                <w:shd w:fill="FFFFFF" w:val="clear"/>
              </w:rPr>
              <w:t>Unaudited Condensed Consolidated Statements of Operations and Comprehensive Loss</w:t>
            </w: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21"/>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Additions of </w:t>
            </w:r>
            <w:r>
              <w:rPr>
                <w:rFonts w:ascii="Times New Roman;sans-serif" w:hAnsi="Times New Roman;sans-serif"/>
                <w:b w:val="false"/>
                <w:i/>
                <w:color w:val="000000"/>
                <w:sz w:val="16"/>
              </w:rPr>
              <w:t>Notes Payable</w:t>
            </w:r>
            <w:r>
              <w:rPr>
                <w:color w:val="000000"/>
              </w:rPr>
              <w:t xml:space="preserve"> </w:t>
            </w:r>
            <w:r>
              <w:rPr>
                <w:rFonts w:ascii="Times New Roman;sans-serif" w:hAnsi="Times New Roman;sans-serif"/>
                <w:b w:val="false"/>
                <w:color w:val="000000"/>
                <w:sz w:val="16"/>
              </w:rPr>
              <w:t xml:space="preserve">measured at fair value are presented net of the initial fair value adjustment recorded at issuance. This adjustment, which reduced the principal amount of the </w:t>
            </w:r>
            <w:r>
              <w:rPr>
                <w:rFonts w:ascii="Times New Roman;sans-serif" w:hAnsi="Times New Roman;sans-serif"/>
                <w:b w:val="false"/>
                <w:i/>
                <w:color w:val="000000"/>
                <w:sz w:val="16"/>
              </w:rPr>
              <w:t>Notes Payable</w:t>
            </w:r>
            <w:r>
              <w:rPr>
                <w:color w:val="000000"/>
              </w:rPr>
              <w:t xml:space="preserve"> </w:t>
            </w:r>
            <w:r>
              <w:rPr>
                <w:rFonts w:ascii="Times New Roman;sans-serif" w:hAnsi="Times New Roman;sans-serif"/>
                <w:b w:val="false"/>
                <w:color w:val="000000"/>
                <w:sz w:val="16"/>
              </w:rPr>
              <w:t xml:space="preserve">by $11,349 thousand upon initial recognition, is presented as gain in the line items </w:t>
            </w:r>
            <w:r>
              <w:rPr>
                <w:rFonts w:ascii="Times New Roman;sans-serif" w:hAnsi="Times New Roman;sans-serif"/>
                <w:b w:val="false"/>
                <w:i/>
                <w:color w:val="000000"/>
                <w:sz w:val="16"/>
              </w:rPr>
              <w:t>Change in fair value of notes payable, warrant liabilities, and derivative call options</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Change in fair value of related party notes payable, warrant liabilities, and derivative call options</w:t>
            </w:r>
            <w:r>
              <w:rPr>
                <w:color w:val="000000"/>
              </w:rPr>
              <w:t xml:space="preserve"> </w:t>
            </w:r>
            <w:r>
              <w:rPr>
                <w:rFonts w:ascii="Times New Roman;sans-serif" w:hAnsi="Times New Roman;sans-serif"/>
                <w:b w:val="false"/>
                <w:color w:val="000000"/>
                <w:sz w:val="16"/>
              </w:rPr>
              <w:t xml:space="preserve">in the </w:t>
            </w:r>
            <w:r>
              <w:rPr>
                <w:rFonts w:ascii="Times New Roman;sans-serif" w:hAnsi="Times New Roman;sans-serif"/>
                <w:b w:val="false"/>
                <w:color w:val="000000"/>
                <w:sz w:val="16"/>
                <w:shd w:fill="FFFFFF" w:val="clear"/>
              </w:rPr>
              <w:t>Unaudited Condensed Consolidated Statements of Operations and Comprehensive Loss</w:t>
            </w:r>
            <w:r>
              <w:rPr>
                <w:rFonts w:ascii="Times New Roman;sans-serif" w:hAnsi="Times New Roman;sans-serif"/>
                <w:b w:val="false"/>
                <w:color w:val="000000"/>
                <w:sz w:val="16"/>
              </w:rPr>
              <w:t xml:space="preserve">. In addition, the line item Change in fair value of notes payable, warrant liabilities, and derivative call options includes a loss of $429 thousand, and the line item </w:t>
            </w:r>
            <w:r>
              <w:rPr>
                <w:rFonts w:ascii="Times New Roman;sans-serif" w:hAnsi="Times New Roman;sans-serif"/>
                <w:b w:val="false"/>
                <w:i/>
                <w:color w:val="000000"/>
                <w:sz w:val="16"/>
              </w:rPr>
              <w:t>Change in fair value of related party notes payable, warrant liabilities, and derivative call options</w:t>
            </w:r>
            <w:r>
              <w:rPr>
                <w:color w:val="000000"/>
              </w:rPr>
              <w:t xml:space="preserve"> </w:t>
            </w:r>
            <w:r>
              <w:rPr>
                <w:rFonts w:ascii="Times New Roman;sans-serif" w:hAnsi="Times New Roman;sans-serif"/>
                <w:b w:val="false"/>
                <w:color w:val="000000"/>
                <w:sz w:val="16"/>
              </w:rPr>
              <w:t xml:space="preserve">includes a loss of $76 thousand, both of which relate to debt issuance costs. These costs are separately identifiable from the fair value adjustments described above and are not included in the Additions of </w:t>
            </w:r>
            <w:r>
              <w:rPr>
                <w:rFonts w:ascii="Times New Roman;sans-serif" w:hAnsi="Times New Roman;sans-serif"/>
                <w:b w:val="false"/>
                <w:i/>
                <w:color w:val="000000"/>
                <w:sz w:val="16"/>
              </w:rPr>
              <w:t>Notes Payable</w:t>
            </w:r>
            <w:r>
              <w:rPr>
                <w:color w:val="000000"/>
              </w:rPr>
              <w:t xml:space="preserve"> </w:t>
            </w:r>
            <w:r>
              <w:rPr>
                <w:rFonts w:ascii="Times New Roman;sans-serif" w:hAnsi="Times New Roman;sans-serif"/>
                <w:b w:val="false"/>
                <w:color w:val="000000"/>
                <w:sz w:val="16"/>
              </w:rPr>
              <w:t xml:space="preserve">This information is presented to facilitate reconciliation to the related amounts reported in the </w:t>
            </w:r>
            <w:r>
              <w:rPr>
                <w:rFonts w:ascii="Times New Roman;sans-serif" w:hAnsi="Times New Roman;sans-serif"/>
                <w:b w:val="false"/>
                <w:color w:val="000000"/>
                <w:sz w:val="16"/>
                <w:shd w:fill="FFFFFF" w:val="clear"/>
              </w:rPr>
              <w:t>Unaudited Condensed Consolidated Statements of Operations and Comprehensive Loss</w:t>
            </w: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 Attributable to Common Stockholders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calculated by dividing net loss attributable to common stockholders by the weighted-average number of shares issued and shares to be issued under the commitment to issue shares, as these shares are issuable for no consideration.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data shows the amounts used in computing net loss per share and the effect on net loss and the weighted-average number of shares as follows:</w:t>
      </w:r>
    </w:p>
    <w:tbl>
      <w:tblPr>
        <w:tblW w:w="10205" w:type="dxa"/>
        <w:jc w:val="left"/>
        <w:tblInd w:w="0" w:type="dxa"/>
        <w:tblLayout w:type="fixed"/>
        <w:tblCellMar>
          <w:top w:w="28" w:type="dxa"/>
          <w:left w:w="28" w:type="dxa"/>
          <w:bottom w:w="28" w:type="dxa"/>
          <w:right w:w="28" w:type="dxa"/>
        </w:tblCellMar>
      </w:tblPr>
      <w:tblGrid>
        <w:gridCol w:w="2540"/>
        <w:gridCol w:w="2199"/>
        <w:gridCol w:w="2216"/>
        <w:gridCol w:w="271"/>
        <w:gridCol w:w="993"/>
        <w:gridCol w:w="135"/>
        <w:gridCol w:w="135"/>
        <w:gridCol w:w="135"/>
        <w:gridCol w:w="135"/>
        <w:gridCol w:w="266"/>
        <w:gridCol w:w="982"/>
        <w:gridCol w:w="198"/>
      </w:tblGrid>
      <w:tr>
        <w:trPr/>
        <w:tc>
          <w:tcPr>
            <w:tcW w:w="2540"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88" w:before="0" w:after="283"/>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5"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955"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of Class A and B Common Stock:</w:t>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75,749,893 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1,837,959 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75,749,893 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1,837,959 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and B Common Stock attributable to common stockholders:</w:t>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net loss per common share was the same for the Class A Common Stock and Class B Common Stock because they are entitled to the same liquidation and dividend rights and are therefore combined 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15.Net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Potentially Dilutive Shares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reported net losses for all periods presented, resulting in all potentially dilutive Common Stock equivalents being considered antidilutive and excluded from the calculation of net loss per share.</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potentially dilutive shares that were excluded from the computation of diluted net loss per share of Common Stock attributable to Common Stock stockholders due to their antidilutive effect: </w:t>
      </w:r>
    </w:p>
    <w:tbl>
      <w:tblPr>
        <w:tblW w:w="10118" w:type="dxa"/>
        <w:jc w:val="left"/>
        <w:tblInd w:w="0" w:type="dxa"/>
        <w:tblLayout w:type="fixed"/>
        <w:tblCellMar>
          <w:top w:w="28" w:type="dxa"/>
          <w:left w:w="28" w:type="dxa"/>
          <w:bottom w:w="28" w:type="dxa"/>
          <w:right w:w="28" w:type="dxa"/>
        </w:tblCellMar>
      </w:tblPr>
      <w:tblGrid>
        <w:gridCol w:w="2376"/>
        <w:gridCol w:w="2086"/>
        <w:gridCol w:w="2093"/>
        <w:gridCol w:w="750"/>
        <w:gridCol w:w="331"/>
        <w:gridCol w:w="278"/>
        <w:gridCol w:w="278"/>
        <w:gridCol w:w="278"/>
        <w:gridCol w:w="278"/>
        <w:gridCol w:w="678"/>
        <w:gridCol w:w="298"/>
        <w:gridCol w:w="394"/>
      </w:tblGrid>
      <w:tr>
        <w:trPr/>
        <w:tc>
          <w:tcPr>
            <w:tcW w:w="237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SPA Portfolio Notes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44,298,705 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2,331,077 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Unsecured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1,809,969 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390,601 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exercise of equity classified SPA Portfolio Note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exercise of liability classified SPA Portfolio Note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35,244,948 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5,776,657 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228,482 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awards –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awards –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155,134 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21,439 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87,305,630 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2,990,763 </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16.Subsequent Events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The Company evaluated subsequent events and transactions that occurred after the balance sheet date up to the date that </w:t>
      </w:r>
      <w:r>
        <w:rPr>
          <w:rFonts w:ascii="Times New Roman;sans-serif" w:hAnsi="Times New Roman;sans-serif"/>
          <w:b/>
          <w:color w:val="000000"/>
          <w:sz w:val="20"/>
        </w:rPr>
        <w:t>t</w:t>
      </w:r>
      <w:r>
        <w:rPr>
          <w:rFonts w:ascii="Times New Roman;sans-serif" w:hAnsi="Times New Roman;sans-serif"/>
          <w:b w:val="false"/>
          <w:color w:val="000000"/>
          <w:sz w:val="20"/>
        </w:rPr>
        <w:t>he Unaudited Condensed Consolidated Financial Statements were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Subsequent SPA Portfolio Notes Activity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March 31, 2025, the Company received gross proceeds in connection with issuance of 2024 Unsecured SPA Notes to third parties totaling $6.6 million with due dates ranging from April 4, 2030 through May 2, 2030 at 10.00% interest. Principal and accrued interest are convertible at the option of the holder into Common Stock of the Company at a conversion price per share equal to the lower of a) stated conversion price or b) lowest VWAP of the five trading days immediately prior to the day on which lender provides conversion notice. Additionally, $10.6 million of principal and $0.9 million of interest of the Company’s SPA Portfolio Notes were converted into 10,894,406 shares of the Company’s Class A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Series B Preferred Stock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21, 2025, the Company entered into the 2025 March Unsecured SPA pursuant to which the Company agreed to issue, among other securities, shares of Series B Preferred Stock. The Series B Preferred stock are a newly designated class of the Company’s authorized and unissued preferred stock, par value $0.0001 per share. In connection with the initial closing under the 2025 March Unsecured SPA, on April 3, 2025, the Company filed a Certificate of Designation of Preferences, Rights and Limitations of Series B Preferred Stock with the Secretary of State of the State of Delaware (the “Series B Certificate of Designation”). On April 9, 2025, the Company filed a Certificate of Correction to the Certificate to correct a clerical error with the Secretary of State of the State of Delaware. The Series B Certificate of Designation designates 9,000,000 shares of the Series B Preferred Stock and establishes and designates the preferences, rights and limitations thereof. The Series B Certificate of Designation became effective upon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Sale of Collateral Securing Loan with Utica</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2025, certain non-essential equipment securing the Company’s collateralized loan with Utica Leaseco, LLC was sold at auction for approximately $0.7 million in gross proceeds. The sale was conducted with the lender’s consent and involved surplus assets. In accordance with the loan and subordination agreements, all proceeds from the auction were retained by Utica and applied toward the Company’s obligations under the loan. The Company did not receive any of the sale proceeds. The equipment had been previously expensed as research and development costs in prior periods and was not included in property, plant and equipment as of March 31, 2025. The transaction did not affect scheduled debt repayments or require reclassification of the loan balance. The Company will evaluate any further accounting implications in future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Envisage Settlement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2025, the Company entered into a Settlement and Release Agreement (the “Envisage Settlement and Release Agreement”) with Envisage Group Developments Inc. USA (“Envisage”) to resolve a $1.5 million judgment stemming from an arbitration award related to several purchase orders and invoices under an Engineering Services Agreement previously executed between the Company and Envisage.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Envisage Settlement and Release Agreement, the Company agreed to satisfy $425 thousand of the settlement through the issuance of Class A common stock, with the number of shares based on the $1.08 per share closing price on April 7, 2025—the trading day prior to the issuance. On April 8, 2025, the Company issued 393,519 shares of its Class A common stock to Envisage. The Company has filed a Form S-1 registration statement to register these shares for resale, which is currently under SEC review and has not yet been declared effective.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agreed to pay the remaining $375 thousand in cash, payable in four equal monthly installments from March through June 2025. Both parties mutually released all claims, demands, and liabilities related to the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All references in this report to “FFAI,” the “Company,” “we,” “us,” or “our” mean Faraday Future Intelligent Electric Inc., together with its consolidated subsidiaries. Unless the context suggests otherwise, references to “Faraday Future Intelligent Electric Inc.” mean the parent company without its subsidiaries.</w:t>
      </w:r>
    </w:p>
    <w:p>
      <w:pPr>
        <w:pStyle w:val="TextBody"/>
        <w:bidi w:val="0"/>
        <w:spacing w:lineRule="auto" w:line="288" w:before="16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is intended to help the reader understand our results of operations and financial condition. This discussion and analysis is provided as a supplement to, and should be read in conjunction with our Unaudited Condensed Consolidated Financial Statements and Notes thereto included elsewhere in this quarterly report on Form 10-Q (this “Report” or this “Form 10-Q”). Some of the information contained in this discussion and analysis or set forth elsewhere in this Report, including information with respect to our plans and strategy for our business, includes forward-looking statements that involve risks and uncertainties. Our actual results may differ materially from management’s expectations as a result of various factors, including but not limited to those discussed in the sections entitled “Risk Factors” in the Company’s Annual Report on Form 10-K filed on March 31, 2025 and “Cautionary Note Regarding Forward-Looking Statements” below. The objective of this section is to provide investors an understanding of the financial drivers and levers in our business and describe the financial performance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pPr>
      <w:r>
        <w:rPr>
          <w:rFonts w:ascii="Times New Roman;sans-serif" w:hAnsi="Times New Roman;sans-serif"/>
          <w:b w:val="false"/>
          <w:color w:val="000000"/>
          <w:sz w:val="20"/>
        </w:rPr>
        <w:t>C</w:t>
      </w:r>
      <w:r>
        <w:rPr>
          <w:rFonts w:ascii="Times New Roman;sans-serif" w:hAnsi="Times New Roman;sans-serif"/>
          <w:b/>
          <w:color w:val="000000"/>
          <w:sz w:val="20"/>
        </w:rPr>
        <w:t>autionary Note Regarding Forward-Looking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“Risk Factors” in the Form 10-K filed on March 31, 2025.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“Risk Factors” Item 1A in the Form 10-K, filed on March 31, 2025, may not be exhaustive.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We are a California-</w:t>
      </w:r>
      <w:r>
        <w:rPr>
          <w:rFonts w:ascii="Times New Roman;sans-serif" w:hAnsi="Times New Roman;sans-serif"/>
          <w:b w:val="false"/>
          <w:color w:val="000000"/>
          <w:sz w:val="20"/>
          <w:shd w:fill="FFFFFF" w:val="clear"/>
        </w:rPr>
        <w:t>based, global, shared, intelligent mobility ecosystem company founded in 2014 with a vision to disrupt the automotive industry. Our Class A Common Stock and Public Warrants trade on The Nasdaq Capital Market (“Nasdaq”) under the ticker sym</w:t>
      </w:r>
      <w:r>
        <w:rPr>
          <w:rFonts w:ascii="Times New Roman;sans-serif" w:hAnsi="Times New Roman;sans-serif"/>
          <w:b w:val="false"/>
          <w:color w:val="000000"/>
          <w:sz w:val="20"/>
        </w:rPr>
        <w:t>bols “FFAI” and “FFAIW,” respectively.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headquarters in greater Gardena, California, we design and engineer next-generation intelligent, connected, electric vehicles. We manufacture vehicles at the FF ieFactory California production facility in Hanford, California. We have additional engineering, sales, and operational capabilities in China, and we are exploring opportunities for potential manufacturing capabilities in China through a joint venture or other arrangements. Additionally, we have established an entity in the UAE to manage the assembly and sales support of FF 91 series vehicles, further expanding our market presence in the region.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we have created major innovations in technology and products, and followed a user-centered business model. We believe these innovations will enable us to set new standards in luxury and performance that will redefine the future of intelligent mobility.</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Company Overview &amp; Global Strategy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u w:val="single"/>
        </w:rPr>
        <w:t>Dual-Home Market Strategy:</w:t>
      </w:r>
      <w:r>
        <w:rPr>
          <w:color w:val="000000"/>
        </w:rPr>
        <w:t xml:space="preserve"> </w:t>
      </w:r>
      <w:r>
        <w:rPr>
          <w:rFonts w:ascii="Times New Roman;sans-serif" w:hAnsi="Times New Roman;sans-serif"/>
          <w:b w:val="false"/>
          <w:color w:val="000000"/>
          <w:sz w:val="20"/>
        </w:rPr>
        <w:t>We have implemented a dual-home market strategy, integrating U.S.-based technological innovation and vehicle development with China’s supply chain and production capabilities.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u w:val="single"/>
        </w:rPr>
        <w:t>Third Pole Strategy:</w:t>
      </w:r>
      <w:r>
        <w:rPr>
          <w:color w:val="000000"/>
        </w:rPr>
        <w:t xml:space="preserve"> </w:t>
      </w:r>
      <w:r>
        <w:rPr>
          <w:rFonts w:ascii="Times New Roman;sans-serif" w:hAnsi="Times New Roman;sans-serif"/>
          <w:b w:val="false"/>
          <w:color w:val="000000"/>
          <w:sz w:val="20"/>
        </w:rPr>
        <w:t>We have begun implementing a "third pole" strategy with an operational facility in the UAE, complementing our U.S. and China market approach.</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Technology &amp; Innovation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u w:val="single"/>
        </w:rPr>
        <w:t>Our Proprietary VPA:</w:t>
      </w:r>
      <w:r>
        <w:rPr>
          <w:color w:val="000000"/>
        </w:rPr>
        <w:t xml:space="preserve"> </w:t>
      </w:r>
      <w:r>
        <w:rPr>
          <w:rFonts w:ascii="Times New Roman;sans-serif" w:hAnsi="Times New Roman;sans-serif"/>
          <w:b w:val="false"/>
          <w:color w:val="000000"/>
          <w:sz w:val="20"/>
        </w:rPr>
        <w:t>We have designed and developed a breakthrough mobility platform—our proprietary VPA, which enables scalable vehicle development across multiple segments, including the new FX Series.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u w:val="single"/>
        </w:rPr>
        <w:t>Propulsion System:</w:t>
      </w:r>
      <w:r>
        <w:rPr>
          <w:color w:val="000000"/>
        </w:rPr>
        <w:t xml:space="preserve"> </w:t>
      </w:r>
      <w:r>
        <w:rPr>
          <w:rFonts w:ascii="Times New Roman;sans-serif" w:hAnsi="Times New Roman;sans-serif"/>
          <w:b w:val="false"/>
          <w:color w:val="000000"/>
          <w:sz w:val="20"/>
        </w:rPr>
        <w:t>Our propulsion system provides a competitive edge in acceleration and range, enabled by an industry-leading inverter design and a propulsion system integrated with our AI-powered user experience.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u w:val="single"/>
        </w:rPr>
        <w:t>I.A.I Technology:</w:t>
      </w:r>
      <w:r>
        <w:rPr>
          <w:color w:val="000000"/>
        </w:rPr>
        <w:t xml:space="preserve"> </w:t>
      </w:r>
      <w:r>
        <w:rPr>
          <w:rFonts w:ascii="Times New Roman;sans-serif" w:hAnsi="Times New Roman;sans-serif"/>
          <w:b w:val="false"/>
          <w:color w:val="000000"/>
          <w:sz w:val="20"/>
        </w:rPr>
        <w:t>Our advanced I.A.I technology offers high-performance computing, high-speed internet connectivity, OTA updating, an open ecosystem for third-party application integration, and an advanced autonomous driving-ready system.</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u w:val="single"/>
        </w:rPr>
        <w:t>Intellectual Property &amp; Supply Chain Development:</w:t>
      </w:r>
      <w:r>
        <w:rPr>
          <w:color w:val="000000"/>
        </w:rPr>
        <w:t xml:space="preserve"> </w:t>
      </w:r>
      <w:r>
        <w:rPr>
          <w:rFonts w:ascii="Times New Roman;sans-serif" w:hAnsi="Times New Roman;sans-serif"/>
          <w:b w:val="false"/>
          <w:color w:val="000000"/>
          <w:sz w:val="20"/>
        </w:rPr>
        <w:t>Since inception, we have developed a portfolio of intellectual property, established its supply chain, and assembled a global team of automotive and technology experts. As of March 31, 2025, FF has been granted approxima</w:t>
      </w:r>
      <w:r>
        <w:rPr>
          <w:rFonts w:ascii="Times New Roman;sans-serif" w:hAnsi="Times New Roman;sans-serif"/>
          <w:b w:val="false"/>
          <w:color w:val="000000"/>
          <w:sz w:val="20"/>
          <w:shd w:fill="FFFFFF" w:val="clear"/>
        </w:rPr>
        <w:t>tely 660 patents global</w:t>
      </w:r>
      <w:r>
        <w:rPr>
          <w:rFonts w:ascii="Times New Roman;sans-serif" w:hAnsi="Times New Roman;sans-serif"/>
          <w:b w:val="false"/>
          <w:color w:val="000000"/>
          <w:sz w:val="20"/>
        </w:rPr>
        <w:t>ly.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&amp; Launches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i/>
          <w:color w:val="000000"/>
          <w:sz w:val="20"/>
          <w:u w:val="single"/>
        </w:rPr>
        <w:t>FF 91 Launch:</w:t>
      </w:r>
      <w:r>
        <w:rPr>
          <w:color w:val="000000"/>
        </w:rPr>
        <w:t xml:space="preserve"> </w:t>
      </w:r>
      <w:r>
        <w:rPr>
          <w:rFonts w:ascii="Times New Roman;sans-serif" w:hAnsi="Times New Roman;sans-serif"/>
          <w:b w:val="false"/>
          <w:color w:val="000000"/>
          <w:sz w:val="20"/>
        </w:rPr>
        <w:t>We believe that the FF 91 Futurist (the "FF 91," "FF 91 Futurist," or "FF 91 2.0 Futurist Alliance") is the first ultra-luxury electric vehicle to offer a highly-personalized, fully-connected user experience for driver and passengers. We started production on the first FF 91 Futurist and delivered the first FF 91 2.0 Futurist Alliance in 2023.</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i/>
          <w:color w:val="000000"/>
          <w:sz w:val="20"/>
          <w:u w:val="single"/>
        </w:rPr>
        <w:t>Vehicle Pipeline:</w:t>
      </w:r>
      <w:r>
        <w:rPr>
          <w:color w:val="000000"/>
        </w:rPr>
        <w:t xml:space="preserve"> </w:t>
      </w:r>
      <w:r>
        <w:rPr>
          <w:rFonts w:ascii="Times New Roman;sans-serif" w:hAnsi="Times New Roman;sans-serif"/>
          <w:b w:val="false"/>
          <w:color w:val="000000"/>
          <w:sz w:val="20"/>
        </w:rPr>
        <w:t>Our planned B2C passenger vehicle pipeline includes the FF 91 series, plus the new FX Series (FX 5, FX 6, and FX Super One).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Manufacturing &amp; Distribution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i/>
          <w:color w:val="000000"/>
          <w:sz w:val="20"/>
          <w:u w:val="single"/>
        </w:rPr>
        <w:t>FF Series Manufacturing:</w:t>
      </w:r>
      <w:r>
        <w:rPr>
          <w:color w:val="000000"/>
        </w:rPr>
        <w:t xml:space="preserve"> </w:t>
      </w:r>
      <w:r>
        <w:rPr>
          <w:rFonts w:ascii="Times New Roman;sans-serif" w:hAnsi="Times New Roman;sans-serif"/>
          <w:b w:val="false"/>
          <w:color w:val="000000"/>
          <w:sz w:val="20"/>
        </w:rPr>
        <w:t>The FF 91 Series is currently being manufactured in FF ieFactory California.</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i/>
          <w:color w:val="000000"/>
          <w:sz w:val="20"/>
          <w:u w:val="single"/>
        </w:rPr>
        <w:t>FX Series Manufacturing:</w:t>
      </w:r>
      <w:r>
        <w:rPr>
          <w:color w:val="000000"/>
        </w:rPr>
        <w:t xml:space="preserve"> </w:t>
      </w:r>
      <w:r>
        <w:rPr>
          <w:rFonts w:ascii="Times New Roman;sans-serif" w:hAnsi="Times New Roman;sans-serif"/>
          <w:b w:val="false"/>
          <w:color w:val="000000"/>
          <w:sz w:val="20"/>
        </w:rPr>
        <w:t>Certain models of FX Series are planned to be manufactured in FF ieFactory California.</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i/>
          <w:color w:val="000000"/>
          <w:sz w:val="20"/>
          <w:u w:val="single"/>
        </w:rPr>
        <w:t>Global Availability:</w:t>
      </w:r>
      <w:r>
        <w:rPr>
          <w:color w:val="000000"/>
        </w:rPr>
        <w:t xml:space="preserve"> </w:t>
      </w:r>
      <w:r>
        <w:rPr>
          <w:rFonts w:ascii="Times New Roman;sans-serif" w:hAnsi="Times New Roman;sans-serif"/>
          <w:b w:val="false"/>
          <w:color w:val="000000"/>
          <w:sz w:val="20"/>
        </w:rPr>
        <w:t>All of our vehicles are expected to be available for sale in the U.S. and the Middle East, with potential expansion to China and European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lineRule="auto" w:line="288" w:before="160" w:after="283"/>
        <w:ind w:left="0" w:right="0" w:firstLine="543"/>
        <w:jc w:val="both"/>
        <w:rPr>
          <w:rFonts w:ascii="Times New Roman;sans-serif" w:hAnsi="Times New Roman;sans-serif"/>
          <w:b w:val="false"/>
          <w:color w:val="000000"/>
          <w:sz w:val="20"/>
        </w:rPr>
      </w:pPr>
      <w:r>
        <w:rPr>
          <w:rFonts w:ascii="Times New Roman;sans-serif" w:hAnsi="Times New Roman;sans-serif"/>
          <w:b w:val="false"/>
          <w:color w:val="000000"/>
          <w:sz w:val="20"/>
        </w:rPr>
        <w:t>From January 1, 2025, through the filing date, we achieved key operational and financing milestones. Below is a summary of significant events by category.</w:t>
      </w:r>
    </w:p>
    <w:p>
      <w:pPr>
        <w:pStyle w:val="TextBody"/>
        <w:bidi w:val="0"/>
        <w:spacing w:lineRule="auto" w:line="288" w:before="1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Strategic Operations and Product Development</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In January 2025, we unveiled the FX Super One concept, an AI-powered MPV, expanding our FX lineup, which also includes th</w:t>
      </w:r>
      <w:r>
        <w:rPr>
          <w:rFonts w:ascii="Times New Roman;sans-serif" w:hAnsi="Times New Roman;sans-serif"/>
          <w:b w:val="false"/>
          <w:color w:val="000000"/>
          <w:sz w:val="20"/>
        </w:rPr>
        <w:t>e FX 5 and FX 6 targeting $20,000–$50,000 segments. We targeted initial production by year-end 2025, contingent on funding.</w:t>
      </w:r>
    </w:p>
    <w:p>
      <w:pPr>
        <w:pStyle w:val="TextBody"/>
        <w:bidi w:val="0"/>
        <w:spacing w:lineRule="auto" w:line="288" w:before="40" w:after="283"/>
        <w:ind w:left="0" w:right="0" w:hanging="360"/>
        <w:jc w:val="both"/>
        <w:rPr/>
      </w:pPr>
      <w:r>
        <w:rPr>
          <w:color w:val="000000"/>
        </w:rPr>
        <w:t xml:space="preserve">• </w:t>
      </w:r>
      <w:r>
        <w:rPr>
          <w:rFonts w:ascii="Times New Roman;sans-serif" w:hAnsi="Times New Roman;sans-serif"/>
          <w:b w:val="false"/>
          <w:color w:val="000000"/>
          <w:sz w:val="20"/>
        </w:rPr>
        <w:t>In March 2025, we plan to launch our first FX vehicle by year-end 2025 with refundable orders starting in Q2. We benchmarked our second FX vehicle against the Toyota RAV4 and shipped two FX 6 prototypes to the U.S. for testing.</w:t>
      </w:r>
    </w:p>
    <w:p>
      <w:pPr>
        <w:pStyle w:val="TextBody"/>
        <w:bidi w:val="0"/>
        <w:spacing w:lineRule="auto" w:line="288" w:before="40" w:after="283"/>
        <w:ind w:left="0" w:right="0" w:hanging="360"/>
        <w:jc w:val="both"/>
        <w:rPr/>
      </w:pPr>
      <w:r>
        <w:rPr>
          <w:color w:val="000000"/>
        </w:rPr>
        <w:t xml:space="preserve">• </w:t>
      </w:r>
      <w:r>
        <w:rPr>
          <w:rFonts w:ascii="Times New Roman;sans-serif" w:hAnsi="Times New Roman;sans-serif"/>
          <w:b w:val="false"/>
          <w:color w:val="000000"/>
          <w:sz w:val="20"/>
        </w:rPr>
        <w:t>In March 2025, we hosted FF Open AI Day and unveiled our Personalized AI and Bespoke AI systems. These innovations are part of our All-AI Mobility Ecosystem. Personalized AI is designed to learn and adapt to user preferences across vehicle controls, comfort, and interaction styles. Bespoke AI delivers co-created, premium user interfaces and intelligent services tailored for luxury users, acting as a digital concierge. Both systems are built on large-model AI architecture and are planned for integration into the FF 91 and FX series.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 March 2025, Future AIHER AI Hybrid Extended-Range Electric Powertrain System Inc. was incorporated in the State of Delaware as a subsidiary of the Company. This subsidiary focuses on the design and development of AI hybrid extended-range electric powertrain systems.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 April 2025, we initiated a comprehensive company-wide organizational and governance overhaul aimed at enhancing execution efficiency and value creation. The initiative, publicly launched through a company-wide town hall, was designed to eliminate historical inefficiencies, increase strategic clarity, and improve performance across operations, amid ongoing external uncertainty and market pressure.</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 April 2025, our FX CEO and team drove the FF 91 to Washington, D.C., for policy meetings with White House officials and showcased the FX Super One.</w:t>
      </w:r>
    </w:p>
    <w:p>
      <w:pPr>
        <w:pStyle w:val="TextBody"/>
        <w:bidi w:val="0"/>
        <w:spacing w:lineRule="auto" w:line="288" w:before="1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Capital Raising &amp; Financing Agreements</w:t>
      </w:r>
    </w:p>
    <w:p>
      <w:pPr>
        <w:pStyle w:val="TextBody"/>
        <w:bidi w:val="0"/>
        <w:spacing w:lineRule="auto" w:line="288" w:before="1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In December 2024, we secured approximately </w:t>
      </w:r>
      <w:r>
        <w:rPr>
          <w:rFonts w:ascii="Times New Roman;sans-serif" w:hAnsi="Times New Roman;sans-serif"/>
          <w:b w:val="false"/>
          <w:color w:val="000000"/>
          <w:sz w:val="20"/>
        </w:rPr>
        <w:t>$30.0 million</w:t>
      </w:r>
      <w:r>
        <w:rPr>
          <w:color w:val="000000"/>
          <w:shd w:fill="FFFFFF" w:val="clear"/>
        </w:rPr>
        <w:t xml:space="preserve"> </w:t>
      </w:r>
      <w:r>
        <w:rPr>
          <w:rFonts w:ascii="Times New Roman;sans-serif" w:hAnsi="Times New Roman;sans-serif"/>
          <w:b w:val="false"/>
          <w:color w:val="000000"/>
          <w:sz w:val="20"/>
          <w:shd w:fill="FFFFFF" w:val="clear"/>
        </w:rPr>
        <w:t>in cash financing commitments for the purchase of unsecured convertible notes (the “</w:t>
      </w:r>
      <w:r>
        <w:rPr>
          <w:rFonts w:ascii="Times New Roman;sans-serif" w:hAnsi="Times New Roman;sans-serif"/>
          <w:b w:val="false"/>
          <w:color w:val="000000"/>
          <w:sz w:val="20"/>
        </w:rPr>
        <w:t>2024 Unsecured SPA Notes”)</w:t>
      </w:r>
      <w:r>
        <w:rPr>
          <w:rFonts w:ascii="Times New Roman;sans-serif" w:hAnsi="Times New Roman;sans-serif"/>
          <w:b w:val="false"/>
          <w:color w:val="000000"/>
          <w:sz w:val="20"/>
          <w:shd w:fill="FFFFFF" w:val="clear"/>
        </w:rPr>
        <w:t>. Each investor (the “</w:t>
      </w:r>
      <w:r>
        <w:rPr>
          <w:rFonts w:ascii="Times New Roman;sans-serif" w:hAnsi="Times New Roman;sans-serif"/>
          <w:b w:val="false"/>
          <w:color w:val="000000"/>
          <w:sz w:val="20"/>
        </w:rPr>
        <w:t xml:space="preserve">2024 Unsecured SPA Investors”) </w:t>
      </w:r>
      <w:r>
        <w:rPr>
          <w:rFonts w:ascii="Times New Roman;sans-serif" w:hAnsi="Times New Roman;sans-serif"/>
          <w:b w:val="false"/>
          <w:color w:val="000000"/>
          <w:sz w:val="20"/>
          <w:shd w:fill="FFFFFF" w:val="clear"/>
        </w:rPr>
        <w:t xml:space="preserve">also received a 2024 Unsecured Incremental Warrant to fund, at the </w:t>
      </w:r>
      <w:r>
        <w:rPr>
          <w:rFonts w:ascii="Times New Roman;sans-serif" w:hAnsi="Times New Roman;sans-serif"/>
          <w:b w:val="false"/>
          <w:color w:val="000000"/>
          <w:sz w:val="20"/>
        </w:rPr>
        <w:t xml:space="preserve">2024 Unsecured SPA Investor’s </w:t>
      </w:r>
      <w:r>
        <w:rPr>
          <w:rFonts w:ascii="Times New Roman;sans-serif" w:hAnsi="Times New Roman;sans-serif"/>
          <w:b w:val="false"/>
          <w:color w:val="000000"/>
          <w:sz w:val="20"/>
          <w:shd w:fill="FFFFFF" w:val="clear"/>
        </w:rPr>
        <w:t xml:space="preserve">sole discretion, additional notes up to the original principal balance the of </w:t>
      </w:r>
      <w:r>
        <w:rPr>
          <w:rFonts w:ascii="Times New Roman;sans-serif" w:hAnsi="Times New Roman;sans-serif"/>
          <w:b w:val="false"/>
          <w:color w:val="000000"/>
          <w:sz w:val="20"/>
        </w:rPr>
        <w:t>2024 Unsecured SPA Notes purchased by such 2024 Unsecured SPA Investor</w:t>
      </w:r>
      <w:r>
        <w:rPr>
          <w:rFonts w:ascii="Times New Roman;sans-serif" w:hAnsi="Times New Roman;sans-serif"/>
          <w:b w:val="false"/>
          <w:color w:val="000000"/>
          <w:sz w:val="20"/>
          <w:shd w:fill="FFFFFF" w:val="clear"/>
        </w:rPr>
        <w:t>. These funds are intended to support our core business operations and the ongoing ramp-up of</w:t>
      </w:r>
      <w:r>
        <w:rPr>
          <w:color w:val="000000"/>
        </w:rPr>
        <w:t xml:space="preserve"> </w:t>
      </w:r>
      <w:r>
        <w:rPr>
          <w:rFonts w:ascii="Times New Roman;sans-serif" w:hAnsi="Times New Roman;sans-serif"/>
          <w:b w:val="false"/>
          <w:color w:val="000000"/>
          <w:sz w:val="20"/>
        </w:rPr>
        <w:t>the FX strategy. On January 28, 2025, we entered into a letter agreement with certain of the 2024 Unsecured SPA Investors. Pursuant to the letter agreement, prior to our receipt of stockholders’ approval, for the issuance of the Unsecured 2024 SPA Notes, 2024 Unsecured SPA Warrants and 2024 Unsecured Incremental Warrants, such investors agreed not to convert any outstanding 2024 Unsecured SPA Notes at a conversion price less than $1.16, the initial conversion price of the 2024 Unsecured SPA Notes, and we agreed to issue, following receipt of such stockholders’ approval, to such investors who convert any U2024 Unsecured SPA Notes at the $1.16 conversion price prior to our receipt of stockholders’ approval, additional shares of Class A Common Stock as a true-up.</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 January 2025, we received $30 million in previously committed financing to support FF 91 deliveries and FX program development.</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 March 2025, we disclosed that our total capital raised since September 2024 exceeded $100 million, with positive net cash flow reported for Q3 and Q4 2024.</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Exchange Compliance &amp; Stockholder and Corporate Actions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 January 2025, we filed a filed a Certificate of Designation of Preferences, Rights and Limitations of Series A Preferred Stock (the “Series A Certificate of Designation”) with the Secretary of State of the State of Delaware. The Series A Certificate of Designation designated one share of our Preferred Stock as Series A Preferred Stock, and established and designated the preferences, rights and limitations thereof. The Series A Preferred Stock is not convertible into any other series of stock, but votes at a rate of 3,000,000,000 votes per share.</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 xml:space="preserve">In January 2025, we issued one share of Series A Preferred Stock to our Global Co-CEO, Matthias Aydt for the purchase price of $100.00. </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 xml:space="preserve">In March 2025, we formally changed our Nasdaq ticker symbol to 'FFAI' to reflect our company’s rebranding around AI mobility. This symbol change reinforced our strategic emphasis on integrating artificial intelligence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and business ecosystem.</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 March 2025, we disclosed that our total capital raised since September 2024 exceeded $100 million.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 April 2025, we confirmed that we will not pursue a reverse stock split unless required to maintain Nasdaq compliance.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Governance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In February 2025, the consolidated class action lawsuit filed in Delaware was dismissed with prejudice, resolving all litigation of this type.</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 March 2025, Jerry Wang was promoted to President of the Company. At the time, he reported to the sole Global CEO. Following the April 2025 appointment of Yueting Jia as Global Co-CEO (see below), Mr. Wang now reports to both Global Co-CEOs as part of the Company’s current dual-CEO leadership structure. His role continues to focus on overseeing day-to-day business operations and driving alignment across global functions.</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 April 2025, Yueting Jia, our founder, was promoted to Global Co-Chief Executive Officer (“Global Co-CEO”). Mr. Jia will co-lead the Company alongside Matthias Aydt, our other Global Co-CEO, with a focus on advancing user ecosystem development, supply chain management, EV R&amp;D, finance, legal, and our China and Middle East operations. The appointment aligns with our broader strategic initiatives to enhance execution efficiency, strengthen our AI mobility leadership, and drive long-term shareholder value.</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In April 2025, we confirmed that we will not pursue a reverse stock split unless required to maintain Nasdaq compliance.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Supply Chain Exposure and Tariff Risk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 significant portion of the Company’s direct material purchases were sourced from suppliers based in China. This concentration presents an ongoing risk given elevated U.S. import tariffs on electric vehicle components. While the Company’s cost of goods sold was not materially affected for the three months ended March 31, 2025, due to limited production volume and the use of existing inventory, continued reliance on China-based sourcing may result in higher input costs and materially impact the Company’s cost structure as production scales.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firstLine="504"/>
        <w:jc w:val="both"/>
        <w:rPr/>
      </w:pPr>
      <w:r>
        <w:rPr>
          <w:rFonts w:ascii="Times New Roman;sans-serif" w:hAnsi="Times New Roman;sans-serif"/>
          <w:b w:val="false"/>
          <w:color w:val="000000"/>
          <w:sz w:val="20"/>
          <w:shd w:fill="FFFFFF" w:val="clear"/>
        </w:rPr>
        <w:t>We operate in one operating segment and one reportable segment. Our</w:t>
      </w:r>
      <w:r>
        <w:rPr>
          <w:color w:val="000000"/>
        </w:rPr>
        <w:t xml:space="preserve"> </w:t>
      </w:r>
      <w:r>
        <w:rPr>
          <w:rFonts w:ascii="Times New Roman;sans-serif" w:hAnsi="Times New Roman;sans-serif"/>
          <w:b w:val="false"/>
          <w:color w:val="000000"/>
          <w:sz w:val="20"/>
        </w:rPr>
        <w:t xml:space="preserve">Global Co-CEOs, acting jointly serving as co-Chief Operating Decision Makers (“CODMs”), regularly evaluate our financial performance using consolidated financial information at the total-company level. The CODMs receive regular financial and operational reporting that focuses primarily on our consolidated loss from operations, overall cash flows, liquidity, and strategic initiatives.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Management has identified Loss from operations, as presented in the Company's Unaudited Condensed Consolidated Statements of Operations and Comprehensive Loss, as the primary measure used by the CODMs to evaluate the performance of the business and allocate resources. </w:t>
      </w:r>
      <w:r>
        <w:rPr>
          <w:rFonts w:ascii="Times New Roman;sans-serif" w:hAnsi="Times New Roman;sans-serif"/>
          <w:b w:val="false"/>
          <w:color w:val="000000"/>
          <w:sz w:val="20"/>
          <w:shd w:fill="FFFFFF" w:val="clear"/>
        </w:rPr>
        <w:t xml:space="preserve">This measure is critical for a going concern that must carefully manage its cash outflows, particularly given that the timing of its cash inflows is influenced by external investor decisions. We define “significant segment expense” as controllable operating costs that are regularly provided to and reviewed by management, which include the expenses presented in the </w:t>
      </w:r>
      <w:r>
        <w:rPr>
          <w:rFonts w:ascii="Times New Roman;sans-serif" w:hAnsi="Times New Roman;sans-serif"/>
          <w:b w:val="false"/>
          <w:color w:val="000000"/>
          <w:sz w:val="20"/>
        </w:rPr>
        <w:t>Unaudited Condensed Consolidated Statements of Operations and Comprehensive Loss as</w:t>
      </w:r>
      <w:r>
        <w:rPr>
          <w:color w:val="000000"/>
          <w:shd w:fill="FFFFFF" w:val="clear"/>
        </w:rPr>
        <w:t xml:space="preserve"> </w:t>
      </w:r>
      <w:r>
        <w:rPr>
          <w:rFonts w:ascii="Times New Roman;sans-serif" w:hAnsi="Times New Roman;sans-serif"/>
          <w:b w:val="false"/>
          <w:color w:val="000000"/>
          <w:sz w:val="20"/>
        </w:rPr>
        <w:t xml:space="preserve">Cost of revenue, Research and development, Sales and marketing, and General and administrative.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Management closely tracks its expenditure on these key expense categories through regular reviews of cash balances, near</w:t>
        <w:noBreakHyphen/>
        <w:t xml:space="preserve">term cash flow projections, monthly management reports, and project management reports. The CODMs, work in close collaboration with our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 This rigorous oversight supports our strategic objectives to focus </w:t>
      </w:r>
      <w:r>
        <w:rPr>
          <w:rFonts w:ascii="Times New Roman;sans-serif" w:hAnsi="Times New Roman;sans-serif"/>
          <w:b w:val="false"/>
          <w:color w:val="000000"/>
          <w:sz w:val="20"/>
        </w:rPr>
        <w:t xml:space="preserve">business activities on production, sales, and leasing of its FF 91 vehicles, </w:t>
      </w:r>
      <w:r>
        <w:rPr>
          <w:rFonts w:ascii="Times New Roman;sans-serif" w:hAnsi="Times New Roman;sans-serif"/>
          <w:b w:val="false"/>
          <w:color w:val="000000"/>
          <w:sz w:val="20"/>
          <w:shd w:fill="FFFFFF" w:val="clear"/>
        </w:rPr>
        <w:t>and the planned launch of the FX Series vehicles.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In addition, the Company defines “other segment items” </w:t>
      </w:r>
      <w:r>
        <w:rPr>
          <w:rFonts w:ascii="Times New Roman;sans-serif" w:hAnsi="Times New Roman;sans-serif"/>
          <w:b w:val="false"/>
          <w:color w:val="000000"/>
          <w:sz w:val="20"/>
        </w:rPr>
        <w:t>as other operating expense adjustments that arise from lease or other impairments, gains and losses on the sale or disposition of its fixed assets, or other market</w:t>
        <w:noBreakHyphen/>
        <w:t>driven factors that impact Loss from operations presented in the Unaudited Condensed Consolidated Statements of Operations and Comprehensive Loss and are not part of our recurring and controllable operating costs</w:t>
      </w:r>
      <w:r>
        <w:rPr>
          <w:rFonts w:ascii="Times New Roman;sans-serif" w:hAnsi="Times New Roman;sans-serif"/>
          <w:b w:val="false"/>
          <w:color w:val="000000"/>
          <w:sz w:val="20"/>
          <w:shd w:fill="FFFFFF" w:val="clear"/>
        </w:rPr>
        <w:t>. By segregating these “Other Segment Items” from “loss from operations,” we provide investors with a clear view of the expenses that management can directly influence versus those driven by external factors.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potentially reportable items, such as separate automotive sales and leasing revenues (currently immaterial), geographic information, depreciation expense, interest expense, or other segment-specific activities, are not separately reviewed by the CODMs. Accordingly, these detailed segment components do not influence the CODM's decision-making or resource allocation processes and thus are not separately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and has elected to take advantage of the benefits of the extended transition period for new or revised financial accounting standards.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Key Factors Affecting Operating Results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and future success depend on several factors that present significant opportunities but also pose risks and challenges including those discussed below and, in the section, titled “Risk Factors” in Item 1A of the Form 10-K, filed on March 31, 2025.</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Production and Operations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operating costs that will impact our future profitability, including R&amp;D expenses as we introduce new models and improve existing models; capital expenditures for the expansion of our manufacturing capacities; additional operating costs and expenses for production ramp-up; raw material procurement costs; general and administrative expenses as we scale our operations; interest expense from debt financing activities; and selling and distribution expenses as we builds our brand and markets our vehicles. We may incur significant costs in connection with our services as we deliver at scale the FF 91 Futurist, including servicing and warranty costs. Our ability to become profitable in the future will depend on our ability to successfully market our vehicles and control our costs.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shd w:fill="FFFFFF" w:val="clear"/>
        </w:rPr>
        <w:t>March 31, 2025</w:t>
      </w:r>
      <w:r>
        <w:rPr>
          <w:rFonts w:ascii="Times New Roman;sans-serif" w:hAnsi="Times New Roman;sans-serif"/>
          <w:b w:val="false"/>
          <w:color w:val="000000"/>
          <w:sz w:val="20"/>
        </w:rPr>
        <w:t xml:space="preserve">, we have sold six and leased eleven vehicles. As a result, we will require substantial additional capital to develop products and fund operations for the foreseeable future. Until we can generate sufficient revenue from product sales, we will fund our ongoing operations through a combination of various funding and financing alternatives, including equipment financing of the FF ieFactory California, secured syndicated debt financing, convertible notes, working capital loans, and equity offerings, among other options. The particular funding mechanisms, terms, timing, and amounts are dependent on our assessment of opportunities available in the marketplace and the circumstances of the business at the relevant time. Any delays in the successful completion of its FF ieFactory California will impact our ability to generate revenue. For additional discussion of the substantial doubt about our ability to continue as a going concern, see Note 2, </w:t>
      </w:r>
      <w:r>
        <w:rPr>
          <w:rFonts w:ascii="Times New Roman;sans-serif" w:hAnsi="Times New Roman;sans-serif"/>
          <w:b w:val="false"/>
          <w:i/>
          <w:color w:val="000000"/>
          <w:sz w:val="20"/>
        </w:rPr>
        <w:t>Liquidity and Capital Resources and Going Concern</w:t>
      </w:r>
      <w:r>
        <w:rPr>
          <w:color w:val="000000"/>
        </w:rPr>
        <w:t xml:space="preserve"> </w:t>
      </w:r>
      <w:r>
        <w:rPr>
          <w:rFonts w:ascii="Times New Roman;sans-serif" w:hAnsi="Times New Roman;sans-serif"/>
          <w:b w:val="false"/>
          <w:color w:val="000000"/>
          <w:sz w:val="20"/>
        </w:rPr>
        <w:t>in the notes to the Unaudited Condensed Consolidated Financial Statements and for further details on liquidity, please see the “Liquidity and Capital Resources” section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Revenue and Cost of Revenue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Sales Revenue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began the production of our FF 91 Futurist in March 2023 and started making deliveries to customers in August 2023 and have leased one vehicle during the three months ended March 31, 2025.</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Automotive sales revenue includes revenues related to deliveries of new vehicles, and specific other features and services including home charger, charger installation, twenty-four-seven roadside assistance, OTA software updates, internet connectivity and destination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on automotive sales upon delivery to the customer, which is when control of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obligations related to automotive sales, we estimate the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Vehicle contracts do not contain a significant financing component.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immaterial promises is combined with the vehicle performance obligation and recognized when the product has been transferred. We accrue costs to transfer these immaterial goods and services regardless of whether they have been transferred. </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In certain circumstances, we provide customers with a residual value guarantee which may or may not be exercised in the future. The impact of such residual value guarantees was immaterial to our Unaudited Condensed Consolidated Statements of Operations and Comprehensive Loss for the </w:t>
      </w:r>
      <w:r>
        <w:rPr>
          <w:rFonts w:ascii="Times New Roman;sans-serif" w:hAnsi="Times New Roman;sans-serif"/>
          <w:b w:val="false"/>
          <w:color w:val="000000"/>
          <w:sz w:val="20"/>
        </w:rPr>
        <w:t>three months ended March 31, 2025</w:t>
      </w:r>
      <w:r>
        <w:rPr>
          <w:rFonts w:ascii="Times New Roman;sans-serif" w:hAnsi="Times New Roman;sans-serif"/>
          <w:b w:val="false"/>
          <w:color w:val="000000"/>
          <w:sz w:val="20"/>
          <w:shd w:fill="FFFFFF" w:val="clear"/>
        </w:rPr>
        <w:t xml:space="preserve">.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and may continue to enter into co-creator consulting agreements with our customers under which customers share feedback, driving data, ideas, experiences with its engineers, social media posts and other promotions in exchange for specified fees. We consider these arrangements to be consideration payable to a customer. The consideration paid to the customer relates to marketing and R&amp;D services that are distinct and could be purchased by us from a separate third-party. We perform an analysis in which we maximize the use of observable market inputs to ascribe a fair value to these services and record the fair value of these services to sales and marketing expense or R&amp;D expense, as applicable. Any consideration payable to a customer that is above the fair value of the distinct services being provided is treated as a reduction of revenue.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Automotive Leasing Revenue</w:t>
      </w:r>
    </w:p>
    <w:p>
      <w:pPr>
        <w:pStyle w:val="TextBody"/>
        <w:bidi w:val="0"/>
        <w:spacing w:lineRule="auto" w:line="288" w:before="160" w:after="283"/>
        <w:ind w:left="0" w:right="0" w:firstLine="5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 from Operating Leasing Program</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outstanding leases under our vehicle operating leasing program in the U.S. Qualifying customers are permitted to lease a vehicle for up to 36 months. At the end of the lease term, customers are generally required to return the vehicles to us. We account for these leasing transactions as operating leases. We record leasing revenues as automotive leasing revenue on a straight-line basis over the contractual term, and we record the depreciation of these vehicles as cost of automotive leasing revenue. As of March 31, 2025, deferred lease-related upfront payments which will be recognized on a straight-line basis over the contractual terms of the individual leases were immaterial. Our policy is to exclude taxes collected from a customer from the transaction price of automotive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54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 from Sales-Type Leasing Program</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outstanding leases accounted for as sales-type leases under accounting standards codification (“ASC”) 842, Leases (“ASC 842”). Customers have the right to purchase the vehicle at the end of the lease term, which is usually 36 months. A customer qualifies under this program if the purchase option is reasonably certain to be exercised, and we therefore expect the customer to take title to the vehicle at the end of the lease term after making all contractual payments. We recognize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we recognize the lease payments as deposit liability and do not derecognize the leased vehicle until such point that collectability of lease payments becomes probable.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Customer Deposits and Deferred Revenue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Our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 Customer deposits were $3.0 million and $3.0 million as of </w:t>
      </w:r>
      <w:r>
        <w:rPr>
          <w:rFonts w:ascii="Times New Roman;sans-serif" w:hAnsi="Times New Roman;sans-serif"/>
          <w:b w:val="false"/>
          <w:color w:val="000000"/>
          <w:sz w:val="20"/>
          <w:shd w:fill="FFFFFF" w:val="clear"/>
        </w:rPr>
        <w:t>March 31, 2025</w:t>
      </w:r>
      <w:r>
        <w:rPr>
          <w:color w:val="000000"/>
        </w:rPr>
        <w:t xml:space="preserve"> </w:t>
      </w:r>
      <w:r>
        <w:rPr>
          <w:rFonts w:ascii="Times New Roman;sans-serif" w:hAnsi="Times New Roman;sans-serif"/>
          <w:b w:val="false"/>
          <w:color w:val="000000"/>
          <w:sz w:val="20"/>
        </w:rPr>
        <w:t>and December 31, 2024, respectively. When vehicle purchase agreements are executed, the consideration for the vehicle and any accompanying products and services must be paid in advance prior to our transfer of the products or services. Such advance payments are considered non-refundable, and we defer revenue related to any products or services that are not yet transferred.</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Deferred revenue is equivalent to the total transaction price allocated to the performance obligations that are unsatisfied, or partially unsatisfied, as of the balance sheet date. </w:t>
      </w:r>
      <w:r>
        <w:rPr>
          <w:rFonts w:ascii="Times New Roman;sans-serif" w:hAnsi="Times New Roman;sans-serif"/>
          <w:b w:val="false"/>
          <w:color w:val="000000"/>
          <w:sz w:val="20"/>
          <w:shd w:fill="FFFFFF" w:val="clear"/>
        </w:rPr>
        <w:t>Deferred revenue related to products and services w</w:t>
      </w:r>
      <w:r>
        <w:rPr>
          <w:rFonts w:ascii="Times New Roman;sans-serif" w:hAnsi="Times New Roman;sans-serif"/>
          <w:b w:val="false"/>
          <w:color w:val="000000"/>
          <w:sz w:val="20"/>
        </w:rPr>
        <w:t>as immaterial a</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of March 31, 2025 and December 31, 2024.</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Automotive Sales Revenue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Automotive Leasing Program</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automotive leasing revenue includes the depreciation of operating lease vehicles, cost of goods sold associated with direct sales-type leases and warranty expense related to leased vehicles. </w:t>
      </w:r>
    </w:p>
    <w:p>
      <w:pPr>
        <w:pStyle w:val="TextBody"/>
        <w:bidi w:val="0"/>
        <w:spacing w:lineRule="auto" w:line="288" w:before="160" w:after="283"/>
        <w:jc w:val="both"/>
        <w:rPr>
          <w:rFonts w:ascii="Times New Roman;sans-serif" w:hAnsi="Times New Roman;sans-serif"/>
          <w:b w:val="false"/>
          <w:i/>
          <w:color w:val="000000"/>
          <w:sz w:val="19"/>
        </w:rPr>
      </w:pPr>
      <w:r>
        <w:rPr>
          <w:rFonts w:ascii="Times New Roman;sans-serif" w:hAnsi="Times New Roman;sans-serif"/>
          <w:b w:val="false"/>
          <w:i/>
          <w:color w:val="000000"/>
          <w:sz w:val="19"/>
        </w:rPr>
        <w:t>Warranties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activities represent a significant part of our business. Our R&amp;D efforts focus on the design and development of our electric vehicles and continuing to prepare our prototype electric vehicles to exceed industry standards for compliance, innovation, and performance. R&amp;D expenses consist of personnel-related costs (including salaries, bonuses, benefits, and stock-based compensation) for our employees focused on R&amp;D activities, other related costs, depreciation, R&amp;D services provided by co-creators, and an allocation of overhead. We expect R&amp;D expenses to decrease in the near future as we substantially have completed R&amp;D activities related to the FF 91, offset by increases in R&amp;D expenses related to FX Series vehicles.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primarily of personnel-related costs (including salaries, bonuses, benefits, and stock-based compensation) for our employees focused on sales and marketing, costs associated with sales and marketing activities, marketing services provided by co-creators, and an allocation of overhead. Marketing activities are those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rPr>
        <w:t>introducing our brand, our electric vehicles, and our electric vehicle prototypes to the market. We expect Sales and marketing expenses to continue to increase as we bring our electric vehicles to market and seek to generate additional sales.</w:t>
      </w:r>
      <w:r>
        <w:rPr>
          <w:color w:val="000000"/>
        </w:rPr>
        <w: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our estimates of future legal settlements. These expenses also include certain third-party consulting services, certain facilities costs, and any corporate overhead costs not allocated to other expense categories. We expect our general and administrative expenses to increase as we continue to grow our business.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from Disposal of Property, Plant and Equipment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(gain) on disposal on property, plant, and equipment relates to the abandonment of certain FF 91 Futurist program construction in progress assets, primarily vendor tooling, machinery, and equipment, due to the redesign of the related FF 91 components and implementation of our cost reduction program. Charges associated with disposals are recognized within operating expenses in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i/>
          <w:color w:val="000000"/>
          <w:sz w:val="20"/>
        </w:rPr>
        <w:t>Non-operating Expenses</w:t>
      </w:r>
      <w:r>
        <w:rPr>
          <w:color w:val="000000"/>
        </w:rPr>
        <w: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and Third Party) Notes Payable, Warrant Liabilities, and Derivatives Call Options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 consists of the losses and gains as a result of fair value measurements of certain notes payable, warrant liabilities, and other instruments which we record at fair value.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(Related Party and Third Party) Notes Payable</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Loss</w:t>
      </w:r>
      <w:r>
        <w:rPr>
          <w:color w:val="000000"/>
          <w:shd w:fill="FFFFFF" w:val="clear"/>
        </w:rPr>
        <w:t xml:space="preserve"> </w:t>
      </w:r>
      <w:r>
        <w:rPr>
          <w:rFonts w:ascii="Times New Roman;sans-serif" w:hAnsi="Times New Roman;sans-serif"/>
          <w:b w:val="false"/>
          <w:color w:val="000000"/>
          <w:sz w:val="20"/>
          <w:shd w:fill="FFFFFF" w:val="clear"/>
        </w:rPr>
        <w:t xml:space="preserve">on settlement of notes payable consists of losses resulting from the settlement of notes payable as part of our ongoing financing activities and losses incurred on modifications of our notes payable that qualify as an extinguishment pursuant to </w:t>
      </w:r>
      <w:r>
        <w:rPr>
          <w:rFonts w:ascii="Times New Roman;sans-serif" w:hAnsi="Times New Roman;sans-serif"/>
          <w:b w:val="false"/>
          <w:color w:val="000000"/>
          <w:sz w:val="20"/>
        </w:rPr>
        <w:t xml:space="preserve">ASC 470-50, </w:t>
      </w:r>
      <w:r>
        <w:rPr>
          <w:rFonts w:ascii="Times New Roman;sans-serif" w:hAnsi="Times New Roman;sans-serif"/>
          <w:b w:val="false"/>
          <w:i/>
          <w:color w:val="000000"/>
          <w:sz w:val="20"/>
        </w:rPr>
        <w:t>Debt–Modifications and Extinguishments</w:t>
      </w:r>
      <w:r>
        <w:rPr>
          <w:rFonts w:ascii="Times New Roman;sans-serif" w:hAnsi="Times New Roman;sans-serif"/>
          <w:b w:val="false"/>
          <w:color w:val="000000"/>
          <w:sz w:val="20"/>
          <w:shd w:fill="FFFFFF" w:val="clear"/>
        </w:rPr>
        <w:t>.</w:t>
      </w:r>
      <w:r>
        <w:rPr>
          <w:color w:val="000000"/>
        </w:rPr>
        <w: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(Related Party and Third Party)</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primarily consists of interest on outstanding notes payable not marked to fair value, capital leases, certain supplier payables, and vendor payables in trust. </w:t>
      </w:r>
    </w:p>
    <w:p>
      <w:pPr>
        <w:pStyle w:val="TextBody"/>
        <w:bidi w:val="0"/>
        <w:spacing w:lineRule="auto" w:line="288" w:before="160" w:after="283"/>
        <w:jc w:val="both"/>
        <w:rPr/>
      </w:pPr>
      <w:r>
        <w:rPr>
          <w:rFonts w:ascii="Times New Roman;sans-serif" w:hAnsi="Times New Roman;sans-serif"/>
          <w:b w:val="false"/>
          <w:i/>
          <w:color w:val="000000"/>
          <w:sz w:val="20"/>
        </w:rPr>
        <w:t>Other Expense, net</w:t>
      </w:r>
      <w:r>
        <w:rPr>
          <w:color w:val="000000"/>
        </w:rPr>
        <w:t>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We expect other expense to fluctuate as we continue to transact internationally.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Statements of Operations</w:t>
      </w:r>
    </w:p>
    <w:tbl>
      <w:tblPr>
        <w:tblW w:w="10205" w:type="dxa"/>
        <w:jc w:val="left"/>
        <w:tblInd w:w="0" w:type="dxa"/>
        <w:tblLayout w:type="fixed"/>
        <w:tblCellMar>
          <w:top w:w="28" w:type="dxa"/>
          <w:left w:w="28" w:type="dxa"/>
          <w:bottom w:w="28" w:type="dxa"/>
          <w:right w:w="28" w:type="dxa"/>
        </w:tblCellMar>
      </w:tblPr>
      <w:tblGrid>
        <w:gridCol w:w="2629"/>
        <w:gridCol w:w="2268"/>
        <w:gridCol w:w="2269"/>
        <w:gridCol w:w="109"/>
        <w:gridCol w:w="109"/>
        <w:gridCol w:w="109"/>
        <w:gridCol w:w="211"/>
        <w:gridCol w:w="793"/>
        <w:gridCol w:w="109"/>
        <w:gridCol w:w="109"/>
        <w:gridCol w:w="109"/>
        <w:gridCol w:w="109"/>
        <w:gridCol w:w="211"/>
        <w:gridCol w:w="793"/>
        <w:gridCol w:w="109"/>
        <w:gridCol w:w="159"/>
      </w:tblGrid>
      <w:tr>
        <w:trPr/>
        <w:tc>
          <w:tcPr>
            <w:tcW w:w="262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on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warrant liabilities, and derivative call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warrant liabilities, and derivative call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6283" w:type="dxa"/>
        <w:jc w:val="left"/>
        <w:tblInd w:w="0" w:type="dxa"/>
        <w:tblLayout w:type="fixed"/>
        <w:tblCellMar>
          <w:top w:w="28" w:type="dxa"/>
          <w:left w:w="28" w:type="dxa"/>
          <w:bottom w:w="28" w:type="dxa"/>
          <w:right w:w="28" w:type="dxa"/>
        </w:tblCellMar>
      </w:tblPr>
      <w:tblGrid>
        <w:gridCol w:w="407"/>
        <w:gridCol w:w="358"/>
        <w:gridCol w:w="359"/>
        <w:gridCol w:w="322"/>
        <w:gridCol w:w="712"/>
        <w:gridCol w:w="166"/>
        <w:gridCol w:w="166"/>
        <w:gridCol w:w="166"/>
        <w:gridCol w:w="166"/>
        <w:gridCol w:w="322"/>
        <w:gridCol w:w="391"/>
        <w:gridCol w:w="166"/>
        <w:gridCol w:w="109"/>
        <w:gridCol w:w="109"/>
        <w:gridCol w:w="109"/>
        <w:gridCol w:w="211"/>
        <w:gridCol w:w="466"/>
        <w:gridCol w:w="109"/>
        <w:gridCol w:w="109"/>
        <w:gridCol w:w="109"/>
        <w:gridCol w:w="109"/>
        <w:gridCol w:w="413"/>
        <w:gridCol w:w="413"/>
        <w:gridCol w:w="316"/>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$0.3 million for the three months ended March 31, 2025, compared to the same period in 2024. There was no automotive sales revenue for the three months ended March 31, 2025 and 2024. Automotive leasing revenue was $0.3 for the three months ended March 31, 2025 compared to an immaterial amount for the same period in 2024. Additionally, one vehicle was delivered during the three months ended March 31, 2025, compared to none for the same period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Revenue </w:t>
      </w:r>
    </w:p>
    <w:tbl>
      <w:tblPr>
        <w:tblW w:w="6132" w:type="dxa"/>
        <w:jc w:val="left"/>
        <w:tblInd w:w="0" w:type="dxa"/>
        <w:tblLayout w:type="fixed"/>
        <w:tblCellMar>
          <w:top w:w="28" w:type="dxa"/>
          <w:left w:w="28" w:type="dxa"/>
          <w:bottom w:w="28" w:type="dxa"/>
          <w:right w:w="28" w:type="dxa"/>
        </w:tblCellMar>
      </w:tblPr>
      <w:tblGrid>
        <w:gridCol w:w="505"/>
        <w:gridCol w:w="444"/>
        <w:gridCol w:w="445"/>
        <w:gridCol w:w="226"/>
        <w:gridCol w:w="772"/>
        <w:gridCol w:w="116"/>
        <w:gridCol w:w="116"/>
        <w:gridCol w:w="116"/>
        <w:gridCol w:w="116"/>
        <w:gridCol w:w="226"/>
        <w:gridCol w:w="772"/>
        <w:gridCol w:w="116"/>
        <w:gridCol w:w="109"/>
        <w:gridCol w:w="109"/>
        <w:gridCol w:w="109"/>
        <w:gridCol w:w="211"/>
        <w:gridCol w:w="466"/>
        <w:gridCol w:w="109"/>
        <w:gridCol w:w="109"/>
        <w:gridCol w:w="109"/>
        <w:gridCol w:w="109"/>
        <w:gridCol w:w="203"/>
        <w:gridCol w:w="203"/>
        <w:gridCol w:w="31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$0.7 million for the three months ended March 31, 2025, compared to the same period in 2024. This increase was primarily driven by higher depreciation expenses as equipment and expenses related to FF ieFactory California lease agreement, which commenced in late 2023, and the Collateralized Loan financing, initiated in 2024.</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continued expanding our production capabilities to include both luxury and more affordable electric vehicles. This strategic shift, aligned with broader market demand, is expected to increase fixed cost allocations to cost of revenues as new equipment is placed into service. We remain focused on optimizing production efficiencies and preparing the FF ieFactory California facility for planned new product 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U.S. tariffs on electric vehicle components imported from China did not have a material impact on the Company’s cost of goods sold. This was primarily due to the Company’s low production volume and the utilization of existing inventory that was procured prior to recent tariff adjustments. However, as production scales and the Company sources a greater volume of materials subject to current tariff rates, these duties may increase per-unit build costs in future periods. Management continues to monitor trade developments and assess sourcing strategies to mitigate potential cost escalation.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195" w:type="dxa"/>
        <w:jc w:val="left"/>
        <w:tblInd w:w="0" w:type="dxa"/>
        <w:tblLayout w:type="fixed"/>
        <w:tblCellMar>
          <w:top w:w="28" w:type="dxa"/>
          <w:left w:w="28" w:type="dxa"/>
          <w:bottom w:w="28" w:type="dxa"/>
          <w:right w:w="28" w:type="dxa"/>
        </w:tblCellMar>
      </w:tblPr>
      <w:tblGrid>
        <w:gridCol w:w="835"/>
        <w:gridCol w:w="734"/>
        <w:gridCol w:w="740"/>
        <w:gridCol w:w="247"/>
        <w:gridCol w:w="723"/>
        <w:gridCol w:w="127"/>
        <w:gridCol w:w="127"/>
        <w:gridCol w:w="127"/>
        <w:gridCol w:w="127"/>
        <w:gridCol w:w="247"/>
        <w:gridCol w:w="723"/>
        <w:gridCol w:w="127"/>
        <w:gridCol w:w="109"/>
        <w:gridCol w:w="109"/>
        <w:gridCol w:w="109"/>
        <w:gridCol w:w="211"/>
        <w:gridCol w:w="541"/>
        <w:gridCol w:w="109"/>
        <w:gridCol w:w="109"/>
        <w:gridCol w:w="109"/>
        <w:gridCol w:w="109"/>
        <w:gridCol w:w="239"/>
        <w:gridCol w:w="241"/>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 decreased by $0.3 million for the three months ended March 31, 2025, compared to the same period in 2024. The decrease was primarily driven by a $2.3 million reduction in salary and headcount costs, including the reassignment of R&amp;D personnel to production roles, and a $1.6 million decrease in information technology expenses. These reductions were partially offset by a $2.4 million increase in R&amp;D expense due to less allocations to cost of revenue in 2025, resulting in more expenses remaining in the R&amp;D category this year.</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transition from an R&amp;D-intensive focus to a greater emphasis on full-scale production resources are being reallocated from R&amp;D to manufacturing to enhance operational efficiency. This shift prioritizes the commercialization of past R&amp;D advancements while enabling continued but more targeted innovation. To sustain progress with lower internal costs, we have also established strategic partnerships with technology providers and industry experts.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refocusing our R&amp;D efforts on developing more affordable electric vehicle platforms, expanding our technology portfolio to meet broader market demands. This strategic shift ensures continued innovation across both luxury and more accessible segments, aligning with evolving industry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491" w:type="dxa"/>
        <w:jc w:val="left"/>
        <w:tblInd w:w="0" w:type="dxa"/>
        <w:tblLayout w:type="fixed"/>
        <w:tblCellMar>
          <w:top w:w="28" w:type="dxa"/>
          <w:left w:w="28" w:type="dxa"/>
          <w:bottom w:w="28" w:type="dxa"/>
          <w:right w:w="28" w:type="dxa"/>
        </w:tblCellMar>
      </w:tblPr>
      <w:tblGrid>
        <w:gridCol w:w="635"/>
        <w:gridCol w:w="559"/>
        <w:gridCol w:w="560"/>
        <w:gridCol w:w="247"/>
        <w:gridCol w:w="723"/>
        <w:gridCol w:w="127"/>
        <w:gridCol w:w="127"/>
        <w:gridCol w:w="127"/>
        <w:gridCol w:w="127"/>
        <w:gridCol w:w="247"/>
        <w:gridCol w:w="723"/>
        <w:gridCol w:w="127"/>
        <w:gridCol w:w="109"/>
        <w:gridCol w:w="109"/>
        <w:gridCol w:w="109"/>
        <w:gridCol w:w="211"/>
        <w:gridCol w:w="466"/>
        <w:gridCol w:w="109"/>
        <w:gridCol w:w="109"/>
        <w:gridCol w:w="109"/>
        <w:gridCol w:w="109"/>
        <w:gridCol w:w="203"/>
        <w:gridCol w:w="203"/>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pPr>
      <w:r>
        <w:rPr>
          <w:rFonts w:ascii="Times New Roman;sans-serif" w:hAnsi="Times New Roman;sans-serif"/>
          <w:b w:val="false"/>
          <w:color w:val="000000"/>
          <w:sz w:val="20"/>
        </w:rPr>
        <w:t>Sales and marketing</w:t>
      </w:r>
      <w:r>
        <w:rPr>
          <w:color w:val="000000"/>
          <w:shd w:fill="FFFFFF" w:val="clear"/>
        </w:rPr>
        <w:t xml:space="preserve"> </w:t>
      </w:r>
      <w:r>
        <w:rPr>
          <w:rFonts w:ascii="Times New Roman;sans-serif" w:hAnsi="Times New Roman;sans-serif"/>
          <w:b w:val="false"/>
          <w:color w:val="000000"/>
          <w:sz w:val="20"/>
          <w:shd w:fill="FFFFFF" w:val="clear"/>
        </w:rPr>
        <w:t xml:space="preserve">expense increased by </w:t>
      </w:r>
      <w:r>
        <w:rPr>
          <w:rFonts w:ascii="Times New Roman;sans-serif" w:hAnsi="Times New Roman;sans-serif"/>
          <w:b w:val="false"/>
          <w:color w:val="000000"/>
          <w:sz w:val="20"/>
        </w:rPr>
        <w:t>$0.2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compared to the same period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The increase was primarily driven by a </w:t>
      </w:r>
      <w:r>
        <w:rPr>
          <w:rFonts w:ascii="Times New Roman;sans-serif" w:hAnsi="Times New Roman;sans-serif"/>
          <w:b w:val="false"/>
          <w:color w:val="000000"/>
          <w:sz w:val="20"/>
        </w:rPr>
        <w:t>$0.7 million</w:t>
      </w:r>
      <w:r>
        <w:rPr>
          <w:color w:val="000000"/>
          <w:shd w:fill="FFFFFF" w:val="clear"/>
        </w:rPr>
        <w:t xml:space="preserve"> </w:t>
      </w:r>
      <w:r>
        <w:rPr>
          <w:rFonts w:ascii="Times New Roman;sans-serif" w:hAnsi="Times New Roman;sans-serif"/>
          <w:b w:val="false"/>
          <w:color w:val="000000"/>
          <w:sz w:val="20"/>
          <w:shd w:fill="FFFFFF" w:val="clear"/>
        </w:rPr>
        <w:t xml:space="preserve">rise in marketing expenses—largely related to the launch of the new FX line—and a </w:t>
      </w:r>
      <w:r>
        <w:rPr>
          <w:rFonts w:ascii="Times New Roman;sans-serif" w:hAnsi="Times New Roman;sans-serif"/>
          <w:b w:val="false"/>
          <w:color w:val="000000"/>
          <w:sz w:val="20"/>
        </w:rPr>
        <w:t>$0.4 million</w:t>
      </w:r>
      <w:r>
        <w:rPr>
          <w:color w:val="000000"/>
          <w:shd w:fill="FFFFFF" w:val="clear"/>
        </w:rPr>
        <w:t xml:space="preserve"> </w:t>
      </w:r>
      <w:r>
        <w:rPr>
          <w:rFonts w:ascii="Times New Roman;sans-serif" w:hAnsi="Times New Roman;sans-serif"/>
          <w:b w:val="false"/>
          <w:color w:val="000000"/>
          <w:sz w:val="20"/>
          <w:shd w:fill="FFFFFF" w:val="clear"/>
        </w:rPr>
        <w:t xml:space="preserve">increase in compensation costs, despite a reduction in sales and marketing personnel. These increases were partially offset by a </w:t>
      </w:r>
      <w:r>
        <w:rPr>
          <w:rFonts w:ascii="Times New Roman;sans-serif" w:hAnsi="Times New Roman;sans-serif"/>
          <w:b w:val="false"/>
          <w:color w:val="000000"/>
          <w:sz w:val="20"/>
        </w:rPr>
        <w:t>$0.5 million</w:t>
      </w:r>
      <w:r>
        <w:rPr>
          <w:color w:val="000000"/>
          <w:shd w:fill="FFFFFF" w:val="clear"/>
        </w:rPr>
        <w:t xml:space="preserve"> </w:t>
      </w:r>
      <w:r>
        <w:rPr>
          <w:rFonts w:ascii="Times New Roman;sans-serif" w:hAnsi="Times New Roman;sans-serif"/>
          <w:b w:val="false"/>
          <w:color w:val="000000"/>
          <w:sz w:val="20"/>
          <w:shd w:fill="FFFFFF" w:val="clear"/>
        </w:rPr>
        <w:t xml:space="preserve">reduction in rent, a </w:t>
      </w:r>
      <w:r>
        <w:rPr>
          <w:rFonts w:ascii="Times New Roman;sans-serif" w:hAnsi="Times New Roman;sans-serif"/>
          <w:b w:val="false"/>
          <w:color w:val="000000"/>
          <w:sz w:val="20"/>
        </w:rPr>
        <w:t>$0.2 million</w:t>
      </w:r>
      <w:r>
        <w:rPr>
          <w:color w:val="000000"/>
          <w:shd w:fill="FFFFFF" w:val="clear"/>
        </w:rPr>
        <w:t xml:space="preserve"> </w:t>
      </w:r>
      <w:r>
        <w:rPr>
          <w:rFonts w:ascii="Times New Roman;sans-serif" w:hAnsi="Times New Roman;sans-serif"/>
          <w:b w:val="false"/>
          <w:color w:val="000000"/>
          <w:sz w:val="20"/>
          <w:shd w:fill="FFFFFF" w:val="clear"/>
        </w:rPr>
        <w:t>decrease in professional services, and a $0.1 million decline in sales and marketing consumables.</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Despite a reduction in sales and marketing personnel, we continue to market effectively by leveraging our Co-Creation strategy, which engages industry pioneers and influential personalities. Through this approach, we expand our brand by collaborating with high-profile figures and integrating users in our product development and marketing processes. Additionally, we host VIP events and participate in major industry showcases to offer customers and stakeholders immersive experiences of our flagship vehicles and prototypes, further enhancing customer engagement and brand visibility. These efforts enable us to optimize our marketing reach and increase brand awareness while maintaining lower internal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General and Administrative</w:t>
      </w:r>
    </w:p>
    <w:tbl>
      <w:tblPr>
        <w:tblW w:w="7196" w:type="dxa"/>
        <w:jc w:val="left"/>
        <w:tblInd w:w="0" w:type="dxa"/>
        <w:tblLayout w:type="fixed"/>
        <w:tblCellMar>
          <w:top w:w="28" w:type="dxa"/>
          <w:left w:w="28" w:type="dxa"/>
          <w:bottom w:w="28" w:type="dxa"/>
          <w:right w:w="28" w:type="dxa"/>
        </w:tblCellMar>
      </w:tblPr>
      <w:tblGrid>
        <w:gridCol w:w="835"/>
        <w:gridCol w:w="735"/>
        <w:gridCol w:w="739"/>
        <w:gridCol w:w="226"/>
        <w:gridCol w:w="772"/>
        <w:gridCol w:w="116"/>
        <w:gridCol w:w="116"/>
        <w:gridCol w:w="116"/>
        <w:gridCol w:w="116"/>
        <w:gridCol w:w="226"/>
        <w:gridCol w:w="772"/>
        <w:gridCol w:w="116"/>
        <w:gridCol w:w="109"/>
        <w:gridCol w:w="109"/>
        <w:gridCol w:w="109"/>
        <w:gridCol w:w="211"/>
        <w:gridCol w:w="541"/>
        <w:gridCol w:w="109"/>
        <w:gridCol w:w="109"/>
        <w:gridCol w:w="109"/>
        <w:gridCol w:w="109"/>
        <w:gridCol w:w="239"/>
        <w:gridCol w:w="241"/>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$0.2 million for the three months ended March 31, 2025, compared to the same period in 2024. The decrease was primarily driven by a $2.8 million reduction in insurance costs—mainly due to lower directors and officers’ insurance premiums, a $0.8 million reduction in allocation to cost of goods sold, and a $0.8 million decrease in information technology expenses. These reductions were partially offset by a $2.6 million increase in compensation and a $1.3 million increase in professional service fees.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net decrease reflects our ongoing cost-optimization initiatives aimed at improving the efficiency of general and administrative operations. Key actions include renegotiating vendor agreements, consolidating office space to lower occupancy costs, and restructuring portions of our workforce. These efforts have enabled us to reduce certain overhead costs, such as insurance and IT, while still supporting strategic investments in personnel and advisory services needed to execute on core business priorities.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from disposal of property, plant and equipment</w:t>
      </w:r>
    </w:p>
    <w:tbl>
      <w:tblPr>
        <w:tblW w:w="9822" w:type="dxa"/>
        <w:jc w:val="left"/>
        <w:tblInd w:w="0" w:type="dxa"/>
        <w:tblLayout w:type="fixed"/>
        <w:tblCellMar>
          <w:top w:w="28" w:type="dxa"/>
          <w:left w:w="28" w:type="dxa"/>
          <w:bottom w:w="28" w:type="dxa"/>
          <w:right w:w="28" w:type="dxa"/>
        </w:tblCellMar>
      </w:tblPr>
      <w:tblGrid>
        <w:gridCol w:w="1738"/>
        <w:gridCol w:w="1529"/>
        <w:gridCol w:w="1533"/>
        <w:gridCol w:w="308"/>
        <w:gridCol w:w="528"/>
        <w:gridCol w:w="159"/>
        <w:gridCol w:w="159"/>
        <w:gridCol w:w="159"/>
        <w:gridCol w:w="159"/>
        <w:gridCol w:w="308"/>
        <w:gridCol w:w="637"/>
        <w:gridCol w:w="159"/>
        <w:gridCol w:w="109"/>
        <w:gridCol w:w="109"/>
        <w:gridCol w:w="109"/>
        <w:gridCol w:w="211"/>
        <w:gridCol w:w="466"/>
        <w:gridCol w:w="109"/>
        <w:gridCol w:w="109"/>
        <w:gridCol w:w="109"/>
        <w:gridCol w:w="109"/>
        <w:gridCol w:w="344"/>
        <w:gridCol w:w="346"/>
        <w:gridCol w:w="316"/>
      </w:tblGrid>
      <w:tr>
        <w:trPr/>
        <w:tc>
          <w:tcPr>
            <w:tcW w:w="173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on property, plant, and equipment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0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(gain) on disposal on property, plant, and equipment changed by $0.1 million for the three months ended March 31, 2025, compared to the same period in 2024. We dispose of equipment when the assets become obsolete, costly to maintain, or are replaced by more efficient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Fair Value of Notes Payable, Warrant Liabilities, and Derivative Call Options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86"/>
        <w:gridCol w:w="1634"/>
        <w:gridCol w:w="1635"/>
        <w:gridCol w:w="221"/>
        <w:gridCol w:w="756"/>
        <w:gridCol w:w="113"/>
        <w:gridCol w:w="113"/>
        <w:gridCol w:w="113"/>
        <w:gridCol w:w="113"/>
        <w:gridCol w:w="221"/>
        <w:gridCol w:w="756"/>
        <w:gridCol w:w="113"/>
        <w:gridCol w:w="109"/>
        <w:gridCol w:w="109"/>
        <w:gridCol w:w="109"/>
        <w:gridCol w:w="211"/>
        <w:gridCol w:w="721"/>
        <w:gridCol w:w="109"/>
        <w:gridCol w:w="109"/>
        <w:gridCol w:w="109"/>
        <w:gridCol w:w="109"/>
        <w:gridCol w:w="255"/>
        <w:gridCol w:w="256"/>
        <w:gridCol w:w="325"/>
      </w:tblGrid>
      <w:tr>
        <w:trPr/>
        <w:tc>
          <w:tcPr>
            <w:tcW w:w="1886"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5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warrant liabilities, and derivative call options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notes payable, warrant liabilities, and derivative call options increased by $23.6 million for the three months ended March 31, 2025, compared to the same period in 2024. Significant driving factor increasing the gain on the change in fair value year over year are (1) the SPA Portfolio Note warrants and (2) the issuance of the Incremental Warrants.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recognized a $13.6 million gain from the change in fair value of the Incremental Warrants. There was no comparable instrument outstanding during the three months ended March 31, 2024. During the three months ended March 31, 2025 we recognized a $6.4 million gain from the change in fair value of the SPA Portfolio Note warrants compared to a $0.2 million gain during the same period in 2024. This increase was largely driven by the year-over-year growth in the number of SPA Portfolio Note warrants outstanding. Beginning in the second half of 2024, we began issuing SPA Portfolio Note warrants equal to 100% of the shares issuable upon conversion of the aggregate principal amount of the applicable SPA Portfolio Note, significantly increasing the number of warrants outstanding year over year. As of March 31, 2025 there were 35,260,186 SPA Portfolio Note warrants outstanding compared to 13,968 outstanding as of March 31, 2024.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are offset by a reduction in gain from the change in fair value recognized on our SPA Portfolio Notes and the recognition of losses upon the issuance of new SPA Portfolio Notes during the three months ended March 31, 2025. The principal balance of SPA Portfolio Notes outstanding decreased from $96.6 million as of March 31, 2024, to $48.0 million as of March 31, 2025, contributing to the reduced gain from the change in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Notes Payable and Related Party Warrant Liabilities</w:t>
      </w:r>
    </w:p>
    <w:tbl>
      <w:tblPr>
        <w:tblW w:w="10205" w:type="dxa"/>
        <w:jc w:val="left"/>
        <w:tblInd w:w="0" w:type="dxa"/>
        <w:tblLayout w:type="fixed"/>
        <w:tblCellMar>
          <w:top w:w="28" w:type="dxa"/>
          <w:left w:w="28" w:type="dxa"/>
          <w:bottom w:w="28" w:type="dxa"/>
          <w:right w:w="28" w:type="dxa"/>
        </w:tblCellMar>
      </w:tblPr>
      <w:tblGrid>
        <w:gridCol w:w="1984"/>
        <w:gridCol w:w="1714"/>
        <w:gridCol w:w="1714"/>
        <w:gridCol w:w="264"/>
        <w:gridCol w:w="657"/>
        <w:gridCol w:w="136"/>
        <w:gridCol w:w="136"/>
        <w:gridCol w:w="136"/>
        <w:gridCol w:w="136"/>
        <w:gridCol w:w="264"/>
        <w:gridCol w:w="393"/>
        <w:gridCol w:w="136"/>
        <w:gridCol w:w="109"/>
        <w:gridCol w:w="109"/>
        <w:gridCol w:w="109"/>
        <w:gridCol w:w="211"/>
        <w:gridCol w:w="519"/>
        <w:gridCol w:w="109"/>
        <w:gridCol w:w="109"/>
        <w:gridCol w:w="109"/>
        <w:gridCol w:w="109"/>
        <w:gridCol w:w="360"/>
        <w:gridCol w:w="361"/>
        <w:gridCol w:w="321"/>
      </w:tblGrid>
      <w:tr>
        <w:trPr/>
        <w:tc>
          <w:tcPr>
            <w:tcW w:w="198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4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5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warrant liabilities, and derivative call options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related party notes payable, warrant liabilities, and derivative call options increased by $0.3 million for the three months ended March 31, 2025, when compared with the same period in 2024. Significant driving factors include (1) The issuance of the related party 2025 March Unsecured SPA Notes, warrants, and Incremental Warrants and (2) the recognition of day-one losses upon the issuance of related party 2025 March Unsecured SPA Notes and associated instruments during the three months ended March 31, 2025. We issued $1.9 million of related party SPA Portfolio Notes in March 2025. Upon issuance the Company recognized a loss of $1.1 million, as the combined fair value of the SPA Portfolio Note, SPA Portfolio Note Warrant, and Incremental Warrant exceeded the cash proceeds received. These issuance-date losses were offset by gains from the remeasurement of related party notes payable, related party warrant liabilities, and related party Incremental Warrants as of March 31, 2025. The fair value of our related party instruments declined during the period ended March 31, 2025, primarily due to a 53% drop in our Class A Common Stock price over the quarter, including a 13% decline during the three months ended March 31, 2025 when related party debt activity occurred.</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not significant related party debt activity during the three months ended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Loss on Settlement of Notes Payable </w:t>
      </w:r>
    </w:p>
    <w:tbl>
      <w:tblPr>
        <w:tblW w:w="8080" w:type="dxa"/>
        <w:jc w:val="left"/>
        <w:tblInd w:w="0" w:type="dxa"/>
        <w:tblLayout w:type="fixed"/>
        <w:tblCellMar>
          <w:top w:w="28" w:type="dxa"/>
          <w:left w:w="28" w:type="dxa"/>
          <w:bottom w:w="28" w:type="dxa"/>
          <w:right w:w="28" w:type="dxa"/>
        </w:tblCellMar>
      </w:tblPr>
      <w:tblGrid>
        <w:gridCol w:w="1092"/>
        <w:gridCol w:w="960"/>
        <w:gridCol w:w="963"/>
        <w:gridCol w:w="212"/>
        <w:gridCol w:w="802"/>
        <w:gridCol w:w="109"/>
        <w:gridCol w:w="109"/>
        <w:gridCol w:w="109"/>
        <w:gridCol w:w="109"/>
        <w:gridCol w:w="212"/>
        <w:gridCol w:w="802"/>
        <w:gridCol w:w="109"/>
        <w:gridCol w:w="109"/>
        <w:gridCol w:w="109"/>
        <w:gridCol w:w="109"/>
        <w:gridCol w:w="211"/>
        <w:gridCol w:w="691"/>
        <w:gridCol w:w="109"/>
        <w:gridCol w:w="109"/>
        <w:gridCol w:w="109"/>
        <w:gridCol w:w="109"/>
        <w:gridCol w:w="255"/>
        <w:gridCol w:w="256"/>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$4.5 million increase in Loss on settlement of notes payable for the three months ended March 31, 2025, was driven by higher conversion activity compared to the same period in 2024, as well as a greater loss per dollar of principal converted. During the three months ended March 31, 2025, noteholders converted $20.4 million of principal, compared to $18.3 million during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Loss on Settlement of Related Party Notes Payable </w:t>
      </w:r>
    </w:p>
    <w:tbl>
      <w:tblPr>
        <w:tblW w:w="9251" w:type="dxa"/>
        <w:jc w:val="left"/>
        <w:tblInd w:w="0" w:type="dxa"/>
        <w:tblLayout w:type="fixed"/>
        <w:tblCellMar>
          <w:top w:w="28" w:type="dxa"/>
          <w:left w:w="28" w:type="dxa"/>
          <w:bottom w:w="28" w:type="dxa"/>
          <w:right w:w="28" w:type="dxa"/>
        </w:tblCellMar>
      </w:tblPr>
      <w:tblGrid>
        <w:gridCol w:w="1477"/>
        <w:gridCol w:w="1299"/>
        <w:gridCol w:w="1303"/>
        <w:gridCol w:w="221"/>
        <w:gridCol w:w="726"/>
        <w:gridCol w:w="114"/>
        <w:gridCol w:w="114"/>
        <w:gridCol w:w="114"/>
        <w:gridCol w:w="114"/>
        <w:gridCol w:w="221"/>
        <w:gridCol w:w="837"/>
        <w:gridCol w:w="114"/>
        <w:gridCol w:w="109"/>
        <w:gridCol w:w="109"/>
        <w:gridCol w:w="109"/>
        <w:gridCol w:w="211"/>
        <w:gridCol w:w="721"/>
        <w:gridCol w:w="109"/>
        <w:gridCol w:w="109"/>
        <w:gridCol w:w="109"/>
        <w:gridCol w:w="109"/>
        <w:gridCol w:w="293"/>
        <w:gridCol w:w="293"/>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During the three months ended March 31, 2025 a related party converted a $1.5 million note in exchange for 1,352,767 shares of our Class A Common Stock. We recognized a $1.2 million Loss on settlement of related party notes payable for the difference between the fair value of the shares issued and the fair value of the debt instrument During the three months ended March 31, 2024 a related party converted notes payable, with an aggregate principal balance of $0.7 million in exchange for 33,107 shares of our Class A Common Stock. We recognized a $0.2 million Loss on settlement of related party notes payable. In addition, as discussed in Note 8, </w:t>
      </w:r>
      <w:r>
        <w:rPr>
          <w:rFonts w:ascii="Times New Roman;sans-serif" w:hAnsi="Times New Roman;sans-serif"/>
          <w:b w:val="false"/>
          <w:i/>
          <w:color w:val="000000"/>
          <w:sz w:val="20"/>
        </w:rPr>
        <w:t>Related Party Transactions</w:t>
      </w:r>
      <w:r>
        <w:rPr>
          <w:color w:val="000000"/>
        </w:rPr>
        <w:t xml:space="preserve"> </w:t>
      </w:r>
      <w:r>
        <w:rPr>
          <w:rFonts w:ascii="Times New Roman;sans-serif" w:hAnsi="Times New Roman;sans-serif"/>
          <w:b w:val="false"/>
          <w:color w:val="000000"/>
          <w:sz w:val="20"/>
        </w:rPr>
        <w:t>in the notes to the Unaudited Condensed Consolidated Financial Statements, we also recognized a $14.1 million loss on related party notes related to interest, penalties, and principal increases resulting from our breach of the agreement with Chongqing Leshi Small Loan Co., Ltd. (“Chongqing”).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6132" w:type="dxa"/>
        <w:jc w:val="left"/>
        <w:tblInd w:w="0" w:type="dxa"/>
        <w:tblLayout w:type="fixed"/>
        <w:tblCellMar>
          <w:top w:w="28" w:type="dxa"/>
          <w:left w:w="28" w:type="dxa"/>
          <w:bottom w:w="28" w:type="dxa"/>
          <w:right w:w="28" w:type="dxa"/>
        </w:tblCellMar>
      </w:tblPr>
      <w:tblGrid>
        <w:gridCol w:w="516"/>
        <w:gridCol w:w="454"/>
        <w:gridCol w:w="455"/>
        <w:gridCol w:w="231"/>
        <w:gridCol w:w="759"/>
        <w:gridCol w:w="119"/>
        <w:gridCol w:w="119"/>
        <w:gridCol w:w="119"/>
        <w:gridCol w:w="119"/>
        <w:gridCol w:w="231"/>
        <w:gridCol w:w="759"/>
        <w:gridCol w:w="119"/>
        <w:gridCol w:w="109"/>
        <w:gridCol w:w="109"/>
        <w:gridCol w:w="109"/>
        <w:gridCol w:w="211"/>
        <w:gridCol w:w="436"/>
        <w:gridCol w:w="109"/>
        <w:gridCol w:w="109"/>
        <w:gridCol w:w="109"/>
        <w:gridCol w:w="109"/>
        <w:gridCol w:w="203"/>
        <w:gridCol w:w="203"/>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$0.1 million for the three months ended March 31, 2025, compared to the same period in 2024. This increase was primarily due to financial obligations associated with the FF ieFactory California manufacturing facility in Hanford,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tbl>
      <w:tblPr>
        <w:tblW w:w="7784" w:type="dxa"/>
        <w:jc w:val="left"/>
        <w:tblInd w:w="0" w:type="dxa"/>
        <w:tblLayout w:type="fixed"/>
        <w:tblCellMar>
          <w:top w:w="28" w:type="dxa"/>
          <w:left w:w="28" w:type="dxa"/>
          <w:bottom w:w="28" w:type="dxa"/>
          <w:right w:w="28" w:type="dxa"/>
        </w:tblCellMar>
      </w:tblPr>
      <w:tblGrid>
        <w:gridCol w:w="929"/>
        <w:gridCol w:w="817"/>
        <w:gridCol w:w="819"/>
        <w:gridCol w:w="263"/>
        <w:gridCol w:w="507"/>
        <w:gridCol w:w="136"/>
        <w:gridCol w:w="136"/>
        <w:gridCol w:w="136"/>
        <w:gridCol w:w="136"/>
        <w:gridCol w:w="263"/>
        <w:gridCol w:w="864"/>
        <w:gridCol w:w="136"/>
        <w:gridCol w:w="109"/>
        <w:gridCol w:w="109"/>
        <w:gridCol w:w="109"/>
        <w:gridCol w:w="211"/>
        <w:gridCol w:w="616"/>
        <w:gridCol w:w="109"/>
        <w:gridCol w:w="109"/>
        <w:gridCol w:w="109"/>
        <w:gridCol w:w="109"/>
        <w:gridCol w:w="338"/>
        <w:gridCol w:w="338"/>
        <w:gridCol w:w="37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 decreased by $5.1 million for the three months ended March 31, 2025, compared to the same period in 2024. The decrease was primarily driven by our default in the first quarter of 2024 on the loan with our related party lender, Chongqing, which triggered retroactive interest charges and penalties under the prior agreement. Under the revised loan agreement, no interest is incurred unless the Company defaults.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tbl>
      <w:tblPr>
        <w:tblW w:w="6658" w:type="dxa"/>
        <w:jc w:val="left"/>
        <w:tblInd w:w="0" w:type="dxa"/>
        <w:tblLayout w:type="fixed"/>
        <w:tblCellMar>
          <w:top w:w="28" w:type="dxa"/>
          <w:left w:w="28" w:type="dxa"/>
          <w:bottom w:w="28" w:type="dxa"/>
          <w:right w:w="28" w:type="dxa"/>
        </w:tblCellMar>
      </w:tblPr>
      <w:tblGrid>
        <w:gridCol w:w="565"/>
        <w:gridCol w:w="497"/>
        <w:gridCol w:w="498"/>
        <w:gridCol w:w="265"/>
        <w:gridCol w:w="775"/>
        <w:gridCol w:w="137"/>
        <w:gridCol w:w="137"/>
        <w:gridCol w:w="137"/>
        <w:gridCol w:w="137"/>
        <w:gridCol w:w="265"/>
        <w:gridCol w:w="586"/>
        <w:gridCol w:w="137"/>
        <w:gridCol w:w="109"/>
        <w:gridCol w:w="109"/>
        <w:gridCol w:w="109"/>
        <w:gridCol w:w="211"/>
        <w:gridCol w:w="616"/>
        <w:gridCol w:w="109"/>
        <w:gridCol w:w="109"/>
        <w:gridCol w:w="109"/>
        <w:gridCol w:w="109"/>
        <w:gridCol w:w="308"/>
        <w:gridCol w:w="308"/>
        <w:gridCol w:w="316"/>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by $1.3 million for the three months ended March 31, 2025, compared to the same period in 2024. During 2025, the U.S. dollar’s continued strengthening against the Chinese yuan (CNY) resulted in a foreign currency transaction loss within Other income, net. However, the extent of the dollar's appreciation was less than in 2024, leading to a smaller foreign currency transaction loss and contributing to the overall reduction in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whether there are certain conditions and events, considered in the aggregate, that raise substantial doubt about our ability to continue as a going concern within one year after the date that the Unaudited Condensed Consolidated Financial Statements are issued. Based on our recurring losses from operations since inception and continued cash outflows from operating activities (all as described below), we have concluded that there is substantial doubt about our ability to continue as a going concern for a period of one year from the date that these Unaudited Condensed Consolidated Financial Statements were issued.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Preparation of Financial statements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do not include any adjustments that might result from the outcome of this uncertainty. Accordingly, the Unaudited Condensed Consolidated Financial Statements have been prepared on a basis that assumes we will continue as a going concern, and which contemplates the realization of assets and satisfaction of liabilities and commitments in the ordinary course of business.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Capital Investment, SPA Portfolio Notes, and Future Equity Plans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We have</w:t>
      </w:r>
      <w:r>
        <w:rPr>
          <w:color w:val="000000"/>
          <w:shd w:fill="FFFFFF" w:val="clear"/>
        </w:rPr>
        <w:t xml:space="preserve"> </w:t>
      </w:r>
      <w:r>
        <w:rPr>
          <w:rFonts w:ascii="Times New Roman;sans-serif" w:hAnsi="Times New Roman;sans-serif"/>
          <w:b w:val="false"/>
          <w:color w:val="000000"/>
          <w:sz w:val="20"/>
          <w:shd w:fill="FFFFFF" w:val="clear"/>
        </w:rPr>
        <w:t xml:space="preserve">and will continue to devote substantial effort and, to the extent available, capital resources, to strategic planning, engineering, design, and development of our electric vehicle platform, development of vehicle models, finalizing the build out of the FF ieFactory California manufacturing facility, and capital raising. We have incurred cumulative losses from operations, negative cash flows from operating activities, and we have an accumulated deficit of $4,324.6 million, an unrestricted cash balance of $9.5 million and a negative working capital position of $112.3 million as of March 31, 2025. During </w:t>
      </w:r>
      <w:r>
        <w:rPr>
          <w:rFonts w:ascii="Times New Roman;sans-serif" w:hAnsi="Times New Roman;sans-serif"/>
          <w:b w:val="false"/>
          <w:color w:val="000000"/>
          <w:sz w:val="20"/>
        </w:rPr>
        <w:t>2025</w:t>
      </w:r>
      <w:r>
        <w:rPr>
          <w:rFonts w:ascii="Times New Roman;sans-serif" w:hAnsi="Times New Roman;sans-serif"/>
          <w:b w:val="false"/>
          <w:color w:val="000000"/>
          <w:sz w:val="20"/>
          <w:shd w:fill="FFFFFF" w:val="clear"/>
        </w:rPr>
        <w:t xml:space="preserve">, we funded our operations and capital needs primarily through the issuance of notes payable and related party notes payable convertible notes (see Note 7, </w:t>
      </w:r>
      <w:r>
        <w:rPr>
          <w:rFonts w:ascii="Times New Roman;sans-serif" w:hAnsi="Times New Roman;sans-serif"/>
          <w:b w:val="false"/>
          <w:i/>
          <w:color w:val="000000"/>
          <w:sz w:val="20"/>
          <w:shd w:fill="FFFFFF" w:val="clear"/>
        </w:rPr>
        <w:t>Notes Payable</w:t>
      </w:r>
      <w:r>
        <w:rPr>
          <w:color w:val="000000"/>
          <w:shd w:fill="FFFFFF" w:val="clear"/>
        </w:rPr>
        <w:t xml:space="preserve"> </w:t>
      </w:r>
      <w:r>
        <w:rPr>
          <w:rFonts w:ascii="Times New Roman;sans-serif" w:hAnsi="Times New Roman;sans-serif"/>
          <w:b w:val="false"/>
          <w:color w:val="000000"/>
          <w:sz w:val="20"/>
          <w:shd w:fill="FFFFFF" w:val="clear"/>
        </w:rPr>
        <w:t xml:space="preserve">and Note 8, </w:t>
      </w:r>
      <w:r>
        <w:rPr>
          <w:rFonts w:ascii="Times New Roman;sans-serif" w:hAnsi="Times New Roman;sans-serif"/>
          <w:b w:val="false"/>
          <w:i/>
          <w:color w:val="000000"/>
          <w:sz w:val="20"/>
          <w:shd w:fill="FFFFFF" w:val="clear"/>
        </w:rPr>
        <w:t>Related Party Transactions</w:t>
      </w:r>
      <w:r>
        <w:rPr>
          <w:rFonts w:ascii="Times New Roman;sans-serif" w:hAnsi="Times New Roman;sans-serif"/>
          <w:b w:val="false"/>
          <w:color w:val="000000"/>
          <w:sz w:val="20"/>
          <w:shd w:fill="FFFFFF" w:val="clear"/>
        </w:rPr>
        <w:t xml:space="preserve">), and the sale of Class A Common Stock.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Debt Commitments under SPA Portfolio Notes and Other Notes</w:t>
      </w:r>
    </w:p>
    <w:p>
      <w:pPr>
        <w:pStyle w:val="TextBody"/>
        <w:bidi w:val="0"/>
        <w:spacing w:lineRule="auto" w:line="288" w:before="160" w:after="283"/>
        <w:ind w:left="0" w:right="0" w:firstLine="540"/>
        <w:jc w:val="both"/>
        <w:rPr/>
      </w:pPr>
      <w:r>
        <w:rPr>
          <w:rFonts w:ascii="Times New Roman;sans-serif" w:hAnsi="Times New Roman;sans-serif"/>
          <w:b w:val="false"/>
          <w:i/>
          <w:color w:val="000000"/>
          <w:sz w:val="20"/>
          <w:u w:val="single"/>
        </w:rPr>
        <w:t>SPA Portfolio Notes:</w:t>
      </w:r>
      <w:r>
        <w:rPr>
          <w:color w:val="000000"/>
        </w:rPr>
        <w:t xml:space="preserve"> </w:t>
      </w:r>
      <w:r>
        <w:rPr>
          <w:rFonts w:ascii="Times New Roman;sans-serif" w:hAnsi="Times New Roman;sans-serif"/>
          <w:b w:val="false"/>
          <w:color w:val="000000"/>
          <w:sz w:val="20"/>
          <w:shd w:fill="FFFFFF" w:val="clear"/>
        </w:rPr>
        <w:t>We have issued various financing arrangements collectively known as the SPA Portfolio Notes. These are categorized as follows: (i) Secured SPA Notes; (ii) 2023 Unsecured SPA Notes; (iii) Junior Secured SPA Notes; (iv) and 2024 Unsecured SPA Notes. As of March 31, 2025, the SPA Portfolio Notes were in good standing.</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Pursuant to the SPA Portfolio Notes commitments (collectively the “SPA Commitments”) (see Note 7, </w:t>
      </w:r>
      <w:r>
        <w:rPr>
          <w:rFonts w:ascii="Times New Roman;sans-serif" w:hAnsi="Times New Roman;sans-serif"/>
          <w:b w:val="false"/>
          <w:i/>
          <w:color w:val="000000"/>
          <w:sz w:val="20"/>
          <w:shd w:fill="FFFFFF" w:val="clear"/>
        </w:rPr>
        <w:t>Notes Payable</w:t>
      </w:r>
      <w:r>
        <w:rPr>
          <w:color w:val="000000"/>
          <w:shd w:fill="FFFFFF" w:val="clear"/>
        </w:rPr>
        <w:t xml:space="preserve"> </w:t>
      </w:r>
      <w:r>
        <w:rPr>
          <w:rFonts w:ascii="Times New Roman;sans-serif" w:hAnsi="Times New Roman;sans-serif"/>
          <w:b w:val="false"/>
          <w:color w:val="000000"/>
          <w:sz w:val="20"/>
          <w:shd w:fill="FFFFFF" w:val="clear"/>
        </w:rPr>
        <w:t xml:space="preserve">and Note 8, </w:t>
      </w:r>
      <w:r>
        <w:rPr>
          <w:rFonts w:ascii="Times New Roman;sans-serif" w:hAnsi="Times New Roman;sans-serif"/>
          <w:b w:val="false"/>
          <w:i/>
          <w:color w:val="000000"/>
          <w:sz w:val="20"/>
          <w:shd w:fill="FFFFFF" w:val="clear"/>
        </w:rPr>
        <w:t>Related Party Transactions</w:t>
      </w:r>
      <w:r>
        <w:rPr>
          <w:rFonts w:ascii="Times New Roman;sans-serif" w:hAnsi="Times New Roman;sans-serif"/>
          <w:b w:val="false"/>
          <w:color w:val="000000"/>
          <w:sz w:val="20"/>
          <w:shd w:fill="FFFFFF" w:val="clear"/>
        </w:rPr>
        <w:t xml:space="preserve">), we obtained commitments from several investors. On March 31, 2025, the SPA Commitments totaled $655.5 million, of which $427.7 million was funded, $227.8 million remained to be funded, and $45.8 million in principal was outstanding. On March 31, 2025, optional commitments under the SPA Commitments totaled $467.0 million, of which $50.9 million was funded, $386.1 million remained to be funded, and $2.5 million was outstanding. The remaining amounts to be funded as of March 31, 2025 are subject the achievement of delivery milestones, satisfaction of closing conditions, resolving disputes with investors, and satisfaction or waiver of other conditions, including for a portion of such financing an effective registration statement for the shares underlying the applicable notes.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may be unable to satisfy the closing conditions under the SPA Commitments or obtain additional incremental convertible senior secured note purchasers under the SPA Commitments or other debt or equity financing in a timely manner, on acceptable terms, or at all. </w:t>
      </w:r>
    </w:p>
    <w:p>
      <w:pPr>
        <w:pStyle w:val="TextBody"/>
        <w:bidi w:val="0"/>
        <w:spacing w:lineRule="auto" w:line="288" w:before="160" w:after="283"/>
        <w:ind w:left="0" w:right="0" w:firstLine="540"/>
        <w:jc w:val="both"/>
        <w:rPr/>
      </w:pPr>
      <w:r>
        <w:rPr>
          <w:rFonts w:ascii="Times New Roman;sans-serif" w:hAnsi="Times New Roman;sans-serif"/>
          <w:b w:val="false"/>
          <w:i/>
          <w:color w:val="000000"/>
          <w:sz w:val="20"/>
          <w:u w:val="single"/>
          <w:shd w:fill="FFFFFF" w:val="clear"/>
        </w:rPr>
        <w:t>Other Financing Arrangements and Related Party Notes:</w:t>
      </w:r>
      <w:r>
        <w:rPr>
          <w:color w:val="000000"/>
          <w:shd w:fill="FFFFFF" w:val="clear"/>
        </w:rPr>
        <w:t xml:space="preserve"> </w:t>
      </w:r>
      <w:r>
        <w:rPr>
          <w:rFonts w:ascii="Times New Roman;sans-serif" w:hAnsi="Times New Roman;sans-serif"/>
          <w:b w:val="false"/>
          <w:color w:val="000000"/>
          <w:sz w:val="20"/>
          <w:shd w:fill="FFFFFF" w:val="clear"/>
        </w:rPr>
        <w:t>Additional financing is provided via convertible debt instruments, equipment financing arrangements, and related party notes that support our operations and capital expenditures. As of March 31, 2025, all notes were in good standing.</w:t>
      </w:r>
    </w:p>
    <w:p>
      <w:pPr>
        <w:pStyle w:val="TextBody"/>
        <w:bidi w:val="0"/>
        <w:spacing w:lineRule="auto" w:line="288" w:before="160" w:after="283"/>
        <w:jc w:val="both"/>
        <w:rPr/>
      </w:pPr>
      <w:r>
        <w:rPr>
          <w:rFonts w:ascii="Times New Roman;sans-serif" w:hAnsi="Times New Roman;sans-serif"/>
          <w:b/>
          <w:i/>
          <w:color w:val="000000"/>
          <w:sz w:val="20"/>
        </w:rPr>
        <w:t>Standby Equity Purchase Agreement, At-The-Market Offerin</w:t>
      </w:r>
      <w:r>
        <w:rPr>
          <w:rFonts w:ascii="Times New Roman;sans-serif" w:hAnsi="Times New Roman;sans-serif"/>
          <w:b/>
          <w:color w:val="000000"/>
          <w:sz w:val="20"/>
        </w:rPr>
        <w:t>g</w:t>
      </w:r>
      <w:r>
        <w:rPr>
          <w:rFonts w:ascii="Times New Roman;sans-serif" w:hAnsi="Times New Roman;sans-serif"/>
          <w:b/>
          <w:i/>
          <w:color w:val="000000"/>
          <w:sz w:val="20"/>
        </w:rPr>
        <w:t>, and Equity Issuance Constraints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Standby Equity Purchase Agreement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2022, we entered into the SEPA, which expires in November 2025. Under the terms of the SEPA, we may, at our option, issue and sell from time to time up to $200.0 million (which can be increased up to $350.0 million in the aggregate at our option) of Class A Common Stock to Yorkville, subject to certain limitations. As of March 31, 2025, we had the right to issue and sell up to an additional $192.5 million, or $342.5 million if we exercise our option under the SEPA.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i/>
          <w:color w:val="000000"/>
          <w:sz w:val="20"/>
        </w:rPr>
        <w:t>At-The-Market Offerin</w:t>
      </w:r>
      <w:r>
        <w:rPr>
          <w:rFonts w:ascii="Times New Roman;sans-serif" w:hAnsi="Times New Roman;sans-serif"/>
          <w:b w:val="false"/>
          <w:color w:val="000000"/>
          <w:sz w:val="20"/>
        </w:rPr>
        <w:t>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September 26, 2023, we entered into a sales agreement with Stifel, Nicolaus &amp; Company, Incorporated, B. Riley Securities, Inc., A.G.P./Alliance Global Partners, Wedbush Securities Inc. and Maxim Group LLC, as sales agents, to sell shares of Class A Common Stock, from time to time, with aggregate gross sales proceeds of up to $90.0 million pursuant to the Registration Statement as an “at-the-market” offering under the Securities Act (the “ATM Program”). Under applicable SEC rules and regulations, because we failed to timely file our Form 10-K for the year ended December 31, 2023, as well as our Form 10-Q for the quarter ended March 31, 2024, we will not be eligible to access the ATM Program until August 1, 2025, at the earliest.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Issuance Constraints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issue and sell additional shares of Class A Common Stock or warrants to support ongoing capital needs is further constrained by the number of authorized shares. In addition to outstanding shares, we must also consider shares reserved for issuance under convertible debt, warrants or other obligations with equity rights. In addition, equity issuances can potentially trigger various anti-dilution features in our debt and equity instruments that increase the number of shares to be issued and/or reduce the exercise price. This could result in us having inadequate authorized shares to meet our outstanding commitments.</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Capital Needs, FX Series Production, and Bankruptcy Risk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project that we will require substantial additional funds to continue operations and support production of the FF 91, and we also plan to initiate production of our FX Series of vehicles. If additional capital is not secured, we will not have sufficient resources to meet our obligations and continue operations, which could result in bankruptcy protection and asset liquidation, with equity holders receiving little to no recovery. However, the anticipated start of FX Series production is expected to generate new revenue streams and enhance operational performance, thereby partially mitigating near-term cash flow pressures. However, if additional capital is not secured, we will not have sufficient resources to meet our obligations and continue operations, which could result in bankruptcy protection and asset liquidation, with equity holders receiving little to no recovery.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Funding Alternatives and Risks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explore various funding and financing alternatives to fund our ongoing operations and to ramp up production. The particular funding and financing mechanisms, terms, timing, and amounts depend on our assessment of opportunities available in the marketplace and the circumstances of the business at the relevant time. However, there have been delays in securing additional funding commitments, which have exacerbated supply chain pressures, among other things. If our ongoing capital raising efforts are unsuccessful or significantly delayed, or if we experience prolonged material adverse trends in our business, production will be delayed or decreased, and actual use of cash, production volume and revenue for 2025 will vary from our previously disclosed forecasts, and such variances may be material. While we are actively engaged in negotiations with potential financing sources, we may be unable to raise additional capital on terms acceptable to us or at all. In addition to the risk that our assumptions and analyses may prove incorrect, the projections may underestimate the professional fees and other costs to be incurred related to the pursuit of various financing options currently being considered and ongoing legal risks. Capital needs to fund development of our remaining product portfolio will highly depend on the market success and profitability of the FF 91 and the launch of the FX series, and our ability to accurately estimate and control costs. Apart from the FF 91 series and FX series, substantial additional capital will be required to fund operations, research, development, and design efforts for future vehicles.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elevated U.S. import tariffs on electric vehicle components sourced from China could increase our future manufacturing costs as production of the FX Series and other future vehicle models are introduced. While tariffs did not materially impact cost of goods sold for the three months ended March 31, 2025, due to limited production volume, continued reliance on China-based suppliers may contribute to higher input costs, pressure gross margins, and increase the Company's future funding needs.</w:t>
      </w:r>
    </w:p>
    <w:p>
      <w:pPr>
        <w:pStyle w:val="TextBody"/>
        <w:bidi w:val="0"/>
        <w:spacing w:lineRule="auto" w:line="288" w:before="160" w:after="283"/>
        <w:jc w:val="left"/>
        <w:rPr/>
      </w:pPr>
      <w:r>
        <w:rPr>
          <w:rFonts w:ascii="Times New Roman;sans-serif" w:hAnsi="Times New Roman;sans-serif"/>
          <w:b/>
          <w:i/>
          <w:color w:val="000000"/>
          <w:sz w:val="20"/>
        </w:rPr>
        <w:t>Going Concern and Future Capital Strat</w:t>
      </w:r>
      <w:r>
        <w:rPr>
          <w:rFonts w:ascii="Times New Roman;sans-serif" w:hAnsi="Times New Roman;sans-serif"/>
          <w:b w:val="false"/>
          <w:color w:val="000000"/>
          <w:sz w:val="20"/>
        </w:rPr>
        <w:t>egy</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diversified financing structure - including the SPA Portfolio Notes, convertible debt instruments, and equipment financing, and targeted inflows from new debt, and anticipated equity - and our current cash flow projections, our recurring operating losses and continuing negative cash flows from operations continue to raise substantial doubt about our ability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 xml:space="preserve">As of March 31, 2025, our principal source of liquidity was cash on hand totaling $9.5 million, which was held for working capital and general corporate purposes. We also have access to various sources of additional capital, including the SEPA and the SPA Commitments. Our ability to access these sources of capital and further information on amounts available is discussed in Note 2, </w:t>
      </w:r>
      <w:r>
        <w:rPr>
          <w:rFonts w:ascii="Times New Roman;sans-serif" w:hAnsi="Times New Roman;sans-serif"/>
          <w:b w:val="false"/>
          <w:i/>
          <w:color w:val="000000"/>
          <w:sz w:val="20"/>
        </w:rPr>
        <w:t xml:space="preserve">Liquidity and Capital Resources and Going Concern, </w:t>
      </w:r>
      <w:r>
        <w:rPr>
          <w:rFonts w:ascii="Times New Roman;sans-serif" w:hAnsi="Times New Roman;sans-serif"/>
          <w:b w:val="false"/>
          <w:color w:val="000000"/>
          <w:sz w:val="20"/>
        </w:rPr>
        <w:t>of the notes to the Consolidated Financial Statements included in this Form 10-Q.</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Significant Related Party Notes Payable and Notes Payable Facilities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We have been significantly funded by notes payable from related parties and third parties. The related parties include employees as well as affiliates of employees and affiliates and other companies controlled or previously controlled by our founder and Chief Product and User Ecosystem Officer (who, as of April 2025, became Global Co-CEO). For more information on the outstanding related party notes payable and notes payable as well as the related schedules of maturities, see Note 7,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and Note 8, </w:t>
      </w:r>
      <w:r>
        <w:rPr>
          <w:rFonts w:ascii="Times New Roman;sans-serif" w:hAnsi="Times New Roman;sans-serif"/>
          <w:b w:val="false"/>
          <w:i/>
          <w:color w:val="000000"/>
          <w:sz w:val="20"/>
        </w:rPr>
        <w:t>Related Party Transactions</w:t>
      </w:r>
      <w:r>
        <w:rPr>
          <w:rFonts w:ascii="Times New Roman;sans-serif" w:hAnsi="Times New Roman;sans-serif"/>
          <w:b w:val="false"/>
          <w:color w:val="000000"/>
          <w:sz w:val="20"/>
        </w:rPr>
        <w:t>, of the notes to the Consolidated Financial Statements included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notes payable agreements with third parties, which consist of the following as of March 31, 2025:</w:t>
      </w:r>
    </w:p>
    <w:tbl>
      <w:tblPr>
        <w:tblW w:w="11467" w:type="dxa"/>
        <w:jc w:val="center"/>
        <w:tblInd w:w="0" w:type="dxa"/>
        <w:tblLayout w:type="fixed"/>
        <w:tblCellMar>
          <w:top w:w="28" w:type="dxa"/>
          <w:left w:w="28" w:type="dxa"/>
          <w:bottom w:w="28" w:type="dxa"/>
          <w:right w:w="28" w:type="dxa"/>
        </w:tblCellMar>
      </w:tblPr>
      <w:tblGrid>
        <w:gridCol w:w="1055"/>
        <w:gridCol w:w="467"/>
        <w:gridCol w:w="264"/>
        <w:gridCol w:w="109"/>
        <w:gridCol w:w="109"/>
        <w:gridCol w:w="109"/>
        <w:gridCol w:w="385"/>
        <w:gridCol w:w="385"/>
        <w:gridCol w:w="386"/>
        <w:gridCol w:w="109"/>
        <w:gridCol w:w="109"/>
        <w:gridCol w:w="109"/>
        <w:gridCol w:w="110"/>
        <w:gridCol w:w="110"/>
        <w:gridCol w:w="110"/>
        <w:gridCol w:w="110"/>
        <w:gridCol w:w="110"/>
        <w:gridCol w:w="110"/>
        <w:gridCol w:w="110"/>
        <w:gridCol w:w="110"/>
        <w:gridCol w:w="111"/>
        <w:gridCol w:w="109"/>
        <w:gridCol w:w="109"/>
        <w:gridCol w:w="109"/>
        <w:gridCol w:w="211"/>
        <w:gridCol w:w="721"/>
        <w:gridCol w:w="109"/>
        <w:gridCol w:w="109"/>
        <w:gridCol w:w="109"/>
        <w:gridCol w:w="109"/>
        <w:gridCol w:w="219"/>
        <w:gridCol w:w="748"/>
        <w:gridCol w:w="114"/>
        <w:gridCol w:w="109"/>
        <w:gridCol w:w="109"/>
        <w:gridCol w:w="109"/>
        <w:gridCol w:w="211"/>
        <w:gridCol w:w="73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 xml:space="preserve">Interest </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Measurement</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Unsecured SPA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 Unsecured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Notes payable,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March 31, 2025:</w:t>
      </w:r>
    </w:p>
    <w:tbl>
      <w:tblPr>
        <w:tblW w:w="8027" w:type="dxa"/>
        <w:jc w:val="center"/>
        <w:tblInd w:w="0" w:type="dxa"/>
        <w:tblLayout w:type="fixed"/>
        <w:tblCellMar>
          <w:top w:w="28" w:type="dxa"/>
          <w:left w:w="28" w:type="dxa"/>
          <w:bottom w:w="28" w:type="dxa"/>
          <w:right w:w="28" w:type="dxa"/>
        </w:tblCellMar>
      </w:tblPr>
      <w:tblGrid>
        <w:gridCol w:w="1184"/>
        <w:gridCol w:w="1041"/>
        <w:gridCol w:w="1044"/>
        <w:gridCol w:w="109"/>
        <w:gridCol w:w="109"/>
        <w:gridCol w:w="109"/>
        <w:gridCol w:w="424"/>
        <w:gridCol w:w="424"/>
        <w:gridCol w:w="426"/>
        <w:gridCol w:w="109"/>
        <w:gridCol w:w="109"/>
        <w:gridCol w:w="109"/>
        <w:gridCol w:w="434"/>
        <w:gridCol w:w="434"/>
        <w:gridCol w:w="436"/>
        <w:gridCol w:w="109"/>
        <w:gridCol w:w="109"/>
        <w:gridCol w:w="109"/>
        <w:gridCol w:w="211"/>
        <w:gridCol w:w="616"/>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Convertible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2025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March Unsecured SPA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on Demand —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FFGP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 - 5.27%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FFGP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Cash Flow Analysis</w:t>
      </w:r>
    </w:p>
    <w:tbl>
      <w:tblPr>
        <w:tblW w:w="7821" w:type="dxa"/>
        <w:jc w:val="left"/>
        <w:tblInd w:w="0" w:type="dxa"/>
        <w:tblLayout w:type="fixed"/>
        <w:tblCellMar>
          <w:top w:w="28" w:type="dxa"/>
          <w:left w:w="28" w:type="dxa"/>
          <w:bottom w:w="28" w:type="dxa"/>
          <w:right w:w="28" w:type="dxa"/>
        </w:tblCellMar>
      </w:tblPr>
      <w:tblGrid>
        <w:gridCol w:w="1771"/>
        <w:gridCol w:w="1557"/>
        <w:gridCol w:w="1562"/>
        <w:gridCol w:w="109"/>
        <w:gridCol w:w="109"/>
        <w:gridCol w:w="109"/>
        <w:gridCol w:w="211"/>
        <w:gridCol w:w="796"/>
        <w:gridCol w:w="109"/>
        <w:gridCol w:w="109"/>
        <w:gridCol w:w="109"/>
        <w:gridCol w:w="109"/>
        <w:gridCol w:w="211"/>
        <w:gridCol w:w="796"/>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We continue to experience negative operating cash flows as we advance the design and development of our vehicles and expand our infrastructure in both the United States and China. Our operating cash flows are significantly affected by fluctuations in working capital components, including changes in personnel expenses, accounts payable, accrued interest, other current liabilities, deposits, and current assets. For the three months ended March 31, 2025, net cash used in operating activities was $20.3 million, compared to $14.7 million for the same period in </w:t>
      </w:r>
      <w:r>
        <w:rPr>
          <w:rFonts w:ascii="Times New Roman;sans-serif" w:hAnsi="Times New Roman;sans-serif"/>
          <w:b w:val="false"/>
          <w:color w:val="000000"/>
          <w:sz w:val="20"/>
          <w:shd w:fill="FFFFFF" w:val="clear"/>
        </w:rPr>
        <w:t xml:space="preserve">2024, reflecting a </w:t>
      </w:r>
      <w:r>
        <w:rPr>
          <w:rFonts w:ascii="Times New Roman;sans-serif" w:hAnsi="Times New Roman;sans-serif"/>
          <w:b w:val="false"/>
          <w:color w:val="000000"/>
          <w:sz w:val="20"/>
        </w:rPr>
        <w:t>$5.6 million</w:t>
      </w:r>
      <w:r>
        <w:rPr>
          <w:color w:val="000000"/>
          <w:shd w:fill="FFFFFF" w:val="clear"/>
        </w:rPr>
        <w:t xml:space="preserve"> </w:t>
      </w:r>
      <w:r>
        <w:rPr>
          <w:rFonts w:ascii="Times New Roman;sans-serif" w:hAnsi="Times New Roman;sans-serif"/>
          <w:b w:val="false"/>
          <w:color w:val="000000"/>
          <w:sz w:val="20"/>
          <w:shd w:fill="FFFFFF" w:val="clear"/>
        </w:rPr>
        <w:t>increase in cash outflows</w:t>
      </w:r>
      <w:r>
        <w:rPr>
          <w:rFonts w:ascii="Times New Roman;sans-serif" w:hAnsi="Times New Roman;sans-serif"/>
          <w:b w:val="false"/>
          <w:color w:val="000000"/>
          <w:sz w:val="20"/>
        </w:rPr>
        <w:t>.</w:t>
      </w:r>
    </w:p>
    <w:p>
      <w:pPr>
        <w:pStyle w:val="TextBody"/>
        <w:bidi w:val="0"/>
        <w:spacing w:lineRule="auto" w:line="288" w:before="160" w:after="283"/>
        <w:ind w:left="0" w:right="0" w:firstLine="540"/>
        <w:jc w:val="both"/>
        <w:rPr/>
      </w:pPr>
      <w:r>
        <w:rPr>
          <w:rFonts w:ascii="Times New Roman;sans-serif" w:hAnsi="Times New Roman;sans-serif"/>
          <w:b w:val="false"/>
          <w:i/>
          <w:color w:val="000000"/>
          <w:sz w:val="20"/>
          <w:u w:val="single"/>
        </w:rPr>
        <w:t>Net Loss:</w:t>
      </w:r>
      <w:r>
        <w:rPr>
          <w:color w:val="000000"/>
        </w:rPr>
        <w:t xml:space="preserve"> </w:t>
      </w:r>
      <w:r>
        <w:rPr>
          <w:rFonts w:ascii="Times New Roman;sans-serif" w:hAnsi="Times New Roman;sans-serif"/>
          <w:b w:val="false"/>
          <w:color w:val="000000"/>
          <w:sz w:val="20"/>
        </w:rPr>
        <w:t xml:space="preserve">The reduction of $37.9 million in Net loss is an improvement in </w:t>
      </w:r>
      <w:r>
        <w:rPr>
          <w:rFonts w:ascii="Times New Roman;sans-serif" w:hAnsi="Times New Roman;sans-serif"/>
          <w:b w:val="false"/>
          <w:color w:val="000000"/>
          <w:sz w:val="20"/>
          <w:shd w:fill="FFFFFF" w:val="clear"/>
        </w:rPr>
        <w:t>2025</w:t>
      </w:r>
      <w:r>
        <w:rPr>
          <w:color w:val="000000"/>
        </w:rPr>
        <w:t xml:space="preserve"> </w:t>
      </w:r>
      <w:r>
        <w:rPr>
          <w:rFonts w:ascii="Times New Roman;sans-serif" w:hAnsi="Times New Roman;sans-serif"/>
          <w:b w:val="false"/>
          <w:color w:val="000000"/>
          <w:sz w:val="20"/>
        </w:rPr>
        <w:t xml:space="preserve">compared to the same period in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however, this figure includes various non-cash transactions that are excluded when calculating cash flow from operating activities.</w:t>
      </w:r>
    </w:p>
    <w:p>
      <w:pPr>
        <w:pStyle w:val="TextBody"/>
        <w:bidi w:val="0"/>
        <w:spacing w:lineRule="auto" w:line="288" w:before="160" w:after="283"/>
        <w:ind w:left="0" w:right="0" w:firstLine="540"/>
        <w:jc w:val="both"/>
        <w:rPr/>
      </w:pPr>
      <w:r>
        <w:rPr>
          <w:rFonts w:ascii="Times New Roman;sans-serif" w:hAnsi="Times New Roman;sans-serif"/>
          <w:b w:val="false"/>
          <w:i/>
          <w:color w:val="000000"/>
          <w:sz w:val="20"/>
          <w:u w:val="single"/>
        </w:rPr>
        <w:t>Non-cash adjustments:</w:t>
      </w:r>
      <w:r>
        <w:rPr>
          <w:color w:val="000000"/>
        </w:rPr>
        <w:t xml:space="preserve"> </w:t>
      </w:r>
      <w:r>
        <w:rPr>
          <w:rFonts w:ascii="Times New Roman;sans-serif" w:hAnsi="Times New Roman;sans-serif"/>
          <w:b w:val="false"/>
          <w:color w:val="000000"/>
          <w:sz w:val="20"/>
        </w:rPr>
        <w:t xml:space="preserve">Non-cash adjustments decreased by $29.3 million for the three months ended March 31, 2025 compared to the same period in </w:t>
      </w:r>
      <w:r>
        <w:rPr>
          <w:rFonts w:ascii="Times New Roman;sans-serif" w:hAnsi="Times New Roman;sans-serif"/>
          <w:b w:val="false"/>
          <w:color w:val="000000"/>
          <w:sz w:val="20"/>
          <w:shd w:fill="FFFFFF" w:val="clear"/>
        </w:rPr>
        <w:t>2024</w:t>
      </w:r>
      <w:r>
        <w:rPr>
          <w:rFonts w:ascii="Times New Roman;sans-serif" w:hAnsi="Times New Roman;sans-serif"/>
          <w:b w:val="false"/>
          <w:color w:val="000000"/>
          <w:sz w:val="20"/>
        </w:rPr>
        <w:t>. This decrease was comprised of a $23.6 million decrease in fair value adjustments on Change in fair value of notes payable, warrant liabilities, and derivative call options, and a $13.1 million decrease in Loss from settlement of related party notes payable. These adjustments were partially offset by a $4.5 million increase in Loss from settlement of notes payable. As these adjustments do not represent actual cash changes, they are disclosed for reconciliation purposes consistent with the cash flow statement.</w:t>
      </w:r>
    </w:p>
    <w:p>
      <w:pPr>
        <w:pStyle w:val="TextBody"/>
        <w:bidi w:val="0"/>
        <w:spacing w:lineRule="auto" w:line="288" w:before="160" w:after="283"/>
        <w:ind w:left="0" w:right="0" w:firstLine="540"/>
        <w:jc w:val="both"/>
        <w:rPr/>
      </w:pPr>
      <w:r>
        <w:rPr>
          <w:rFonts w:ascii="Times New Roman;sans-serif" w:hAnsi="Times New Roman;sans-serif"/>
          <w:b w:val="false"/>
          <w:i/>
          <w:color w:val="000000"/>
          <w:sz w:val="20"/>
          <w:u w:val="single"/>
        </w:rPr>
        <w:t>Changes in working capital:</w:t>
      </w:r>
      <w:r>
        <w:rPr>
          <w:color w:val="000000"/>
        </w:rPr>
        <w:t xml:space="preserve"> </w:t>
      </w:r>
      <w:r>
        <w:rPr>
          <w:rFonts w:ascii="Times New Roman;sans-serif" w:hAnsi="Times New Roman;sans-serif"/>
          <w:b w:val="false"/>
          <w:color w:val="000000"/>
          <w:sz w:val="20"/>
        </w:rPr>
        <w:t xml:space="preserve">Changes in working capital decreased by $13.6 million for the three months ended March 31, 2025 compared to the same period in </w:t>
      </w:r>
      <w:r>
        <w:rPr>
          <w:rFonts w:ascii="Times New Roman;sans-serif" w:hAnsi="Times New Roman;sans-serif"/>
          <w:b w:val="false"/>
          <w:color w:val="000000"/>
          <w:sz w:val="20"/>
          <w:shd w:fill="FFFFFF" w:val="clear"/>
        </w:rPr>
        <w:t xml:space="preserve">2024. </w:t>
      </w:r>
      <w:r>
        <w:rPr>
          <w:rFonts w:ascii="Times New Roman;sans-serif" w:hAnsi="Times New Roman;sans-serif"/>
          <w:b w:val="false"/>
          <w:color w:val="000000"/>
          <w:sz w:val="20"/>
        </w:rPr>
        <w:t>For the three months ended March 31, 2025, changes in working capital included unfavorable shifts in our operating assets and liabilities. Notable contributors to the change were a $4.4 million change in Inventory balances, a $8.8 million change in Deposits, and a $5.1 million change in Accrued interest expense. These were partially offset by a $5.2 million change in Accrued expenses and other current and non-current liabilities. While these figures are detailed in the cash flow statement, they underscore the critical role that effective working capital management has played in reducing our operating cash outflows. The reductions in cash outlays for working capital purposes result from our cost-saving and cash management measures.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Net cash used in investing activities was $1.6 million and $0 for the three months ended March 31, 2025 and 2024, respectively. </w:t>
      </w:r>
      <w:r>
        <w:rPr>
          <w:rFonts w:ascii="Times New Roman;sans-serif" w:hAnsi="Times New Roman;sans-serif"/>
          <w:b w:val="false"/>
          <w:color w:val="000000"/>
          <w:sz w:val="20"/>
          <w:shd w:fill="FFFFFF" w:val="clear"/>
        </w:rPr>
        <w:t>This change was driven by a increase in the acquisition of fixed assets due to the reduction of liquidity.</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 xml:space="preserve">Amid a challenging financing environment, we are actively seeking strategic opportunities to boost our cash reserves and support growth using a mix of convertible loans and non-convertible funding. For the three months ended March 31, 2025, financing activities provided a net cash inflow of $24.6 million, compared to a net cash inflow of $12.0 million in 2024—an increase of $12.6 million. The improvement reflects the Company’s continued ability to secure financing despite a challenging capital markets environment. In 2025, proceeds from notes payable were $22.0 million, up by $13.0 million from $9.0 million in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Our proceeds from related party notes payable decreased to $1.9 million in 2025 from $3.0 million in 2024, a decrease of $1.1 million. Moreover, financing proceeds from other financial obligations transactions totaled $1.1 million for the </w:t>
      </w:r>
      <w:r>
        <w:rPr>
          <w:rFonts w:ascii="Times New Roman;sans-serif" w:hAnsi="Times New Roman;sans-serif"/>
          <w:b w:val="false"/>
          <w:color w:val="000000"/>
          <w:sz w:val="20"/>
        </w:rPr>
        <w:t>three months ended March 31, 2025</w:t>
      </w:r>
      <w:r>
        <w:rPr>
          <w:rFonts w:ascii="Times New Roman;sans-serif" w:hAnsi="Times New Roman;sans-serif"/>
          <w:b w:val="false"/>
          <w:color w:val="000000"/>
          <w:sz w:val="20"/>
          <w:shd w:fill="FFFFFF" w:val="clear"/>
        </w:rPr>
        <w:t xml:space="preserve">, compared to no similar proceeds for the </w:t>
      </w:r>
      <w:r>
        <w:rPr>
          <w:rFonts w:ascii="Times New Roman;sans-serif" w:hAnsi="Times New Roman;sans-serif"/>
          <w:b w:val="false"/>
          <w:color w:val="000000"/>
          <w:sz w:val="20"/>
        </w:rPr>
        <w:t>three months ended March 31, 2024</w:t>
      </w:r>
      <w:r>
        <w:rPr>
          <w:rFonts w:ascii="Times New Roman;sans-serif" w:hAnsi="Times New Roman;sans-serif"/>
          <w:b w:val="false"/>
          <w:color w:val="000000"/>
          <w:sz w:val="20"/>
          <w:shd w:fill="FFFFFF" w:val="clear"/>
        </w:rPr>
        <w:t>.</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 of Exchange Rate Changes on Cash and Restricted Cash</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exchange rates effect on cash and restricted cash was $0.4 million and $0 for the three months ended March 31, 2025 and 2024, respectively. The effects of exchange rate changes on cash and restricted cash result from fluctuations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translation of assets and liabilities denominated in foreign currencies, primarily Chinese Yuan. Fluctuations in exchange rates against the U.S. Dollar may positively or negatively affect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we did not have any off-balance sheet arrangements as of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Unaudited Condensed Consolidated Financial Statements for the three months ended March 31, 2025, in accordance GAAP requires management to make estimates and assumptions that affect the reported amounts of assets and liabilities, the disclosure of contingent liabilities, and the reported amounts of expenses during the reporting period. Management bases these estimates on historical experience and on various other assumptions believed to be reasonable under the circumstances, the results of which form the basis for making judgments that are not readily apparent from other sources.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may differ from these estimates under different assumptions or conditions. Changes in accounting estimates are reasonably likely to occur from period to period. Accordingly, actual results could differ significantly from management’s estimates, and such differences may materially affect our financial position, results of operations, or cash flows. Given current global macroeconomic and geopolitical conditions, our estimates are subject to additional variability and volatility.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defined as estimates made in accordance with GAAP that involve a significant level of estimation uncertainty and have had or are reasonably likely to have a material impact on our financial condition or results of operations. For a description of our critical accounting estimates, refer to the section titled “Critical Accounting Estimates” in Management’s Discussion and Analysis of Financial Condition and Results of Operations, set forth in Part II, Item 7 of our Form 10-K for the year ended December 31, 2024, filed with the SEC on March 31, 2025.</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report, there have been no changes to our critical accounting estimates described in the Form 10-K that have had a material impact on our Unaudited Condensed Consolidated Financial Statements and related footnotes.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See the sections titled “</w:t>
      </w:r>
      <w:r>
        <w:rPr>
          <w:rFonts w:ascii="Times New Roman;sans-serif" w:hAnsi="Times New Roman;sans-serif"/>
          <w:b w:val="false"/>
          <w:i/>
          <w:color w:val="000000"/>
          <w:sz w:val="20"/>
          <w:shd w:fill="FFFFFF" w:val="clear"/>
        </w:rPr>
        <w:t>Recent Accounting Pronouncements” in</w:t>
      </w:r>
      <w:r>
        <w:rPr>
          <w:color w:val="000000"/>
          <w:shd w:fill="FFFFFF" w:val="clear"/>
        </w:rPr>
        <w:t xml:space="preserve"> </w:t>
      </w:r>
      <w:r>
        <w:rPr>
          <w:rFonts w:ascii="Times New Roman;sans-serif" w:hAnsi="Times New Roman;sans-serif"/>
          <w:b w:val="false"/>
          <w:color w:val="000000"/>
          <w:sz w:val="20"/>
          <w:shd w:fill="FFFFFF" w:val="clear"/>
        </w:rPr>
        <w:t xml:space="preserve">Note 1, </w:t>
      </w:r>
      <w:r>
        <w:rPr>
          <w:rFonts w:ascii="Times New Roman;sans-serif" w:hAnsi="Times New Roman;sans-serif"/>
          <w:b w:val="false"/>
          <w:i/>
          <w:color w:val="000000"/>
          <w:sz w:val="20"/>
          <w:shd w:fill="FFFFFF" w:val="clear"/>
        </w:rPr>
        <w:t>Nature of Business and Organization, Basis of Presentation, and Summary of Significant Accounting Policies</w:t>
      </w:r>
      <w:r>
        <w:rPr>
          <w:color w:val="000000"/>
          <w:shd w:fill="FFFFFF" w:val="clear"/>
        </w:rPr>
        <w:t xml:space="preserve"> </w:t>
      </w:r>
      <w:r>
        <w:rPr>
          <w:rFonts w:ascii="Times New Roman;sans-serif" w:hAnsi="Times New Roman;sans-serif"/>
          <w:b w:val="false"/>
          <w:color w:val="000000"/>
          <w:sz w:val="20"/>
          <w:shd w:fill="FFFFFF" w:val="clear"/>
        </w:rPr>
        <w:t>in our Unaudited Condensed Consolidated Financial Statements included elsewhere in this Form 10-Q for a discussion about our recently adopted accounting pronouncements and the recently issued accounting pronouncements not yet adopted which are determined to be applicable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305(e) of Regulation S-K, we are not required to provide the information under this Item as we qualify as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Company’s disclosure controls and procedures are designed to ensure that information required to be disclosed by the issuer in the reports that the Company files or submits under the Exchange Act, is recorded, processed, summarized, and reported within the tim</w:t>
      </w:r>
      <w:r>
        <w:rPr>
          <w:rFonts w:ascii="Times New Roman;sans-serif" w:hAnsi="Times New Roman;sans-serif"/>
          <w:b w:val="false"/>
          <w:color w:val="000000"/>
          <w:sz w:val="20"/>
          <w:shd w:fill="FFFFFF" w:val="clear"/>
        </w:rPr>
        <w:t xml:space="preserve">e periods specified in the Security Exchange Commission's (“SEC”) rules and forms, and that such information is accumulated and communicated to management, including its Global Co-CEOs and Chief Financial Officer (“CFO”), as appropriate to allow timely decisions regarding required disclosure.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an evaluation of the Company’s disclosure controls and procedures (as defined in rules 13a-15(e) and 15d-15(e) of the Exchange Act), the Company’s Global Co-CEOs and CFO (its principal executive officers and principal financial and accounting officer, respectively) have concluded that the Company’s disclosure controls and procedures were not effective as of March 31, 2025, due to the material weaknesses in the Company’s internal control over financial reporting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Management’s Report on Internal Control Over Financial Reporting</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management is responsible for establishing and maintaining adequate internal control over financial reporting, as such term is defined under Rule 13a-15(f) under the Exchange Act. Under the supervision and with the participation of the Company’s management, including the Company’s Global Co-CEOs and CFO, the Company conducted an evaluation of the effectiveness of the Company’s internal control over financial reporting based on the framework in Internal Control – Integrated Framework issued by the Committee of Sponsoring Organizations of the Treadway Commission (2013 framework). Based on this evaluation, due to the material weaknesses described below, the Company concluded that the system of internal control over financial reporting was not effective.</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identified material weaknesses in its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did not design and maintain an effective control environment commensurate with its financial reporting requirements. Specifically, the Company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did not design and maintain effective controls to address the identification of and accounting for certain non-routine, unusual or complex transactions, including the proper application of generally accepted accounting principles to such transactions. Specifically, the Company did not design and maintain controls to timely identify and account for convertible notes under the fair value option, warrant liabilities, embedded derivatives related to convertible notes, impute interest on related party notes payable with interest rates below market rates, account for failed sale leaseback transactions, and account for warrant instruments.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did not maintain an effective control environment or demonstrate a commitment to maintain integrity and ethical values. Specifically, members of management failed to reinforce the need for compliance and internal control awareness with certain of the Company’s governance, accounting and finance policies and procedures. This resulted in inaccurate and incomplete disclosures of certain relationships, arrangements, and transactions.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did not design and maintain effective controls related to the identification and disclosure of certain arrangements and transactions with related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Although management has established processes for cybersecurity incident assessment and reporting, these processes do not currently include formal procedures for reporting material cybersecurity incidents to the Board.</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of the material weaknesses described above could result in a material misstatement to substantially all of the Company’s accounts or disclosures. </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Remediation Plan for Material Weaknesses in Internal Control Over Financial Reporting</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is actively engaged and committed to taking the steps necessary to remediate the control deficiencies that constituted the material weaknesses. Since identifying the material weaknesses described above, the Company made the following enhancements to the Company’s internal control over financial reporting: </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has added and will continue to add finance and accounting personnel to the organization to strengthen its finance and accounting teams. The additional personnel are expected to provide oversight, structure, reporting lines, and additional review over the Company’s disclosures;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has implemented and will continue to develop new accounting policies and procedures, and the Company has installed and continues to configure an IT system relevant to the preparation of the Company’s financial statements to improve communication of key areas across the different departments at the Company and to provide adequate structure, accountability, and segregation of duties;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has implemented and will continue to develop enhanced controls around the Company’s related party transactions, including regular attestations; and</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Company adopted an Insider Investment Reporting Policy to enhance internal reporting of related party transactions.</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remediation activities are continuing during 2025. There has been substantial changes to the composition of the Board as a result of the governance settlement entered into between the Company and FF Global, as well as substantial turnover in key management personnel, including accounting, legal and compliance personnel, which could impact its ability to implement the above-described remedial measures. In addition, the Company has engaged various advisory firms to provide consulting services to assist in improving the internal control environment and reviewing the corporate organization on a go-forward basis.</w:t>
      </w:r>
    </w:p>
    <w:p>
      <w:pPr>
        <w:pStyle w:val="TextBody"/>
        <w:bidi w:val="0"/>
        <w:spacing w:lineRule="auto" w:line="288" w:before="160" w:after="160"/>
        <w:ind w:left="0" w:right="0" w:firstLine="540"/>
        <w:jc w:val="both"/>
        <w:rPr/>
      </w:pPr>
      <w:r>
        <w:rPr>
          <w:rFonts w:ascii="Times New Roman;sans-serif" w:hAnsi="Times New Roman;sans-serif"/>
          <w:b w:val="false"/>
          <w:color w:val="000000"/>
          <w:sz w:val="20"/>
          <w:shd w:fill="FFFFFF" w:val="clear"/>
        </w:rPr>
        <w:t xml:space="preserve">In addition,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certain departments within the Company report to both Mr. Jia and Mr. Aydt, including the Company’s user ecosystem, capital markets, human resources and administration, and FF China (“FFCN”), subject to processes and controls that have been determined and continue to be developed by the Board after consultation with the Company’s management. Further, the Board deter</w:t>
      </w:r>
      <w:r>
        <w:rPr>
          <w:rFonts w:ascii="Times New Roman;sans-serif" w:hAnsi="Times New Roman;sans-serif"/>
          <w:b w:val="false"/>
          <w:color w:val="000000"/>
          <w:sz w:val="20"/>
        </w:rPr>
        <w:t>mined that Mr. Jia is an “officer” of the Company within the meaning of Section 16 of the Exchange Act, and an “executive officer” of the Company under Rule 3b-7 under the Exchange Act. On April 25, 2025, the Company announced the appointment of Mr. Yueting Jia as Global Co-CEO, jointly leading the Company alongside Matthias Aydt, with a focus on advancing user ecosystem development, supply chain management, EV R&amp;D, finance, legal, and China and Middle East operations. The Company has or is planning to put in place processes and controls to mitigate the risks associated with the changes in Mr. Jia’s responsibilities as well as to enhance oversight and co</w:t>
      </w:r>
      <w:r>
        <w:rPr>
          <w:rFonts w:ascii="Times New Roman;sans-serif" w:hAnsi="Times New Roman;sans-serif"/>
          <w:b w:val="false"/>
          <w:color w:val="000000"/>
          <w:sz w:val="20"/>
          <w:shd w:fill="FFFFFF" w:val="clear"/>
        </w:rPr>
        <w:t>rporate governance, including but not limited to:</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Continuing to monitor the segregation of responsibilities and duties in the Company’s user ecosystem, capital markets, human resources and administration, and FFCN;</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Requiring the Board, or a designated committee of the Board, to approve the signing of financing agreements, the hiring, promoting or terminating vice presidents of the Company and above (including additional Section 16 officers), and the adoption of Company-wide compensation policies;</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While in March 2023 the Company hired a Compliance Officer with the title of a Deputy General Counsel to support its compliance efforts, (hired in March 2023),it will continue to review the need to employ a Chief Compliance Officer who will report on a dotted line to the Chair of the Audit Committee of the Baoard, and </w:t>
      </w:r>
    </w:p>
    <w:p>
      <w:pPr>
        <w:pStyle w:val="TextBody"/>
        <w:bidi w:val="0"/>
        <w:spacing w:lineRule="auto" w:line="288" w:before="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Re-engaging external consulting resources to review compliance activities and perform work in the capacity of an internal audit function, who will report on a dotted line to the Chair of the Audit Committee of the Board.</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the above actions and in view of the governance changes that the Company implemented pursuant to the Heads of Agreement and Amended Shareholder Agreement and otherwise, the Company expects to engage in additional activities, including, but not limited to: </w:t>
      </w:r>
    </w:p>
    <w:p>
      <w:pPr>
        <w:pStyle w:val="TextBody"/>
        <w:bidi w:val="0"/>
        <w:spacing w:lineRule="auto" w:line="288" w:before="16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Continuing to hire key finance and accounting personnel as the Company scales and until it has sufficient technical accounting resources, combined with engaging external consultants to provide support and to assist in the evaluation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 more complex applications of generally accepted accounting principles and to assist with documenting and assessing its accounting policies and procedures;</w:t>
      </w:r>
    </w:p>
    <w:p>
      <w:pPr>
        <w:pStyle w:val="TextBody"/>
        <w:bidi w:val="0"/>
        <w:spacing w:lineRule="auto" w:line="288" w:before="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Designing and implementing controls in response to the risks of material misstatement to identify and evaluate changes in the Company’s business and the impact on internal controls;</w:t>
      </w:r>
    </w:p>
    <w:p>
      <w:pPr>
        <w:pStyle w:val="TextBody"/>
        <w:bidi w:val="0"/>
        <w:spacing w:lineRule="auto" w:line="288" w:before="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Designing and implementing controls for communicating and sharing information between legal, capital markets, and accounting to facilitate transactions being recorded timely and accurately;</w:t>
      </w:r>
    </w:p>
    <w:p>
      <w:pPr>
        <w:pStyle w:val="TextBody"/>
        <w:bidi w:val="0"/>
        <w:spacing w:lineRule="auto" w:line="288" w:before="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Designing and implementing formal processes, accounting policies, procedures, and controls supporting certain business processes and its financial close process, including creating standard balance sheet reconciliation templates and journal entry controls assessing the reliability of reports and spreadsheets used in controls; and the timely identification and accounting for cut-off of expenditures;</w:t>
      </w:r>
    </w:p>
    <w:p>
      <w:pPr>
        <w:pStyle w:val="TextBody"/>
        <w:bidi w:val="0"/>
        <w:spacing w:lineRule="auto" w:line="288" w:before="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Designing and implementing controls to address the identification of and accounting for certain non-routine, unusual or complex transactions;</w:t>
      </w:r>
    </w:p>
    <w:p>
      <w:pPr>
        <w:pStyle w:val="TextBody"/>
        <w:bidi w:val="0"/>
        <w:spacing w:lineRule="auto" w:line="288" w:before="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Designing and implementing controls related to the identification and disclosure of certain arrangements and transactions with related parties;</w:t>
      </w:r>
    </w:p>
    <w:p>
      <w:pPr>
        <w:pStyle w:val="TextBody"/>
        <w:bidi w:val="0"/>
        <w:spacing w:lineRule="auto" w:line="288" w:before="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Continuing to implement additional IT systems relevant to the preparation of the Company’s financial statements and controls over financial reporting to improve communication of key areas across the different departments at the Company and to provide adequate structure, accountability, and segregation of duties; and</w:t>
      </w:r>
    </w:p>
    <w:p>
      <w:pPr>
        <w:pStyle w:val="TextBody"/>
        <w:bidi w:val="0"/>
        <w:spacing w:lineRule="auto" w:line="288" w:before="40" w:after="283"/>
        <w:ind w:left="0" w:right="0" w:hanging="360"/>
        <w:jc w:val="left"/>
        <w:rPr/>
      </w:pPr>
      <w:r>
        <w:rPr>
          <w:color w:val="000000"/>
          <w:shd w:fill="FFFFFF" w:val="clear"/>
        </w:rPr>
        <w:t>•</w:t>
      </w:r>
      <w:r>
        <w:rPr>
          <w:rFonts w:ascii="Times New Roman;sans-serif" w:hAnsi="Times New Roman;sans-serif"/>
          <w:b w:val="false"/>
          <w:color w:val="000000"/>
          <w:sz w:val="20"/>
          <w:shd w:fill="FFFFFF" w:val="clear"/>
        </w:rPr>
        <w:t>Designing and implementing IT general controls, including controls over change management, the review and update of user access controls and controls over critical batch jobs and data backups.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Company has made progress, the material weaknesses will not be considered remediated until the Company completes the design and implementation of the enhanced controls, the controls operate for a sufficient period of time, and the Company has concluded, through testing, that these controls are effective. The Company believes that the remediation plan will be sufficient to remediate the identified material weakness and strengthen internal control over financial reporting.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 continues to evaluate and work to improve internal control over financial reporting, the Company may determine that additional measures or modifications to the remediation plan are necessary.</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The Company is working to rem</w:t>
      </w:r>
      <w:r>
        <w:rPr>
          <w:rFonts w:ascii="Times New Roman;sans-serif" w:hAnsi="Times New Roman;sans-serif"/>
          <w:b w:val="false"/>
          <w:color w:val="000000"/>
          <w:sz w:val="20"/>
          <w:shd w:fill="FFFFFF" w:val="clear"/>
        </w:rPr>
        <w:t>ediate the material weaknesses as efficiently and effectively as possible and expects full remediation could potentially go beyond December 31, 2025. At this time, the Company cannot provide an estimate of costs expected to be incurred in connection with implementing this remediation plan; however, these remediation measures will be time consuming, will result in the Company incurring significant costs, and will place s</w:t>
      </w:r>
      <w:r>
        <w:rPr>
          <w:rFonts w:ascii="Times New Roman;sans-serif" w:hAnsi="Times New Roman;sans-serif"/>
          <w:b w:val="false"/>
          <w:color w:val="000000"/>
          <w:sz w:val="20"/>
        </w:rPr>
        <w:t>ignificant demands on the Company’s financial and operational resources.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While the Company believes these efforts will remediate the material weaknesses, the Company may not be able to complete its evaluation, testing or any required remediation in a timely fashion, or at all. The Company cannot assure that the measures that have been taken to date and may be taken in the future, will be sufficient to remediate the control deficiencies that led to the material weaknesses in internal control over financial reporting or that they will prevent or avoid potential future material weaknesses. The effectiveness of the Company’s internal control over financial reporting is subject to various inherent limitations, including cost limitations, judgments used in decision making, assumptions about the likelihood of future events, the possibility of human error and the risk of fraud. Further loss and/or turnover in key management personnel, particularly accounting, finance and legal personnel, may negatively impact the Company’s ability to implement its remediation plan. If the Company is unable to remediate its material weaknesses, the Company’s ability to record, process and report financial information accurately, and to prepare financial statements within the time periods specified by the forms of the SEC, could be adversely affected which, in turn, may adversely affect the Company’s reputation and business and the market price of the Class A Common Stock. Any such failures could result in litigation or regulato</w:t>
      </w:r>
      <w:r>
        <w:rPr>
          <w:rFonts w:ascii="Times New Roman;sans-serif" w:hAnsi="Times New Roman;sans-serif"/>
          <w:b w:val="false"/>
          <w:color w:val="000000"/>
          <w:sz w:val="20"/>
          <w:shd w:fill="FFFFFF" w:val="clear"/>
        </w:rPr>
        <w:t>ry actions by the SEC or other regulatory authorities, loss of investor confidence, delisting of the Company’s securities and harm to the Company’s reputation and financial condition, or diversion of financial and management resources from the operation of the Company’s business.</w:t>
      </w:r>
    </w:p>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Internal Control Over Financial Reporting</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There have been no changes in internal control over financial reporting during the three months ended March 31, 2025, that have materially affected, or are reasonably likely to materially affect, the company’s internal control over financial reporting. </w:t>
      </w:r>
    </w:p>
    <w:p>
      <w:pPr>
        <w:pStyle w:val="TextBody"/>
        <w:bidi w:val="0"/>
        <w:spacing w:lineRule="auto" w:line="288" w:before="16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Following the end of the quarter, the Company remediated the previously identified material weakness related to the lack of formal procedures for reporting material cybersecurity incidents to the Board by updating its Cybersecurity Incident Reporting Policy. Management believes that this enhancement strengthens the Company’s internal control environment and improves its cybersecurity governance framework.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pPr>
      <w:r>
        <w:rPr>
          <w:rFonts w:ascii="Times New Roman;sans-serif" w:hAnsi="Times New Roman;sans-serif"/>
          <w:b/>
          <w:color w:val="000000"/>
          <w:sz w:val="20"/>
        </w:rPr>
        <w:t>PART</w:t>
      </w:r>
      <w:r>
        <w:rPr>
          <w:color w:val="000000"/>
          <w:shd w:fill="FFFFFF" w:val="clear"/>
        </w:rPr>
        <w:t> </w:t>
      </w:r>
      <w:r>
        <w:rPr>
          <w:rFonts w:ascii="Times New Roman;sans-serif" w:hAnsi="Times New Roman;sans-serif"/>
          <w:b/>
          <w:color w:val="000000"/>
          <w:sz w:val="20"/>
          <w:shd w:fill="FFFFFF" w:val="clear"/>
        </w:rPr>
        <w:t>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From time to time, the Company may become involved in legal proceedings arising in the ordinary course of business. The Company is currently a party to various legal or governmental proceedings, the outcome of which, although currently uncertain, if determined adversely to us, could individually or in the aggregate have a material adverse effect on the Company’s business, financial condition, and results of operations. See the section titled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 xml:space="preserve">in Note 11,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included in the notes to the Company’s Unaudited Condensed Consolidated Financial Statements contained within this Form 10-Q for further discussion of its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shd w:fill="FFFFFF" w:val="clear"/>
        </w:rPr>
        <w:t>There have been no material changes from the risk factors previously described under Item 1A of the December 31, 2024 Form 10-K, filed on March 3</w:t>
      </w:r>
      <w:r>
        <w:rPr>
          <w:rFonts w:ascii="Times New Roman;sans-serif" w:hAnsi="Times New Roman;sans-serif"/>
          <w:b w:val="false"/>
          <w:color w:val="000000"/>
          <w:sz w:val="20"/>
        </w:rPr>
        <w:t>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Unregistered Equity Issuance – SPA Portfolio Conversions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issued convertible promissory notes and related warrants pursuant to the Securities Purchase Agreement dated March 21, 2025 (the “2025 March Unsecured SPA”). These notes and warrants (collectively, the “2025 March Unsecured SPA Notes” and “2025 March Unsecured SPA Warrants”) form part of the Company’s broader financing program referred to as the SPA Portfolio Notes. The Company received proceeds in the amount of $2.3 million in advance of the first closing, which occurred on April 4, 2025, and which are reported as outstanding notes as of March 31, 2025.</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2025 March Unsecured SPA Notes, the related warrants, and the shares of Series B Preferred Stock issuable in connection therewith were not registered under the Securities Act of 1933, as amended (the “Securities Act”), and were issued in reliance on the exemption from registration provided by Section 4(a)(2) of the Securities Act and Rule 506 of Regulation D promulgated thereunder. These securities were sold solely to accredited investors in private placements without any form of general solicitation or general advertising.</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prior periods, the Company issued additional convertible notes and warrants under the SPA Portfolio Notes program, including the 2023 Unsecured SPA Notes, 2024 Unsecured SPA Notes, and Junior Secured SPA Notes. A resale registration statement on Form S-1 was filed in January 2025 with respect to shares underlying certain of the 2024 Unsecured SPA Warrants and Junior SPA Warrants. However, the registration statement became stale and was not declared effective because the financial statements included in the filing did not meet the SEC’s currency requirements as of February 14, 2025. As of the date of this report, no resale registration statement has been declared effective in 2025.</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Univest Securities acted as placement agent in connection with the initial closing of the 2025 March Unsecured SPA Notes and was paid a placement agent fee and issued placement agent warrants. No underwriters participated in the issuance. Proceeds from the March 2025 financing were used for general corporate purposes and working capital, as further discussed in Note 7, </w:t>
      </w:r>
      <w:r>
        <w:rPr>
          <w:rFonts w:ascii="Times New Roman;sans-serif" w:hAnsi="Times New Roman;sans-serif"/>
          <w:b w:val="false"/>
          <w:i/>
          <w:color w:val="000000"/>
          <w:sz w:val="20"/>
        </w:rPr>
        <w:t>Notes Payable</w:t>
      </w:r>
      <w:r>
        <w:rPr>
          <w:color w:val="000000"/>
        </w:rPr>
        <w:t xml:space="preserve"> </w:t>
      </w:r>
      <w:r>
        <w:rPr>
          <w:rFonts w:ascii="Times New Roman;sans-serif" w:hAnsi="Times New Roman;sans-serif"/>
          <w:b w:val="false"/>
          <w:color w:val="000000"/>
          <w:sz w:val="20"/>
        </w:rPr>
        <w:t>to the Unaudited Condensed Consolidated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Unregistered Equity Issuance – HSL S.r.l. Settlement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2025, the Company issued 774,183 shares of Class A common stock to HSL S.r.l. in settlement of approximately $1.19 million in outstanding payables. The issuance was made pursuant to a private settlement agreement and was not registered under the Securities Act of 1933, as amended (the “Securities Act”). The shares were issued in reliance on the exemption from registration provided by Section 4(a)(2) of the Securities Act as a transaction by an issuer not involving a public offering. No general solicitation or advertising was used in connection with the issuance.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160" w:after="283"/>
        <w:jc w:val="left"/>
        <w:rPr/>
      </w:pPr>
      <w:r>
        <w:rPr/>
      </w:r>
    </w:p>
    <w:p>
      <w:pPr>
        <w:pStyle w:val="TextBody"/>
        <w:bidi w:val="0"/>
        <w:spacing w:lineRule="auto" w:line="288" w:before="160" w:after="283"/>
        <w:jc w:val="left"/>
        <w:rPr/>
      </w:pPr>
      <w:hyperlink w:anchor="i02a5c185076b4780ae6e527206527c6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director or Section 16 officer of the Company entered into, modified or terminated a Rule 10b5-1 trading arrangement or any non-Rule 105b-1 trading arrangement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6. </w:t>
      </w:r>
      <w:bookmarkStart w:id="0" w:name="i13d50eca60c5405ab62ca49fc7c6cc1d_32"/>
      <w:bookmarkEnd w:id="0"/>
      <w:r>
        <w:rPr>
          <w:rFonts w:ascii="Times New Roman;sans-serif" w:hAnsi="Times New Roman;sans-serif"/>
          <w:b/>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1822"/>
        <w:gridCol w:w="1743"/>
        <w:gridCol w:w="1748"/>
        <w:gridCol w:w="109"/>
        <w:gridCol w:w="109"/>
        <w:gridCol w:w="109"/>
        <w:gridCol w:w="978"/>
        <w:gridCol w:w="978"/>
        <w:gridCol w:w="1396"/>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Incorporation by Reference</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
              <w:r>
                <w:rPr>
                  <w:rStyle w:val="InternetLink"/>
                  <w:rFonts w:ascii="Times New Roman;sans-serif" w:hAnsi="Times New Roman;sans-serif"/>
                  <w:b w:val="false"/>
                  <w:color w:val="000080"/>
                  <w:sz w:val="20"/>
                  <w:u w:val="single"/>
                </w:rPr>
                <w:t>Thir</w:t>
              </w:r>
            </w:hyperlink>
            <w:hyperlink r:id="rId3">
              <w:r>
                <w:rPr>
                  <w:rStyle w:val="InternetLink"/>
                  <w:rFonts w:ascii="Times New Roman;sans-serif" w:hAnsi="Times New Roman;sans-serif"/>
                  <w:b w:val="false"/>
                  <w:color w:val="000080"/>
                  <w:sz w:val="20"/>
                  <w:u w:val="single"/>
                </w:rPr>
                <w:t>d Amended and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February 7, 2024.</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4">
              <w:r>
                <w:rPr>
                  <w:rStyle w:val="InternetLink"/>
                  <w:rFonts w:ascii="Times New Roman;sans-serif" w:hAnsi="Times New Roman;sans-serif"/>
                  <w:b w:val="false"/>
                  <w:color w:val="0000FF"/>
                  <w:sz w:val="20"/>
                  <w:u w:val="single"/>
                </w:rPr>
                <w:t>Certificate of Amendment to the Third Amended and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February 7, 2024.</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ans-serif" w:hAnsi="Times New Roman;sans-serif"/>
                  <w:b w:val="false"/>
                  <w:color w:val="0000FF"/>
                  <w:sz w:val="20"/>
                  <w:u w:val="single"/>
                </w:rPr>
                <w:t>Second Certificate of Amendment to the Third Amended and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February 26, 2024.</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FF"/>
                  <w:sz w:val="20"/>
                  <w:u w:val="single"/>
                </w:rPr>
                <w:t>Certificate of Elimination of Series A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3.2 to the Current Report on Form 8-K filed on August 1, 2024.</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20"/>
                  <w:u w:val="single"/>
                </w:rPr>
                <w:t>Third Certificate of Amendment to the Third Amended and Restated Certificate of Incorporation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on Form 8-K filed on August 1, 2024.</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20"/>
                  <w:u w:val="single"/>
                </w:rPr>
                <w:t>Fourth Certificate of Amendment to Third Amended and Restated Certificate of Incorporation of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3.2 to the Current Report on Form 8-K filed on August 15, 2024.</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9">
              <w:r>
                <w:rPr>
                  <w:rStyle w:val="InternetLink"/>
                  <w:rFonts w:ascii="Times New Roman;sans-serif" w:hAnsi="Times New Roman;sans-serif"/>
                  <w:b w:val="false"/>
                  <w:color w:val="0000FF"/>
                  <w:sz w:val="20"/>
                  <w:u w:val="single"/>
                </w:rPr>
                <w:t>Amended and Restated Bylaws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3.2 to the Current Report on Form 8-K filed on June 16, 2023</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0">
              <w:r>
                <w:rPr>
                  <w:rStyle w:val="InternetLink"/>
                  <w:rFonts w:ascii="Times New Roman;sans-serif" w:hAnsi="Times New Roman;sans-serif"/>
                  <w:b w:val="false"/>
                  <w:color w:val="0000FF"/>
                  <w:sz w:val="20"/>
                  <w:u w:val="single"/>
                </w:rPr>
                <w:t>Certificate of Designation of Preferences, Rights and Limitations of Series A Preferred Stock, dated January 22,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of Form 8-K filed on January 31,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1">
              <w:r>
                <w:rPr>
                  <w:rStyle w:val="InternetLink"/>
                  <w:rFonts w:ascii="Times New Roman;sans-serif" w:hAnsi="Times New Roman;sans-serif"/>
                  <w:b w:val="false"/>
                  <w:color w:val="0000FF"/>
                  <w:sz w:val="20"/>
                  <w:u w:val="single"/>
                </w:rPr>
                <w:t>Certificate of Amendment to Amended and Restated Certificate of Incorporation of Faraday Future Intelligent Electric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of Form 8-K filed on March 11,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2">
              <w:r>
                <w:rPr>
                  <w:rStyle w:val="InternetLink"/>
                  <w:rFonts w:ascii="Times New Roman;sans-serif" w:hAnsi="Times New Roman;sans-serif"/>
                  <w:b w:val="false"/>
                  <w:color w:val="0000FF"/>
                  <w:sz w:val="20"/>
                  <w:u w:val="single"/>
                </w:rPr>
                <w:t>Certificate of Elimination of Series A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3.2 to the Current Report of Form 8-K filed on March 11,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3">
              <w:r>
                <w:rPr>
                  <w:rStyle w:val="InternetLink"/>
                  <w:rFonts w:ascii="Times New Roman;sans-serif" w:hAnsi="Times New Roman;sans-serif"/>
                  <w:b w:val="false"/>
                  <w:color w:val="0000FF"/>
                  <w:sz w:val="20"/>
                  <w:u w:val="single"/>
                </w:rPr>
                <w:t>Form of Certificate of Designation of Preferences, Rights and Limitations of Series B Preferred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of Form 8-K filed on March 24,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4">
              <w:r>
                <w:rPr>
                  <w:rStyle w:val="InternetLink"/>
                  <w:rFonts w:ascii="Times New Roman;sans-serif" w:hAnsi="Times New Roman;sans-serif"/>
                  <w:b w:val="false"/>
                  <w:color w:val="0000FF"/>
                  <w:sz w:val="20"/>
                  <w:u w:val="single"/>
                </w:rPr>
                <w:t>Certificate of Designation of Preferences, Rights and Limitations of Series B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of Form 8-K filed on April 9,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5">
              <w:r>
                <w:rPr>
                  <w:rStyle w:val="InternetLink"/>
                  <w:rFonts w:ascii="Times New Roman;sans-serif" w:hAnsi="Times New Roman;sans-serif"/>
                  <w:b w:val="false"/>
                  <w:color w:val="0000FF"/>
                  <w:sz w:val="20"/>
                  <w:u w:val="single"/>
                </w:rPr>
                <w:t>Certificate of Correction of Certificate of Designation of Preferences, Rights and Limitations of Series B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3.2 to the Current Report of Form 8-K filed on April 9,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6">
              <w:r>
                <w:rPr>
                  <w:rStyle w:val="InternetLink"/>
                  <w:rFonts w:ascii="Times New Roman;sans-serif" w:hAnsi="Times New Roman;sans-serif"/>
                  <w:b w:val="false"/>
                  <w:color w:val="0000FF"/>
                  <w:sz w:val="20"/>
                  <w:u w:val="single"/>
                </w:rPr>
                <w:t>Certificate of Designation of Preferences, Rights and Limitations of Series A Preferred Stock, dated April 17,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Current Report of Form 8-K filed on April 17,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7">
              <w:r>
                <w:rPr>
                  <w:rStyle w:val="InternetLink"/>
                  <w:rFonts w:ascii="Times New Roman;sans-serif" w:hAnsi="Times New Roman;sans-serif"/>
                  <w:b w:val="false"/>
                  <w:color w:val="0000FF"/>
                  <w:sz w:val="20"/>
                  <w:u w:val="single"/>
                </w:rPr>
                <w:t>Form of Common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4.1 to the Current Report of Form 8-K filed on March 24,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8">
              <w:r>
                <w:rPr>
                  <w:rStyle w:val="InternetLink"/>
                  <w:rFonts w:ascii="Times New Roman;sans-serif" w:hAnsi="Times New Roman;sans-serif"/>
                  <w:b w:val="false"/>
                  <w:color w:val="0000FF"/>
                  <w:sz w:val="20"/>
                  <w:u w:val="single"/>
                </w:rPr>
                <w:t>Form of Incremental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4.2 to the Current Report of Form 8-K filed on March 24,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19">
              <w:r>
                <w:rPr>
                  <w:rStyle w:val="InternetLink"/>
                  <w:rFonts w:ascii="Times New Roman;sans-serif" w:hAnsi="Times New Roman;sans-serif"/>
                  <w:b w:val="false"/>
                  <w:color w:val="0000FF"/>
                  <w:sz w:val="20"/>
                  <w:u w:val="single"/>
                </w:rPr>
                <w:t>Form of Unsecured Note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4.3 to the Current Report of Form 8-K filed on March 24,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0">
              <w:r>
                <w:rPr>
                  <w:rStyle w:val="InternetLink"/>
                  <w:rFonts w:ascii="Times New Roman;sans-serif" w:hAnsi="Times New Roman;sans-serif"/>
                  <w:b w:val="false"/>
                  <w:color w:val="0000FF"/>
                  <w:sz w:val="20"/>
                  <w:u w:val="single"/>
                </w:rPr>
                <w:t>Form of Placement Agent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4.4 to the Current Report of Form 8-K filed on March 24,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ans-serif" w:hAnsi="Times New Roman;sans-serif"/>
                  <w:b w:val="false"/>
                  <w:color w:val="0000FF"/>
                  <w:sz w:val="20"/>
                  <w:u w:val="single"/>
                </w:rPr>
                <w:t>September Letter Agreement, dated January 28, 2025, by and between the Company and the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of Form 8-K filed on January 31,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ans-serif" w:hAnsi="Times New Roman;sans-serif"/>
                  <w:b w:val="false"/>
                  <w:color w:val="0000FF"/>
                  <w:sz w:val="20"/>
                  <w:u w:val="single"/>
                </w:rPr>
                <w:t>December Letter Agreement, dated January 28, 2025, by and between the Company and the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of Form 8-K filed on January 31,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ans-serif" w:hAnsi="Times New Roman;sans-serif"/>
                  <w:b w:val="false"/>
                  <w:color w:val="0000FF"/>
                  <w:sz w:val="20"/>
                  <w:u w:val="single"/>
                </w:rPr>
                <w:t>Purchase Agreement dated January 28, 2025, by and between the Company and Matthias Aydt.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10.3 to the Current Report of Form 8-K filed on January 31,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20"/>
                  <w:u w:val="single"/>
                </w:rPr>
                <w:t>Securities Purchase Agreement, dated March 21, 2025, by and among Faraday Future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of Form 8-K filed on March 24, 2025</w:t>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105offerletter-jerrywang.htm">
              <w:r>
                <w:rPr>
                  <w:rStyle w:val="InternetLink"/>
                  <w:rFonts w:ascii="Times New Roman;sans-serif" w:hAnsi="Times New Roman;sans-serif"/>
                  <w:b w:val="false"/>
                  <w:color w:val="0000FF"/>
                  <w:sz w:val="20"/>
                  <w:u w:val="single"/>
                </w:rPr>
                <w:t>Offer Letter, dated March 24, 2025, by and between Faraday Future Intelligent Electric Inc. and Jiawei (Jerry) Wang</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
        <w:gridCol w:w="197"/>
        <w:gridCol w:w="198"/>
        <w:gridCol w:w="109"/>
        <w:gridCol w:w="109"/>
        <w:gridCol w:w="109"/>
        <w:gridCol w:w="2232"/>
        <w:gridCol w:w="2012"/>
        <w:gridCol w:w="2017"/>
        <w:gridCol w:w="109"/>
        <w:gridCol w:w="109"/>
        <w:gridCol w:w="109"/>
        <w:gridCol w:w="774"/>
        <w:gridCol w:w="774"/>
        <w:gridCol w:w="1103"/>
      </w:tblGrid>
      <w:tr>
        <w:trPr/>
        <w:tc>
          <w:tcPr>
            <w:tcW w:w="2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ans-serif" w:hAnsi="Times New Roman;sans-serif"/>
                  <w:b w:val="false"/>
                  <w:color w:val="0000FF"/>
                  <w:sz w:val="20"/>
                  <w:u w:val="single"/>
                </w:rPr>
                <w:t>Placement Agency Agreement, dated March 21, 2025, by and between Faraday Future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10.2 to the Current Report of Form 8-K filed on March 24, 2025</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6">
              <w:r>
                <w:rPr>
                  <w:rStyle w:val="InternetLink"/>
                  <w:rFonts w:ascii="Times New Roman;sans-serif" w:hAnsi="Times New Roman;sans-serif"/>
                  <w:b w:val="false"/>
                  <w:color w:val="0000FF"/>
                  <w:sz w:val="20"/>
                  <w:u w:val="single"/>
                </w:rPr>
                <w:t>Purchase Agreement dated April 17, 2025, by and between the Company and Matthias Aydt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of Form 8-K filed on April 17, 2025</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27">
              <w:r>
                <w:rPr>
                  <w:rStyle w:val="InternetLink"/>
                  <w:rFonts w:ascii="Times New Roman;sans-serif" w:hAnsi="Times New Roman;sans-serif"/>
                  <w:b w:val="false"/>
                  <w:color w:val="0000FF"/>
                  <w:sz w:val="20"/>
                  <w:u w:val="single"/>
                </w:rPr>
                <w:t>Offer Letter, dated April 23, 2025, by and between Faraday Future Intelligent Electric Inc. and Yueting Jia.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 to the Current Report of Form 8-K filed on April 25, 2025</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11q12025-ma_ceo.htm">
              <w:r>
                <w:rPr>
                  <w:rStyle w:val="InternetLink"/>
                  <w:rFonts w:ascii="Times New Roman;sans-serif" w:hAnsi="Times New Roman;sans-serif"/>
                  <w:b w:val="false"/>
                  <w:color w:val="0000FF"/>
                  <w:sz w:val="20"/>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12q12025-yt_ceo.htm">
              <w:r>
                <w:rPr>
                  <w:rStyle w:val="InternetLink"/>
                  <w:rFonts w:ascii="Times New Roman;sans-serif" w:hAnsi="Times New Roman;sans-serif"/>
                  <w:b w:val="false"/>
                  <w:color w:val="0000FF"/>
                  <w:sz w:val="20"/>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13q12025-cfo.htm">
              <w:r>
                <w:rPr>
                  <w:rStyle w:val="InternetLink"/>
                  <w:rFonts w:ascii="Times New Roman;sans-serif" w:hAnsi="Times New Roman;sans-serif"/>
                  <w:b w:val="false"/>
                  <w:color w:val="0000FF"/>
                  <w:sz w:val="20"/>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21q12025-ma_ceo.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22q12025-yt_ceo.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323q12025-cfo.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r>
    </w:p>
    <w:tbl>
      <w:tblPr>
        <w:tblW w:w="1816" w:type="dxa"/>
        <w:jc w:val="left"/>
        <w:tblInd w:w="0" w:type="dxa"/>
        <w:tblLayout w:type="fixed"/>
        <w:tblCellMar>
          <w:top w:w="28" w:type="dxa"/>
          <w:left w:w="28" w:type="dxa"/>
          <w:bottom w:w="28" w:type="dxa"/>
          <w:right w:w="28" w:type="dxa"/>
        </w:tblCellMar>
      </w:tblPr>
      <w:tblGrid>
        <w:gridCol w:w="124"/>
        <w:gridCol w:w="109"/>
        <w:gridCol w:w="109"/>
        <w:gridCol w:w="109"/>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tbl>
      <w:tblPr>
        <w:tblW w:w="2299" w:type="dxa"/>
        <w:jc w:val="left"/>
        <w:tblInd w:w="0" w:type="dxa"/>
        <w:tblLayout w:type="fixed"/>
        <w:tblCellMar>
          <w:top w:w="28" w:type="dxa"/>
          <w:left w:w="28" w:type="dxa"/>
          <w:bottom w:w="28" w:type="dxa"/>
          <w:right w:w="28" w:type="dxa"/>
        </w:tblCellMar>
      </w:tblPr>
      <w:tblGrid>
        <w:gridCol w:w="124"/>
        <w:gridCol w:w="140"/>
        <w:gridCol w:w="140"/>
        <w:gridCol w:w="140"/>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92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572"/>
        <w:gridCol w:w="572"/>
        <w:gridCol w:w="572"/>
        <w:gridCol w:w="1225"/>
        <w:gridCol w:w="1225"/>
        <w:gridCol w:w="1255"/>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08,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color w:val="000000"/>
                <w:sz w:val="20"/>
              </w:rPr>
              <w:t xml:space="preserve">/s/ </w:t>
            </w:r>
            <w:r>
              <w:rPr>
                <w:rFonts w:ascii="Times New Roman;sans-serif" w:hAnsi="Times New Roman;sans-serif"/>
                <w:b/>
                <w:i/>
                <w:color w:val="000000"/>
                <w:sz w:val="20"/>
              </w:rPr>
              <w:t>Matthias Aydt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Co-Chief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08,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color w:val="000000"/>
                <w:sz w:val="20"/>
              </w:rPr>
              <w:t xml:space="preserve">/s/ </w:t>
            </w:r>
            <w:r>
              <w:rPr>
                <w:rFonts w:ascii="Times New Roman;sans-serif" w:hAnsi="Times New Roman;sans-serif"/>
                <w:b/>
                <w:i/>
                <w:color w:val="000000"/>
                <w:sz w:val="20"/>
              </w:rPr>
              <w:t>Yueting Jia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Yueting Jia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Co-Chief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08,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 Koti Meka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Koti Meka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60" w:after="160"/>
        <w:ind w:left="0" w:right="0" w:firstLine="4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0"/>
        <w:jc w:val="right"/>
        <w:rPr/>
      </w:pPr>
      <w:r>
        <w:rPr/>
        <w:drawing>
          <wp:inline distT="0" distB="0" distL="0" distR="0">
            <wp:extent cx="1685925" cy="228600"/>
            <wp:effectExtent l="0" t="0" r="0" b="0"/>
            <wp:docPr id="7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 descr=""/>
                    <pic:cNvPicPr>
                      <a:picLocks noChangeAspect="1" noChangeArrowheads="1"/>
                    </pic:cNvPicPr>
                  </pic:nvPicPr>
                  <pic:blipFill>
                    <a:blip r:embed="rId28"/>
                    <a:stretch>
                      <a:fillRect/>
                    </a:stretch>
                  </pic:blipFill>
                  <pic:spPr bwMode="auto">
                    <a:xfrm>
                      <a:off x="0" y="0"/>
                      <a:ext cx="1685925" cy="228600"/>
                    </a:xfrm>
                    <a:prstGeom prst="rect">
                      <a:avLst/>
                    </a:prstGeom>
                  </pic:spPr>
                </pic:pic>
              </a:graphicData>
            </a:graphic>
          </wp:inline>
        </w:drawing>
      </w:r>
      <w:r>
        <w:rPr>
          <w:color w:val="000000"/>
        </w:rPr>
        <w:t>                                </w:t>
      </w:r>
      <w:r>
        <w:rPr>
          <w:rFonts w:ascii="Roboto;sans-serif" w:hAnsi="Roboto;sans-serif"/>
          <w:b w:val="false"/>
          <w:color w:val="000000"/>
          <w:sz w:val="22"/>
        </w:rPr>
        <w:br/>
        <w:t>Exhibit 10.5</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53.2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5"/>
        <w:ind w:left="0" w:right="0" w:hanging="8"/>
        <w:jc w:val="both"/>
        <w:rPr/>
      </w:pPr>
      <w:r>
        <w:rPr/>
      </w:r>
    </w:p>
    <w:p>
      <w:pPr>
        <w:pStyle w:val="TextBody"/>
        <w:bidi w:val="0"/>
        <w:spacing w:lineRule="auto" w:line="288" w:before="0" w:after="5"/>
        <w:jc w:val="right"/>
        <w:rPr>
          <w:color w:val="000000"/>
        </w:rPr>
      </w:pPr>
      <w:r>
        <w:rPr>
          <w:color w:val="000000"/>
        </w:rPr>
        <w:t xml:space="preserve">                                             </w:t>
      </w:r>
      <w:r>
        <w:rPr>
          <w:rFonts w:ascii="Roboto;sans-serif" w:hAnsi="Roboto;sans-serif"/>
          <w:b w:val="false"/>
          <w:color w:val="000000"/>
          <w:sz w:val="22"/>
        </w:rPr>
        <w:t>March 20, 2025</w:t>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Dear Jerry Wang,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I am pleased to offer you a position with Faraday Future Intelligent Electric Inc. (“FFIE” or the “Company”), as an exempt President reporting to Matthias Aydt, Global Chief Executive Officer and YT Jia, Founder, CPUO. If you decide to join us, you will receive an annual salary of $500,000 that will be paid semi-monthly in accordance with the Company’s normal payroll practices and subject to taxes and other required withholdings. </w:t>
      </w:r>
    </w:p>
    <w:p>
      <w:pPr>
        <w:pStyle w:val="TextBody"/>
        <w:bidi w:val="0"/>
        <w:spacing w:before="0" w:after="0"/>
        <w:jc w:val="left"/>
        <w:rPr/>
      </w:pPr>
      <w:r>
        <w:rPr/>
      </w:r>
    </w:p>
    <w:p>
      <w:pPr>
        <w:pStyle w:val="TextBody"/>
        <w:bidi w:val="0"/>
        <w:spacing w:lineRule="auto" w:line="288" w:before="0" w:after="5"/>
        <w:ind w:left="0" w:right="0" w:hanging="8"/>
        <w:jc w:val="both"/>
        <w:rPr/>
      </w:pPr>
      <w:r>
        <w:rPr>
          <w:rFonts w:ascii="Roboto;sans-serif" w:hAnsi="Roboto;sans-serif"/>
          <w:b w:val="false"/>
          <w:color w:val="000000"/>
          <w:sz w:val="22"/>
          <w:u w:val="single"/>
        </w:rPr>
        <w:t>Bonuses</w:t>
      </w:r>
      <w:r>
        <w:rPr>
          <w:rFonts w:ascii="Roboto;sans-serif" w:hAnsi="Roboto;sans-serif"/>
          <w:b w:val="false"/>
          <w:color w:val="000000"/>
          <w:sz w:val="22"/>
        </w:rPr>
        <w:t xml:space="preserve">: As an employee, you will be eligible to receive a discretionary annual performance bonus up to $300,000 (the “Annual Bonus”), subject to taxes and other required withholdings. Any Annual Bonus will be awarded in the sole discretion of the Company. You must be an active employee on the date any discretionary bonus is paid in order for the Annual Bonus to be deemed earned. The Annual Bonus will not be deemed earned by you and become payable unless or until it is awarded by the Company and you remain employed through the payment date. The timing of your Annual Bonus shall coincide with similar bonuses paid to other members of the Company’s senior management.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You also will be eligible to receive a signing and retention bonus in the amount of $300,000 in cash (the “Signing and Retention Bonus”), subject to your continued employment through such date. The Signing and Retention Bonus shall not be fully earned by you unless and until you (1) meet the employment conditions set forth herein, (2) accept and return this offer letter by March 21, 2025, and (3) remain employed with the Company for a period of at least thirty six (36) months from your start date (“Milestone Retention Date”). The Cash Signing and Retention Bonus will be payable at 50% ($150,000) in a separate check on the regularly first scheduled pay date after joining with the Company after the first receipt of funds relating to the current fundraising round with Univest; and the remaining 50% ($150,000) in a separate check on the regularly scheduled pay date after successfully completing 12 months of employment with the Company. The Signing and Retention Bonus is taxable, and all regular payroll taxes will be withheld.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The Signing and Retention Bonus is not earned until all three of the above conditions are met. In the event you voluntarily leave the Company, you will be responsible for reimbursing the Company a pro rata portion of the full Signing and Retention Bonus received by you within ten (10) days of the date you leave the Company. Any such calculation shall be based on the total number of whole calendar months remaining between the separation date and the Milestone Retention Date. In the event you are terminated for Cause at any time after receiving the Signing and Retention Bonus, you will be responsible for reimbursing the Company the full Signing and Retention Bonus received by you within ten (10) days of the date you are terminated. For purposes of this offer letter, “Cause” shall mean (i) an intentional act of fraud, embezzlement, theft or any other material violation of law that occurs during or in the course of your employment with Company; (ii) intentional or grossly negligent damage to Company’s interests or assets; (iii) intentional or grossly negligent disclosure of Company’s confidential information contrary to Company policies; (iv) intentional or grossly negligent engagement in any competitive activity which would constitute a breach of your duty of loyalty or any other duties </w:t>
      </w:r>
    </w:p>
    <w:p>
      <w:pPr>
        <w:pStyle w:val="TextBody"/>
        <w:bidi w:val="0"/>
        <w:spacing w:lineRule="auto" w:line="300" w:before="0" w:after="0"/>
        <w:jc w:val="right"/>
        <w:rPr/>
      </w:pPr>
      <w:r>
        <w:rPr/>
        <w:drawing>
          <wp:inline distT="0" distB="0" distL="0" distR="0">
            <wp:extent cx="1685925" cy="228600"/>
            <wp:effectExtent l="0" t="0" r="0" b="0"/>
            <wp:docPr id="7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 descr=""/>
                    <pic:cNvPicPr>
                      <a:picLocks noChangeAspect="1" noChangeArrowheads="1"/>
                    </pic:cNvPicPr>
                  </pic:nvPicPr>
                  <pic:blipFill>
                    <a:blip r:embed="rId29"/>
                    <a:stretch>
                      <a:fillRect/>
                    </a:stretch>
                  </pic:blipFill>
                  <pic:spPr bwMode="auto">
                    <a:xfrm>
                      <a:off x="0" y="0"/>
                      <a:ext cx="1685925" cy="228600"/>
                    </a:xfrm>
                    <a:prstGeom prst="rect">
                      <a:avLst/>
                    </a:prstGeom>
                  </pic:spPr>
                </pic:pic>
              </a:graphicData>
            </a:graphic>
          </wp:inline>
        </w:drawing>
      </w:r>
      <w:r>
        <w:rPr>
          <w:color w:val="000000"/>
        </w:rPr>
        <w:t>                                </w:t>
      </w:r>
      <w:r>
        <w:rPr>
          <w:rFonts w:ascii="Roboto;sans-serif" w:hAnsi="Roboto;sans-serif"/>
          <w:b w:val="false"/>
          <w:color w:val="000000"/>
          <w:sz w:val="22"/>
        </w:rPr>
        <w:br/>
        <w:t>Exhibit 10.5</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7800"/>
                <wp:effectExtent l="0" t="0" r="0" b="0"/>
                <wp:wrapNone/>
                <wp:docPr id="78" name="Frame7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00" w:before="0" w:after="0"/>
                              <w:jc w:val="center"/>
                              <w:rPr>
                                <w:rFonts w:ascii="sans-serif" w:hAnsi="sans-serif"/>
                                <w:b w:val="false"/>
                                <w:color w:val="000000"/>
                                <w:sz w:val="24"/>
                              </w:rPr>
                            </w:pPr>
                            <w:r>
                              <w:rPr>
                                <w:rFonts w:ascii="sans-serif" w:hAnsi="sans-serif"/>
                                <w:b w:val="false"/>
                                <w:color w:val="000000"/>
                                <w:sz w:val="24"/>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53.25pt;mso-position-horizontal:left;mso-position-horizontal-relative:text">
                <v:textbox>
                  <w:txbxContent>
                    <w:p>
                      <w:pPr>
                        <w:pStyle w:val="TextBody"/>
                        <w:bidi w:val="0"/>
                        <w:spacing w:lineRule="auto" w:line="300" w:before="0" w:after="0"/>
                        <w:jc w:val="center"/>
                        <w:rPr>
                          <w:rFonts w:ascii="sans-serif" w:hAnsi="sans-serif"/>
                          <w:b w:val="false"/>
                          <w:color w:val="000000"/>
                          <w:sz w:val="24"/>
                        </w:rPr>
                      </w:pPr>
                      <w:r>
                        <w:rPr>
                          <w:rFonts w:ascii="sans-serif" w:hAnsi="sans-serif"/>
                          <w:b w:val="false"/>
                          <w:color w:val="000000"/>
                          <w:sz w:val="24"/>
                        </w:rPr>
                        <w:t xml:space="preserve">1 </w:t>
                      </w:r>
                    </w:p>
                  </w:txbxContent>
                </v:textbox>
                <w10:wrap type="none"/>
              </v:rect>
            </w:pict>
          </mc:Fallback>
        </mc:AlternateContent>
      </w:r>
    </w:p>
    <w:p>
      <w:pPr>
        <w:pStyle w:val="TextBody"/>
        <w:bidi w:val="0"/>
        <w:spacing w:before="0" w:after="5"/>
        <w:ind w:left="0" w:right="0" w:hanging="8"/>
        <w:jc w:val="both"/>
        <w:rPr/>
      </w:pPr>
      <w:r>
        <w:rPr/>
      </w:r>
    </w:p>
    <w:p>
      <w:pPr>
        <w:pStyle w:val="TextBody"/>
        <w:bidi w:val="0"/>
        <w:spacing w:lineRule="auto" w:line="288" w:before="0" w:after="5"/>
        <w:jc w:val="both"/>
        <w:rPr>
          <w:rFonts w:ascii="Roboto;sans-serif" w:hAnsi="Roboto;sans-serif"/>
          <w:b w:val="false"/>
          <w:color w:val="000000"/>
          <w:sz w:val="22"/>
        </w:rPr>
      </w:pPr>
      <w:r>
        <w:rPr>
          <w:rFonts w:ascii="Roboto;sans-serif" w:hAnsi="Roboto;sans-serif"/>
          <w:b w:val="false"/>
          <w:color w:val="000000"/>
          <w:sz w:val="22"/>
        </w:rPr>
        <w:t xml:space="preserve">you hold to the Company; (v) intentional or grossly negligent breach of any of Company’s policies; (vi) the willful and continued failure to substantially perform your duties for Company (other than as a result of incapacity due to physical or mental illness); or (vii) other willful or grossly negligent conduct by you that is demonstrably and materially injurious to the Company, monetarily or otherwise.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pPr>
      <w:r>
        <w:rPr>
          <w:rFonts w:ascii="Roboto;sans-serif" w:hAnsi="Roboto;sans-serif"/>
          <w:b w:val="false"/>
          <w:color w:val="000000"/>
          <w:sz w:val="22"/>
          <w:u w:val="single"/>
        </w:rPr>
        <w:t>Benefits</w:t>
      </w:r>
      <w:r>
        <w:rPr>
          <w:rFonts w:ascii="Roboto;sans-serif" w:hAnsi="Roboto;sans-serif"/>
          <w:b w:val="false"/>
          <w:color w:val="000000"/>
          <w:sz w:val="22"/>
        </w:rPr>
        <w:t xml:space="preserve">: The Company provides all full-time employees with subsidized health insurance, the opportunity to participate in the Company’s 401k-retirement plan, paid time off, and holiday entitlement, specific details of which will be provided shortly after you join the Company. </w:t>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You also will be eligible to receive an annual number of restricted stock units (“RSUs”) having a total value equal to $1,140,000. The RSUs shall be granted as follows: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Each RSU grant shall vest in equal twenty-five percent (25%) increments on each of your first four (4) annual award date anniversaries at the Company following the applicable award date, provided you remain employed with the Company on each such vesting date.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You also will be eligible to receive an annual number of performance stock units (“PSUs”) having a target value equal to $760,000 whereas 50% tied to company and you reach certain milestones and 50% tied to your personal performance goals achieved on certain dates as specified by the Board of Directors of the Company (“Board”). Such Milestones will be determined by the Board or a committee thereof. </w:t>
      </w:r>
    </w:p>
    <w:p>
      <w:pPr>
        <w:pStyle w:val="TextBody"/>
        <w:bidi w:val="0"/>
        <w:spacing w:before="0" w:after="5"/>
        <w:jc w:val="both"/>
        <w:rPr/>
      </w:pPr>
      <w:r>
        <w:rPr/>
      </w:r>
    </w:p>
    <w:p>
      <w:pPr>
        <w:pStyle w:val="TextBody"/>
        <w:bidi w:val="0"/>
        <w:spacing w:lineRule="auto" w:line="288" w:before="0" w:after="5"/>
        <w:jc w:val="both"/>
        <w:rPr>
          <w:rFonts w:ascii="Roboto;sans-serif" w:hAnsi="Roboto;sans-serif"/>
          <w:b w:val="false"/>
          <w:color w:val="000000"/>
          <w:sz w:val="22"/>
        </w:rPr>
      </w:pPr>
      <w:r>
        <w:rPr>
          <w:rFonts w:ascii="Roboto;sans-serif" w:hAnsi="Roboto;sans-serif"/>
          <w:b w:val="false"/>
          <w:color w:val="000000"/>
          <w:sz w:val="22"/>
        </w:rPr>
        <w:t xml:space="preserve">The PSUs shall be granted as follows: Should the Company reach any such Milestone, the PSUs associated with such Milestone will be issued on the date(s) such Milestone is reached and shall vest in equal one-third increments on each of the first three (3) annual Milestone anniversary dates following the applicable grant date, provided you remain employed with the Company on each such vesting date.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All RSU and PSU grants are subject to approval by the Board or a committee thereof, the terms of the FFIE 2021 Stock Incentive Plan, as may be amended ("Plan”), and the underlying award agreements (a copy of each will be provided to you at the appropriate time). Further, any equity award grant and the timing thereof are subject to the Company having a sufficient number of authorized shares and shares available for issuance under the Plan. PSUs will be granted tied to milestones and when there are sufficient shares. </w:t>
      </w:r>
    </w:p>
    <w:p>
      <w:pPr>
        <w:pStyle w:val="TextBody"/>
        <w:bidi w:val="0"/>
        <w:spacing w:lineRule="auto" w:line="288" w:before="0" w:after="0"/>
        <w:ind w:left="0" w:right="0" w:hanging="10"/>
        <w:jc w:val="left"/>
        <w:rPr/>
      </w:pPr>
      <w:r>
        <w:rPr>
          <w:rFonts w:ascii="Roboto;sans-serif" w:hAnsi="Roboto;sans-serif"/>
          <w:b w:val="false"/>
          <w:color w:val="000000"/>
          <w:sz w:val="22"/>
          <w:u w:val="single"/>
        </w:rPr>
        <w:t>Termination and At-Will Status</w:t>
      </w:r>
      <w:r>
        <w:rPr>
          <w:color w:val="000000"/>
        </w:rPr>
        <w:t xml:space="preserve">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You and the Company understand and agree that this employment relationship is at-will. Accordingly, there are no promises or representations concerning the duration of the employment relationship, which may be terminated by either you or the Company at any time, with or without cause or good reason, and with or without advance notice. As a professional courtesy, the Company requests that you provide 30 days’ notice prior to your resignation date in order to transition your role. </w:t>
      </w:r>
    </w:p>
    <w:p>
      <w:pPr>
        <w:pStyle w:val="TextBody"/>
        <w:bidi w:val="0"/>
        <w:spacing w:lineRule="auto" w:line="300" w:before="0" w:after="0"/>
        <w:jc w:val="right"/>
        <w:rPr/>
      </w:pPr>
      <w:r>
        <w:rPr/>
        <w:drawing>
          <wp:inline distT="0" distB="0" distL="0" distR="0">
            <wp:extent cx="1685925" cy="228600"/>
            <wp:effectExtent l="0" t="0" r="0" b="0"/>
            <wp:docPr id="7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 descr=""/>
                    <pic:cNvPicPr>
                      <a:picLocks noChangeAspect="1" noChangeArrowheads="1"/>
                    </pic:cNvPicPr>
                  </pic:nvPicPr>
                  <pic:blipFill>
                    <a:blip r:embed="rId30"/>
                    <a:stretch>
                      <a:fillRect/>
                    </a:stretch>
                  </pic:blipFill>
                  <pic:spPr bwMode="auto">
                    <a:xfrm>
                      <a:off x="0" y="0"/>
                      <a:ext cx="1685925" cy="228600"/>
                    </a:xfrm>
                    <a:prstGeom prst="rect">
                      <a:avLst/>
                    </a:prstGeom>
                  </pic:spPr>
                </pic:pic>
              </a:graphicData>
            </a:graphic>
          </wp:inline>
        </w:drawing>
      </w:r>
      <w:r>
        <w:rPr>
          <w:color w:val="000000"/>
        </w:rPr>
        <w:t>                                </w:t>
      </w:r>
      <w:r>
        <w:rPr>
          <w:rFonts w:ascii="Roboto;sans-serif" w:hAnsi="Roboto;sans-serif"/>
          <w:b w:val="false"/>
          <w:color w:val="000000"/>
          <w:sz w:val="22"/>
        </w:rPr>
        <w:br/>
        <w:t>Exhibit 10.5</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7800"/>
                <wp:effectExtent l="0" t="0" r="0" b="0"/>
                <wp:wrapNone/>
                <wp:docPr id="80" name="Frame7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00" w:before="0" w:after="0"/>
                              <w:jc w:val="center"/>
                              <w:rPr>
                                <w:rFonts w:ascii="sans-serif" w:hAnsi="sans-serif"/>
                                <w:b w:val="false"/>
                                <w:color w:val="000000"/>
                                <w:sz w:val="24"/>
                              </w:rPr>
                            </w:pPr>
                            <w:r>
                              <w:rPr>
                                <w:rFonts w:ascii="sans-serif" w:hAnsi="sans-serif"/>
                                <w:b w:val="false"/>
                                <w:color w:val="000000"/>
                                <w:sz w:val="24"/>
                              </w:rPr>
                              <w:t xml:space="preserv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53.25pt;mso-position-horizontal:left;mso-position-horizontal-relative:text">
                <v:textbox>
                  <w:txbxContent>
                    <w:p>
                      <w:pPr>
                        <w:pStyle w:val="TextBody"/>
                        <w:bidi w:val="0"/>
                        <w:spacing w:lineRule="auto" w:line="300" w:before="0" w:after="0"/>
                        <w:jc w:val="center"/>
                        <w:rPr>
                          <w:rFonts w:ascii="sans-serif" w:hAnsi="sans-serif"/>
                          <w:b w:val="false"/>
                          <w:color w:val="000000"/>
                          <w:sz w:val="24"/>
                        </w:rPr>
                      </w:pPr>
                      <w:r>
                        <w:rPr>
                          <w:rFonts w:ascii="sans-serif" w:hAnsi="sans-serif"/>
                          <w:b w:val="false"/>
                          <w:color w:val="000000"/>
                          <w:sz w:val="24"/>
                        </w:rPr>
                        <w:t xml:space="preserve">2 </w:t>
                      </w:r>
                    </w:p>
                  </w:txbxContent>
                </v:textbox>
                <w10:wrap type="none"/>
              </v:rect>
            </w:pict>
          </mc:Fallback>
        </mc:AlternateConten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Nothing in this offer letter prohibits you from engaging in legally protected conduct including reporting possible violations of state or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state or federal law or regulation. You do not need the prior authorization of the Company or its Legal Department to make any such reports or disclosures and you are not required to notify the Company that you have made such reports or disclosures. In addition, the following notice is provided in compliance with federal law: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bidi w:val="0"/>
        <w:spacing w:before="0" w:after="5"/>
        <w:ind w:left="0" w:right="0" w:hanging="8"/>
        <w:jc w:val="both"/>
        <w:rPr/>
      </w:pPr>
      <w:r>
        <w:rPr/>
      </w:r>
    </w:p>
    <w:p>
      <w:pPr>
        <w:pStyle w:val="TextBody"/>
        <w:bidi w:val="0"/>
        <w:spacing w:before="0" w:after="0"/>
        <w:jc w:val="left"/>
        <w:rPr/>
      </w:pPr>
      <w:r>
        <w:rPr/>
      </w:r>
    </w:p>
    <w:p>
      <w:pPr>
        <w:pStyle w:val="TextBody"/>
        <w:bidi w:val="0"/>
        <w:spacing w:lineRule="auto" w:line="288" w:before="0" w:after="3"/>
        <w:ind w:left="0" w:right="0" w:hanging="10"/>
        <w:jc w:val="center"/>
        <w:rPr>
          <w:rFonts w:ascii="Roboto;sans-serif" w:hAnsi="Roboto;sans-serif"/>
          <w:b w:val="false"/>
          <w:color w:val="000000"/>
          <w:sz w:val="22"/>
        </w:rPr>
      </w:pPr>
      <w:r>
        <w:rPr>
          <w:rFonts w:ascii="Roboto;sans-serif" w:hAnsi="Roboto;sans-serif"/>
          <w:b w:val="false"/>
          <w:color w:val="000000"/>
          <w:sz w:val="22"/>
        </w:rPr>
        <w:t xml:space="preserve">***********************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This offer is contingent on the Company’s verification of your right to work in the United States as well as your successful clearance of a background and reference check, and export control screening. This offer can be rescinded at any time by the Company prior to your start date. </w: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To accept the Company’s offer, please sign and date this letter in the space provided below. A duplicate original is enclosed for your records. If you accept our offer, your first day of employment will be March 24, 2025. This letter, along with all other documents referenced herein, set forth the terms and conditions of your employment with the Company and supersede any prior representations or agreements including, but not limited to, any representations made during your recruitment, interviews, or pre-employment negotiations, whether written or oral. </w:t>
      </w:r>
    </w:p>
    <w:p>
      <w:pPr>
        <w:pStyle w:val="TextBody"/>
        <w:bidi w:val="0"/>
        <w:spacing w:lineRule="auto" w:line="288" w:before="0" w:after="0"/>
        <w:jc w:val="both"/>
        <w:rPr>
          <w:rFonts w:ascii="Roboto;sans-serif" w:hAnsi="Roboto;sans-serif"/>
          <w:b w:val="false"/>
          <w:color w:val="000000"/>
          <w:sz w:val="22"/>
        </w:rPr>
      </w:pPr>
      <w:r>
        <w:rPr>
          <w:rFonts w:ascii="Roboto;sans-serif" w:hAnsi="Roboto;sans-serif"/>
          <w:b w:val="false"/>
          <w:color w:val="000000"/>
          <w:sz w:val="22"/>
        </w:rPr>
        <w:t xml:space="preserve">We look forward to your favorable reply and to working with you. This offer letter will automatically be withdrawn if not accepted on or before March 21,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Roboto;sans-serif" w:hAnsi="Roboto;sans-serif"/>
          <w:b w:val="false"/>
          <w:color w:val="000000"/>
          <w:sz w:val="22"/>
        </w:rPr>
        <w:t>[</w:t>
      </w:r>
      <w:r>
        <w:rPr>
          <w:rFonts w:ascii="Roboto;sans-serif" w:hAnsi="Roboto;sans-serif"/>
          <w:b w:val="false"/>
          <w:i/>
          <w:color w:val="000000"/>
          <w:sz w:val="22"/>
        </w:rPr>
        <w:t>Signature Page Follows</w:t>
      </w:r>
      <w:r>
        <w:rPr>
          <w:rFonts w:ascii="Roboto;sans-serif" w:hAnsi="Roboto;sans-serif"/>
          <w:b w:val="false"/>
          <w:color w:val="000000"/>
          <w:sz w:val="22"/>
        </w:rPr>
        <w:t xml:space="preserve">]      </w:t>
      </w:r>
    </w:p>
    <w:p>
      <w:pPr>
        <w:pStyle w:val="TextBody"/>
        <w:bidi w:val="0"/>
        <w:spacing w:before="0" w:after="5"/>
        <w:jc w:val="both"/>
        <w:rPr/>
      </w:pPr>
      <w:r>
        <w:rPr/>
      </w:r>
    </w:p>
    <w:p>
      <w:pPr>
        <w:pStyle w:val="TextBody"/>
        <w:bidi w:val="0"/>
        <w:spacing w:lineRule="auto" w:line="288" w:before="0" w:after="5"/>
        <w:jc w:val="both"/>
        <w:rPr>
          <w:rFonts w:ascii="Roboto;sans-serif" w:hAnsi="Roboto;sans-serif"/>
          <w:b w:val="false"/>
          <w:color w:val="000000"/>
          <w:sz w:val="22"/>
        </w:rPr>
      </w:pPr>
      <w:r>
        <w:rPr>
          <w:rFonts w:ascii="Roboto;sans-serif" w:hAnsi="Roboto;sans-serif"/>
          <w:b w:val="false"/>
          <w:color w:val="000000"/>
          <w:sz w:val="22"/>
        </w:rPr>
      </w:r>
    </w:p>
    <w:p>
      <w:pPr>
        <w:pStyle w:val="TextBody"/>
        <w:bidi w:val="0"/>
        <w:spacing w:before="0" w:after="5"/>
        <w:ind w:left="0" w:right="0" w:hanging="8"/>
        <w:jc w:val="both"/>
        <w:rPr/>
      </w:pPr>
      <w:r>
        <w:rPr/>
      </w:r>
    </w:p>
    <w:p>
      <w:pPr>
        <w:pStyle w:val="TextBody"/>
        <w:bidi w:val="0"/>
        <w:spacing w:lineRule="auto" w:line="300" w:before="0" w:after="0"/>
        <w:jc w:val="right"/>
        <w:rPr/>
      </w:pPr>
      <w:r>
        <w:rPr/>
        <w:drawing>
          <wp:inline distT="0" distB="0" distL="0" distR="0">
            <wp:extent cx="1685925" cy="228600"/>
            <wp:effectExtent l="0" t="0" r="0" b="0"/>
            <wp:docPr id="8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 descr=""/>
                    <pic:cNvPicPr>
                      <a:picLocks noChangeAspect="1" noChangeArrowheads="1"/>
                    </pic:cNvPicPr>
                  </pic:nvPicPr>
                  <pic:blipFill>
                    <a:blip r:embed="rId31"/>
                    <a:stretch>
                      <a:fillRect/>
                    </a:stretch>
                  </pic:blipFill>
                  <pic:spPr bwMode="auto">
                    <a:xfrm>
                      <a:off x="0" y="0"/>
                      <a:ext cx="1685925" cy="228600"/>
                    </a:xfrm>
                    <a:prstGeom prst="rect">
                      <a:avLst/>
                    </a:prstGeom>
                  </pic:spPr>
                </pic:pic>
              </a:graphicData>
            </a:graphic>
          </wp:inline>
        </w:drawing>
      </w:r>
      <w:r>
        <w:rPr>
          <w:color w:val="000000"/>
        </w:rPr>
        <w:t>                                </w:t>
      </w:r>
      <w:r>
        <w:rPr>
          <w:rFonts w:ascii="Roboto;sans-serif" w:hAnsi="Roboto;sans-serif"/>
          <w:b w:val="false"/>
          <w:color w:val="000000"/>
          <w:sz w:val="22"/>
        </w:rPr>
        <w:br/>
        <w:t>Exhibit 10.5</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7800"/>
                <wp:effectExtent l="0" t="0" r="0" b="0"/>
                <wp:wrapNone/>
                <wp:docPr id="82" name="Frame7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00" w:before="0" w:after="0"/>
                              <w:jc w:val="center"/>
                              <w:rPr>
                                <w:rFonts w:ascii="sans-serif" w:hAnsi="sans-serif"/>
                                <w:b w:val="false"/>
                                <w:color w:val="000000"/>
                                <w:sz w:val="24"/>
                              </w:rPr>
                            </w:pPr>
                            <w:r>
                              <w:rPr>
                                <w:rFonts w:ascii="sans-serif" w:hAnsi="sans-serif"/>
                                <w:b w:val="false"/>
                                <w:color w:val="000000"/>
                                <w:sz w:val="24"/>
                              </w:rPr>
                              <w:t xml:space="preserve">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53.25pt;mso-position-horizontal:left;mso-position-horizontal-relative:text">
                <v:textbox>
                  <w:txbxContent>
                    <w:p>
                      <w:pPr>
                        <w:pStyle w:val="TextBody"/>
                        <w:bidi w:val="0"/>
                        <w:spacing w:lineRule="auto" w:line="300" w:before="0" w:after="0"/>
                        <w:jc w:val="center"/>
                        <w:rPr>
                          <w:rFonts w:ascii="sans-serif" w:hAnsi="sans-serif"/>
                          <w:b w:val="false"/>
                          <w:color w:val="000000"/>
                          <w:sz w:val="24"/>
                        </w:rPr>
                      </w:pPr>
                      <w:r>
                        <w:rPr>
                          <w:rFonts w:ascii="sans-serif" w:hAnsi="sans-serif"/>
                          <w:b w:val="false"/>
                          <w:color w:val="000000"/>
                          <w:sz w:val="24"/>
                        </w:rPr>
                        <w:t xml:space="preserve">3 </w:t>
                      </w:r>
                    </w:p>
                  </w:txbxContent>
                </v:textbox>
                <w10:wrap type="none"/>
              </v:rect>
            </w:pict>
          </mc:Fallback>
        </mc:AlternateContent>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Sincerely, </w:t>
      </w:r>
    </w:p>
    <w:p>
      <w:pPr>
        <w:pStyle w:val="TextBody"/>
        <w:bidi w:val="0"/>
        <w:spacing w:before="0" w:after="5"/>
        <w:ind w:left="0" w:right="0" w:hanging="8"/>
        <w:jc w:val="both"/>
        <w:rPr/>
      </w:pPr>
      <w:r>
        <w:rPr/>
      </w:r>
    </w:p>
    <w:p>
      <w:pPr>
        <w:pStyle w:val="TextBody"/>
        <w:bidi w:val="0"/>
        <w:spacing w:before="0" w:after="5"/>
        <w:ind w:left="0" w:right="0" w:hanging="8"/>
        <w:jc w:val="both"/>
        <w:rPr/>
      </w:pPr>
      <w:r>
        <w:rPr/>
      </w:r>
    </w:p>
    <w:p>
      <w:pPr>
        <w:pStyle w:val="TextBody"/>
        <w:bidi w:val="0"/>
        <w:spacing w:before="0" w:after="0"/>
        <w:jc w:val="left"/>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_____________________________ </w:t>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Lucky Jiang</w:t>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Interim Head, HR</w:t>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Faraday Future </w:t>
      </w:r>
    </w:p>
    <w:p>
      <w:pPr>
        <w:pStyle w:val="TextBody"/>
        <w:bidi w:val="0"/>
        <w:spacing w:before="0" w:after="5"/>
        <w:ind w:left="0" w:right="0" w:hanging="8"/>
        <w:jc w:val="both"/>
        <w:rPr/>
      </w:pPr>
      <w:r>
        <w:rPr/>
      </w:r>
    </w:p>
    <w:p>
      <w:pPr>
        <w:pStyle w:val="TextBody"/>
        <w:bidi w:val="0"/>
        <w:spacing w:before="0" w:after="5"/>
        <w:ind w:left="0" w:right="0" w:hanging="8"/>
        <w:jc w:val="both"/>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Agreed To and Accepted By: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_____________________________ </w:t>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Jerry Wang</w:t>
      </w:r>
    </w:p>
    <w:p>
      <w:pPr>
        <w:pStyle w:val="TextBody"/>
        <w:bidi w:val="0"/>
        <w:spacing w:before="0" w:after="0"/>
        <w:jc w:val="left"/>
        <w:rPr/>
      </w:pPr>
      <w:r>
        <w:rPr/>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_____________________________ </w:t>
      </w:r>
    </w:p>
    <w:p>
      <w:pPr>
        <w:pStyle w:val="TextBody"/>
        <w:bidi w:val="0"/>
        <w:spacing w:lineRule="auto" w:line="288" w:before="0" w:after="5"/>
        <w:ind w:left="0" w:right="0" w:hanging="8"/>
        <w:jc w:val="both"/>
        <w:rPr>
          <w:rFonts w:ascii="Roboto;sans-serif" w:hAnsi="Roboto;sans-serif"/>
          <w:b w:val="false"/>
          <w:color w:val="000000"/>
          <w:sz w:val="22"/>
        </w:rPr>
      </w:pPr>
      <w:r>
        <w:rPr>
          <w:rFonts w:ascii="Roboto;sans-serif" w:hAnsi="Roboto;sans-serif"/>
          <w:b w:val="false"/>
          <w:color w:val="000000"/>
          <w:sz w:val="22"/>
        </w:rPr>
        <w:t xml:space="preserve">Date </w:t>
      </w:r>
    </w:p>
    <w:p>
      <w:pPr>
        <w:pStyle w:val="TextBody"/>
        <w:bidi w:val="0"/>
        <w:spacing w:lineRule="auto" w:line="288"/>
        <w:ind w:left="0" w:right="0" w:hanging="10"/>
        <w:jc w:val="left"/>
        <w:rPr>
          <w:rFonts w:ascii="Roboto;sans-serif" w:hAnsi="Roboto;sans-serif"/>
          <w:b w:val="false"/>
          <w:color w:val="000000"/>
          <w:sz w:val="22"/>
        </w:rPr>
      </w:pPr>
      <w:r>
        <w:rPr>
          <w:rFonts w:ascii="Roboto;sans-serif" w:hAnsi="Roboto;sans-serif"/>
          <w:b w:val="false"/>
          <w:color w:val="000000"/>
          <w:sz w:val="22"/>
        </w:rPr>
        <w:t xml:space="preserve">Enclosure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7800"/>
                <wp:effectExtent l="0" t="0" r="0" b="0"/>
                <wp:wrapNone/>
                <wp:docPr id="83" name="Frame7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00" w:before="0" w:after="0"/>
                              <w:jc w:val="center"/>
                              <w:rPr>
                                <w:rFonts w:ascii="sans-serif" w:hAnsi="sans-serif"/>
                                <w:b w:val="false"/>
                                <w:color w:val="000000"/>
                                <w:sz w:val="24"/>
                              </w:rPr>
                            </w:pPr>
                            <w:r>
                              <w:rPr>
                                <w:rFonts w:ascii="sans-serif" w:hAnsi="sans-serif"/>
                                <w:b w:val="false"/>
                                <w:color w:val="000000"/>
                                <w:sz w:val="24"/>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sans-serif" w:hAnsi="sans-serif"/>
                          <w:b w:val="false"/>
                          <w:color w:val="000000"/>
                          <w:sz w:val="24"/>
                        </w:rPr>
                      </w:pPr>
                      <w:r>
                        <w:rPr>
                          <w:rFonts w:ascii="sans-serif" w:hAnsi="sans-serif"/>
                          <w:b w:val="false"/>
                          <w:color w:val="000000"/>
                          <w:sz w:val="24"/>
                        </w:rPr>
                        <w:t xml:space="preserve">4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CERTIFICATION OF CHIEF EXECUTIVE OFFICER</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AS ADOPTED 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 Matthias Aydt, certify that:</w:t>
      </w:r>
    </w:p>
    <w:p>
      <w:pPr>
        <w:pStyle w:val="TextBody"/>
        <w:bidi w:val="0"/>
        <w:spacing w:lineRule="auto" w:line="288" w:before="0" w:after="0"/>
        <w:jc w:val="both"/>
        <w:rPr>
          <w:color w:val="000000"/>
        </w:rPr>
      </w:pPr>
      <w:r>
        <w:rPr>
          <w:color w:val="000000"/>
        </w:rPr>
        <w:t> </w:t>
      </w:r>
    </w:p>
    <w:tbl>
      <w:tblPr>
        <w:tblW w:w="8037" w:type="dxa"/>
        <w:jc w:val="left"/>
        <w:tblInd w:w="0" w:type="dxa"/>
        <w:tblLayout w:type="fixed"/>
        <w:tblCellMar>
          <w:top w:w="28" w:type="dxa"/>
          <w:left w:w="28" w:type="dxa"/>
          <w:bottom w:w="28" w:type="dxa"/>
          <w:right w:w="28" w:type="dxa"/>
        </w:tblCellMar>
      </w:tblPr>
      <w:tblGrid>
        <w:gridCol w:w="124"/>
        <w:gridCol w:w="109"/>
        <w:gridCol w:w="109"/>
        <w:gridCol w:w="2249"/>
        <w:gridCol w:w="2249"/>
        <w:gridCol w:w="31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769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 have reviewed this quarterly report on Form 10-Q of Faraday Future Intelligent Electric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Date: May 8, 2025</w:t>
      </w:r>
    </w:p>
    <w:p>
      <w:pPr>
        <w:pStyle w:val="TextBody"/>
        <w:bidi w:val="0"/>
        <w:spacing w:lineRule="auto" w:line="288" w:before="0" w:after="0"/>
        <w:jc w:val="both"/>
        <w:rPr>
          <w:color w:val="000000"/>
        </w:rPr>
      </w:pPr>
      <w:r>
        <w:rPr>
          <w:color w:val="000000"/>
        </w:rPr>
        <w:t> </w:t>
      </w:r>
    </w:p>
    <w:tbl>
      <w:tblPr>
        <w:tblW w:w="3311" w:type="dxa"/>
        <w:jc w:val="left"/>
        <w:tblInd w:w="0" w:type="dxa"/>
        <w:tblLayout w:type="fixed"/>
        <w:tblCellMar>
          <w:top w:w="28" w:type="dxa"/>
          <w:left w:w="28" w:type="dxa"/>
          <w:bottom w:w="28" w:type="dxa"/>
          <w:right w:w="28" w:type="dxa"/>
        </w:tblCellMar>
      </w:tblPr>
      <w:tblGrid>
        <w:gridCol w:w="124"/>
        <w:gridCol w:w="109"/>
        <w:gridCol w:w="109"/>
        <w:gridCol w:w="867"/>
        <w:gridCol w:w="867"/>
        <w:gridCol w:w="12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9"/>
              </w:rPr>
              <w:t xml:space="preserve">/s/ </w:t>
            </w:r>
            <w:r>
              <w:rPr>
                <w:rFonts w:ascii="Times New Roman;sans-serif" w:hAnsi="Times New Roman;sans-serif"/>
                <w:b w:val="false"/>
                <w:i/>
                <w:color w:val="000000"/>
                <w:sz w:val="19"/>
              </w:rPr>
              <w:t>Matthias Aydt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Matthias Aydt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Global Co-Chief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CERTIFICATION OF CHIEF EXECUTIVE OFFICER</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AS ADOPTED PURSUANT TO SECTION 302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 Yueting Jia, certify that:</w:t>
      </w:r>
    </w:p>
    <w:p>
      <w:pPr>
        <w:pStyle w:val="TextBody"/>
        <w:bidi w:val="0"/>
        <w:spacing w:lineRule="auto" w:line="288" w:before="0" w:after="0"/>
        <w:jc w:val="both"/>
        <w:rPr>
          <w:color w:val="000000"/>
        </w:rPr>
      </w:pPr>
      <w:r>
        <w:rPr>
          <w:color w:val="000000"/>
        </w:rPr>
        <w:t> </w:t>
      </w:r>
    </w:p>
    <w:tbl>
      <w:tblPr>
        <w:tblW w:w="8037" w:type="dxa"/>
        <w:jc w:val="left"/>
        <w:tblInd w:w="0" w:type="dxa"/>
        <w:tblLayout w:type="fixed"/>
        <w:tblCellMar>
          <w:top w:w="28" w:type="dxa"/>
          <w:left w:w="28" w:type="dxa"/>
          <w:bottom w:w="28" w:type="dxa"/>
          <w:right w:w="28" w:type="dxa"/>
        </w:tblCellMar>
      </w:tblPr>
      <w:tblGrid>
        <w:gridCol w:w="124"/>
        <w:gridCol w:w="109"/>
        <w:gridCol w:w="109"/>
        <w:gridCol w:w="2249"/>
        <w:gridCol w:w="2249"/>
        <w:gridCol w:w="31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769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 have reviewed this quarterly report on Form 10-Q of Faraday Future Intelligent Electric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Date: May 8, 2025</w:t>
      </w:r>
    </w:p>
    <w:p>
      <w:pPr>
        <w:pStyle w:val="TextBody"/>
        <w:bidi w:val="0"/>
        <w:spacing w:lineRule="auto" w:line="288" w:before="0" w:after="0"/>
        <w:jc w:val="both"/>
        <w:rPr>
          <w:color w:val="000000"/>
        </w:rPr>
      </w:pPr>
      <w:r>
        <w:rPr>
          <w:color w:val="000000"/>
        </w:rPr>
        <w:t> </w:t>
      </w:r>
    </w:p>
    <w:tbl>
      <w:tblPr>
        <w:tblW w:w="3312" w:type="dxa"/>
        <w:jc w:val="left"/>
        <w:tblInd w:w="0" w:type="dxa"/>
        <w:tblLayout w:type="fixed"/>
        <w:tblCellMar>
          <w:top w:w="28" w:type="dxa"/>
          <w:left w:w="28" w:type="dxa"/>
          <w:bottom w:w="28" w:type="dxa"/>
          <w:right w:w="28" w:type="dxa"/>
        </w:tblCellMar>
      </w:tblPr>
      <w:tblGrid>
        <w:gridCol w:w="124"/>
        <w:gridCol w:w="109"/>
        <w:gridCol w:w="109"/>
        <w:gridCol w:w="867"/>
        <w:gridCol w:w="867"/>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9"/>
              </w:rPr>
              <w:t xml:space="preserve">/s/ </w:t>
            </w:r>
            <w:r>
              <w:rPr>
                <w:rFonts w:ascii="Times New Roman;sans-serif" w:hAnsi="Times New Roman;sans-serif"/>
                <w:b w:val="false"/>
                <w:i/>
                <w:color w:val="000000"/>
                <w:sz w:val="19"/>
              </w:rPr>
              <w:t>Yueting Jia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Yueting Jia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Global Co-Chief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CERTIFICATION OF CHIEF FINANCIAL OFFICER</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AS ADOPTED PURSUANT TO SECTION 302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 , Koti Meka, certify that:</w:t>
      </w:r>
    </w:p>
    <w:p>
      <w:pPr>
        <w:pStyle w:val="TextBody"/>
        <w:bidi w:val="0"/>
        <w:spacing w:lineRule="auto" w:line="288" w:before="0" w:after="0"/>
        <w:jc w:val="both"/>
        <w:rPr>
          <w:color w:val="000000"/>
        </w:rPr>
      </w:pPr>
      <w:r>
        <w:rPr>
          <w:color w:val="000000"/>
        </w:rPr>
        <w:t> </w:t>
      </w:r>
    </w:p>
    <w:tbl>
      <w:tblPr>
        <w:tblW w:w="8037" w:type="dxa"/>
        <w:jc w:val="left"/>
        <w:tblInd w:w="0" w:type="dxa"/>
        <w:tblLayout w:type="fixed"/>
        <w:tblCellMar>
          <w:top w:w="28" w:type="dxa"/>
          <w:left w:w="28" w:type="dxa"/>
          <w:bottom w:w="28" w:type="dxa"/>
          <w:right w:w="28" w:type="dxa"/>
        </w:tblCellMar>
      </w:tblPr>
      <w:tblGrid>
        <w:gridCol w:w="124"/>
        <w:gridCol w:w="109"/>
        <w:gridCol w:w="109"/>
        <w:gridCol w:w="2249"/>
        <w:gridCol w:w="2249"/>
        <w:gridCol w:w="31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769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 have reviewed this quarterly report on Form 10-Q of Faraday Future Intelligent Electric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Date: May 8, 2025</w:t>
      </w:r>
    </w:p>
    <w:p>
      <w:pPr>
        <w:pStyle w:val="TextBody"/>
        <w:bidi w:val="0"/>
        <w:spacing w:lineRule="auto" w:line="288" w:before="0" w:after="0"/>
        <w:jc w:val="both"/>
        <w:rPr>
          <w:color w:val="000000"/>
        </w:rPr>
      </w:pPr>
      <w:r>
        <w:rPr>
          <w:color w:val="000000"/>
        </w:rPr>
        <w:t> </w:t>
      </w:r>
    </w:p>
    <w:tbl>
      <w:tblPr>
        <w:tblW w:w="4212" w:type="dxa"/>
        <w:jc w:val="left"/>
        <w:tblInd w:w="0" w:type="dxa"/>
        <w:tblLayout w:type="fixed"/>
        <w:tblCellMar>
          <w:top w:w="28" w:type="dxa"/>
          <w:left w:w="28" w:type="dxa"/>
          <w:bottom w:w="28" w:type="dxa"/>
          <w:right w:w="28" w:type="dxa"/>
        </w:tblCellMar>
      </w:tblPr>
      <w:tblGrid>
        <w:gridCol w:w="124"/>
        <w:gridCol w:w="109"/>
        <w:gridCol w:w="109"/>
        <w:gridCol w:w="1132"/>
        <w:gridCol w:w="1132"/>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9"/>
              </w:rPr>
              <w:t xml:space="preserve">/s/ </w:t>
            </w:r>
            <w:r>
              <w:rPr>
                <w:rFonts w:ascii="Times New Roman;sans-serif" w:hAnsi="Times New Roman;sans-serif"/>
                <w:b w:val="false"/>
                <w:i/>
                <w:color w:val="000000"/>
                <w:sz w:val="19"/>
                <w:shd w:fill="FFFFFF" w:val="clear"/>
              </w:rPr>
              <w:t>Koti Meka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Koti Meka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Faraday Future Intelligent Electric Inc. (the “Company”) on Form 10-Q for the quarter ended March 31, 2025, as filed with the Securities and Exchange Commission on the date hereof (the “Report”), I, Matthias Aydt, Global Co-Chief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as of and for the period covered by the Report.</w:t>
            </w:r>
          </w:p>
        </w:tc>
      </w:tr>
    </w:tbl>
    <w:p>
      <w:pPr>
        <w:pStyle w:val="TextBody"/>
        <w:bidi w:val="0"/>
        <w:spacing w:before="0" w:after="0"/>
        <w:jc w:val="both"/>
        <w:rPr/>
      </w:pPr>
      <w:r>
        <w:rPr/>
      </w:r>
    </w:p>
    <w:p>
      <w:pPr>
        <w:pStyle w:val="TextBody"/>
        <w:bidi w:val="0"/>
        <w:spacing w:lineRule="auto" w:line="288" w:before="1" w:after="1"/>
        <w:jc w:val="left"/>
        <w:rPr/>
      </w:pPr>
      <w:r>
        <w:rPr>
          <w:rFonts w:ascii="Times New Roman;sans-serif" w:hAnsi="Times New Roman;sans-serif"/>
          <w:b w:val="false"/>
          <w:color w:val="000000"/>
          <w:sz w:val="20"/>
        </w:rPr>
        <w:t>The foregoing certification is being furnished solely pursuant to 18 U.S.C. Section 1350 and is not being filed as part of the Report.</w:t>
      </w:r>
      <w:r>
        <w:rPr>
          <w:color w:val="000000"/>
        </w:rPr>
        <w:t xml:space="preserve"> </w:t>
      </w:r>
    </w:p>
    <w:p>
      <w:pPr>
        <w:pStyle w:val="TextBody"/>
        <w:bidi w:val="0"/>
        <w:spacing w:lineRule="auto" w:line="288" w:before="1" w:after="1"/>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May 8, 2025</w:t>
      </w:r>
    </w:p>
    <w:p>
      <w:pPr>
        <w:pStyle w:val="TextBody"/>
        <w:bidi w:val="0"/>
        <w:spacing w:lineRule="auto" w:line="288" w:before="0" w:after="0"/>
        <w:jc w:val="both"/>
        <w:rPr>
          <w:color w:val="000000"/>
        </w:rPr>
      </w:pPr>
      <w:r>
        <w:rPr>
          <w:color w:val="000000"/>
        </w:rPr>
        <w:t> </w:t>
      </w:r>
    </w:p>
    <w:tbl>
      <w:tblPr>
        <w:tblW w:w="3311" w:type="dxa"/>
        <w:jc w:val="left"/>
        <w:tblInd w:w="0" w:type="dxa"/>
        <w:tblLayout w:type="fixed"/>
        <w:tblCellMar>
          <w:top w:w="28" w:type="dxa"/>
          <w:left w:w="28" w:type="dxa"/>
          <w:bottom w:w="28" w:type="dxa"/>
          <w:right w:w="28" w:type="dxa"/>
        </w:tblCellMar>
      </w:tblPr>
      <w:tblGrid>
        <w:gridCol w:w="124"/>
        <w:gridCol w:w="109"/>
        <w:gridCol w:w="109"/>
        <w:gridCol w:w="867"/>
        <w:gridCol w:w="867"/>
        <w:gridCol w:w="12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Matthias Aydt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Matthias Aydt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Co-Chief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Faraday Future Intelligent Electric Inc. (the “Company”) on Form 10-Q for the quarter ended March 31, 2025, as filed with the Securities and Exchange Commission on the date hereof (the “Report”), I, Yueting Jia, Global Co-Chief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as of and for the period covered by the Report.</w:t>
            </w:r>
          </w:p>
        </w:tc>
      </w:tr>
    </w:tbl>
    <w:p>
      <w:pPr>
        <w:pStyle w:val="TextBody"/>
        <w:bidi w:val="0"/>
        <w:spacing w:before="0" w:after="0"/>
        <w:jc w:val="both"/>
        <w:rPr/>
      </w:pPr>
      <w:r>
        <w:rPr/>
      </w:r>
    </w:p>
    <w:p>
      <w:pPr>
        <w:pStyle w:val="TextBody"/>
        <w:bidi w:val="0"/>
        <w:spacing w:lineRule="auto" w:line="288" w:before="1" w:after="1"/>
        <w:jc w:val="left"/>
        <w:rPr/>
      </w:pPr>
      <w:r>
        <w:rPr>
          <w:rFonts w:ascii="Times New Roman;sans-serif" w:hAnsi="Times New Roman;sans-serif"/>
          <w:b w:val="false"/>
          <w:color w:val="000000"/>
          <w:sz w:val="20"/>
        </w:rPr>
        <w:t>The foregoing certification is being furnished solely pursuant to 18 U.S.C. Section 1350 and is not being filed as part of the Report.</w:t>
      </w:r>
      <w:r>
        <w:rPr>
          <w:color w:val="000000"/>
        </w:rPr>
        <w:t xml:space="preserve"> </w:t>
      </w:r>
    </w:p>
    <w:p>
      <w:pPr>
        <w:pStyle w:val="TextBody"/>
        <w:bidi w:val="0"/>
        <w:spacing w:lineRule="auto" w:line="288" w:before="1" w:after="1"/>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 xml:space="preserve">Dated: </w:t>
      </w:r>
      <w:r>
        <w:rPr>
          <w:rFonts w:ascii="Times New Roman;sans-serif" w:hAnsi="Times New Roman;sans-serif"/>
          <w:b w:val="false"/>
          <w:color w:val="000000"/>
          <w:sz w:val="19"/>
        </w:rPr>
        <w:t>May 8, 2025</w:t>
      </w:r>
    </w:p>
    <w:p>
      <w:pPr>
        <w:pStyle w:val="TextBody"/>
        <w:bidi w:val="0"/>
        <w:spacing w:lineRule="auto" w:line="288" w:before="0" w:after="0"/>
        <w:jc w:val="both"/>
        <w:rPr>
          <w:color w:val="000000"/>
        </w:rPr>
      </w:pPr>
      <w:r>
        <w:rPr>
          <w:color w:val="000000"/>
        </w:rPr>
        <w:t> </w:t>
      </w:r>
    </w:p>
    <w:tbl>
      <w:tblPr>
        <w:tblW w:w="3312" w:type="dxa"/>
        <w:jc w:val="left"/>
        <w:tblInd w:w="0" w:type="dxa"/>
        <w:tblLayout w:type="fixed"/>
        <w:tblCellMar>
          <w:top w:w="28" w:type="dxa"/>
          <w:left w:w="28" w:type="dxa"/>
          <w:bottom w:w="28" w:type="dxa"/>
          <w:right w:w="28" w:type="dxa"/>
        </w:tblCellMar>
      </w:tblPr>
      <w:tblGrid>
        <w:gridCol w:w="124"/>
        <w:gridCol w:w="109"/>
        <w:gridCol w:w="109"/>
        <w:gridCol w:w="867"/>
        <w:gridCol w:w="867"/>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Yueting Jia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Yueting Jia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Co-Chief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Faraday Future Intelligent Electric Inc. (the “Company”) on Form 10-Q for the quarter ended March 31, 2025, as filed with the Securities and Exchange Commission on the date hereof (the “Report”), I, Koti Meka, Chief Financial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88" w:before="1" w:after="1"/>
        <w:jc w:val="left"/>
        <w:rPr/>
      </w:pPr>
      <w:r>
        <w:rPr>
          <w:rFonts w:ascii="Times New Roman;sans-serif" w:hAnsi="Times New Roman;sans-serif"/>
          <w:b w:val="false"/>
          <w:color w:val="000000"/>
          <w:sz w:val="20"/>
        </w:rPr>
        <w:t>The foregoing certification is being furnished solely pursuant to 18 U.S.C. Section 1350 and is not being filed as part of the Report.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May 8, 2025</w:t>
      </w:r>
    </w:p>
    <w:p>
      <w:pPr>
        <w:pStyle w:val="TextBody"/>
        <w:bidi w:val="0"/>
        <w:spacing w:lineRule="auto" w:line="288" w:before="0" w:after="0"/>
        <w:jc w:val="both"/>
        <w:rPr>
          <w:color w:val="000000"/>
        </w:rPr>
      </w:pPr>
      <w:r>
        <w:rPr>
          <w:color w:val="000000"/>
        </w:rPr>
        <w:t> </w:t>
      </w:r>
    </w:p>
    <w:tbl>
      <w:tblPr>
        <w:tblW w:w="4212" w:type="dxa"/>
        <w:jc w:val="left"/>
        <w:tblInd w:w="0" w:type="dxa"/>
        <w:tblLayout w:type="fixed"/>
        <w:tblCellMar>
          <w:top w:w="28" w:type="dxa"/>
          <w:left w:w="28" w:type="dxa"/>
          <w:bottom w:w="28" w:type="dxa"/>
          <w:right w:w="28" w:type="dxa"/>
        </w:tblCellMar>
      </w:tblPr>
      <w:tblGrid>
        <w:gridCol w:w="124"/>
        <w:gridCol w:w="109"/>
        <w:gridCol w:w="109"/>
        <w:gridCol w:w="1132"/>
        <w:gridCol w:w="1132"/>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Koti Meka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Koti Meka</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ptos">
    <w:altName w:val="san-serif"/>
    <w:charset w:val="01"/>
    <w:family w:val="auto"/>
    <w:pitch w:val="default"/>
  </w:font>
  <w:font w:name="Roboto">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521/000121390024010694/ea192788ex3-1_faraday.htm" TargetMode="External"/><Relationship Id="rId3" Type="http://schemas.openxmlformats.org/officeDocument/2006/relationships/hyperlink" Target="https://www.sec.gov/Archives/edgar/data/1805521/000121390024010694/ea192788ex3-1_faraday.htm" TargetMode="External"/><Relationship Id="rId4" Type="http://schemas.openxmlformats.org/officeDocument/2006/relationships/hyperlink" Target="https://www.sec.gov/Archives/edgar/data/1805521/000121390024010694/ea192788ex3-1_faraday.htm" TargetMode="External"/><Relationship Id="rId5" Type="http://schemas.openxmlformats.org/officeDocument/2006/relationships/hyperlink" Target="https://www.sec.gov/Archives/edgar/data/0001805521/000121390024016665/ea0200677ex3-1_faraday.htm" TargetMode="External"/><Relationship Id="rId6" Type="http://schemas.openxmlformats.org/officeDocument/2006/relationships/hyperlink" Target="https://www.sec.gov/Archives/edgar/data/1805521/000121390024064185/ea021039501ex3-2_faraday.htm" TargetMode="External"/><Relationship Id="rId7" Type="http://schemas.openxmlformats.org/officeDocument/2006/relationships/hyperlink" Target="https://www.sec.gov/Archives/edgar/data/1805521/000121390024064185/ea021039501ex3-1_faraday.htm" TargetMode="External"/><Relationship Id="rId8" Type="http://schemas.openxmlformats.org/officeDocument/2006/relationships/hyperlink" Target="https://www.sec.gov/ix?doc=/Archives/edgar/data/1805521/000121390024069327/ea0211502-8k_faraday.htm" TargetMode="External"/><Relationship Id="rId9" Type="http://schemas.openxmlformats.org/officeDocument/2006/relationships/hyperlink" Target="https://www.sec.gov/Archives/edgar/data/0001805521/000121390023049711/ea180273ex3-2_faraday.htm" TargetMode="External"/><Relationship Id="rId10" Type="http://schemas.openxmlformats.org/officeDocument/2006/relationships/hyperlink" Target="https://www.sec.gov/Archives/edgar/data/1805521/000121390025008535/ea022922301ex3-1_faraday.htm" TargetMode="External"/><Relationship Id="rId11" Type="http://schemas.openxmlformats.org/officeDocument/2006/relationships/hyperlink" Target="https://www.sec.gov/Archives/edgar/data/1805521/000121390025022390/ea023388401ex3-1_faraday.htm" TargetMode="External"/><Relationship Id="rId12" Type="http://schemas.openxmlformats.org/officeDocument/2006/relationships/hyperlink" Target="https://www.sec.gov/Archives/edgar/data/1805521/000121390025022390/ea023388401ex3-2_faraday.htm" TargetMode="External"/><Relationship Id="rId13" Type="http://schemas.openxmlformats.org/officeDocument/2006/relationships/hyperlink" Target="https://www.sec.gov/Archives/edgar/data/1805521/000101376225001636/ea023373601ex3-1_faraday.htm" TargetMode="External"/><Relationship Id="rId14" Type="http://schemas.openxmlformats.org/officeDocument/2006/relationships/hyperlink" Target="https://www.sec.gov/Archives/edgar/data/1805521/000121390025030369/ea023763601ex3-1_faraday.htm" TargetMode="External"/><Relationship Id="rId15" Type="http://schemas.openxmlformats.org/officeDocument/2006/relationships/hyperlink" Target="https://www.sec.gov/Archives/edgar/data/1805521/000121390025030369/ea023763601ex3-2_faraday.htm" TargetMode="External"/><Relationship Id="rId16" Type="http://schemas.openxmlformats.org/officeDocument/2006/relationships/hyperlink" Target="https://www.sec.gov/Archives/edgar/data/1805521/000121390025033425/ea023881601ex3-1_faraday.htm" TargetMode="External"/><Relationship Id="rId17" Type="http://schemas.openxmlformats.org/officeDocument/2006/relationships/hyperlink" Target="https://www.sec.gov/Archives/edgar/data/1805521/000101376225001636/ea023373601ex4-1_faraday.htm" TargetMode="External"/><Relationship Id="rId18" Type="http://schemas.openxmlformats.org/officeDocument/2006/relationships/hyperlink" Target="https://www.sec.gov/Archives/edgar/data/1805521/000101376225001636/ea023373601ex4-2_faraday.htm" TargetMode="External"/><Relationship Id="rId19" Type="http://schemas.openxmlformats.org/officeDocument/2006/relationships/hyperlink" Target="https://www.sec.gov/Archives/edgar/data/1805521/000101376225001636/ea023373601ex4-3_faraday.htm" TargetMode="External"/><Relationship Id="rId20" Type="http://schemas.openxmlformats.org/officeDocument/2006/relationships/hyperlink" Target="https://www.sec.gov/Archives/edgar/data/1805521/000101376225001636/ea023373601ex4-5_faraday.htm" TargetMode="External"/><Relationship Id="rId21" Type="http://schemas.openxmlformats.org/officeDocument/2006/relationships/hyperlink" Target="https://www.sec.gov/Archives/edgar/data/1805521/000121390025008535/ea022922301ex10-1_faraday.htm" TargetMode="External"/><Relationship Id="rId22" Type="http://schemas.openxmlformats.org/officeDocument/2006/relationships/hyperlink" Target="https://www.sec.gov/Archives/edgar/data/1805521/000121390025008535/ea022922301ex10-2_faraday.htm" TargetMode="External"/><Relationship Id="rId23" Type="http://schemas.openxmlformats.org/officeDocument/2006/relationships/hyperlink" Target="https://www.sec.gov/Archives/edgar/data/1805521/000121390025008535/ea022922301ex10-3_faraday.htm" TargetMode="External"/><Relationship Id="rId24" Type="http://schemas.openxmlformats.org/officeDocument/2006/relationships/hyperlink" Target="https://www.sec.gov/Archives/edgar/data/1805521/000101376225001636/ea023373601ex10-1_faraday.htm" TargetMode="External"/><Relationship Id="rId25" Type="http://schemas.openxmlformats.org/officeDocument/2006/relationships/hyperlink" Target="https://www.sec.gov/Archives/edgar/data/1805521/000101376225001636/ea023373601ex10-2_faraday.htm" TargetMode="External"/><Relationship Id="rId26" Type="http://schemas.openxmlformats.org/officeDocument/2006/relationships/hyperlink" Target="https://www.sec.gov/Archives/edgar/data/1805521/000121390025033425/ea023881601ex10-1_faraday.htm" TargetMode="External"/><Relationship Id="rId27" Type="http://schemas.openxmlformats.org/officeDocument/2006/relationships/hyperlink" Target="https://www.sec.gov/Archives/edgar/data/1805521/000121390025035206/ea023951301ex10-1_faraday.htm" TargetMode="External"/><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48658</Words>
  <Characters>271216</Characters>
  <CharactersWithSpaces>318091</CharactersWithSpaces>
  <Paragraphs>3342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