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415925</wp:posOffset>
            </wp:positionV>
            <wp:extent cx="71354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54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441325</wp:posOffset>
            </wp:positionV>
            <wp:extent cx="71354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UNITED STATES</w:t>
      </w:r>
    </w:p>
    <w:p>
      <w:pPr>
        <w:jc w:val="center"/>
        <w:ind w:right="20"/>
        <w:spacing w:after="0" w:line="198" w:lineRule="auto"/>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20"/>
        <w:spacing w:after="0" w:line="198" w:lineRule="auto"/>
        <w:rPr>
          <w:sz w:val="20"/>
          <w:szCs w:val="20"/>
          <w:color w:val="auto"/>
        </w:rPr>
      </w:pPr>
      <w:r>
        <w:rPr>
          <w:rFonts w:ascii="Times New Roman" w:cs="Times New Roman" w:eastAsia="Times New Roman" w:hAnsi="Times New Roman"/>
          <w:sz w:val="25"/>
          <w:szCs w:val="25"/>
          <w:b w:val="1"/>
          <w:bCs w:val="1"/>
          <w:color w:val="auto"/>
        </w:rPr>
        <w:t>Washington, D.C. 20549</w:t>
      </w: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30" w:lineRule="exact"/>
        <w:rPr>
          <w:sz w:val="24"/>
          <w:szCs w:val="24"/>
          <w:color w:val="auto"/>
        </w:rPr>
      </w:pPr>
    </w:p>
    <w:p>
      <w:pPr>
        <w:ind w:left="1620" w:hanging="489"/>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228" w:lineRule="exact"/>
        <w:rPr>
          <w:sz w:val="24"/>
          <w:szCs w:val="24"/>
          <w:color w:val="auto"/>
        </w:rPr>
      </w:pPr>
    </w:p>
    <w:p>
      <w:pPr>
        <w:ind w:left="1620"/>
        <w:spacing w:after="0"/>
        <w:rPr>
          <w:sz w:val="20"/>
          <w:szCs w:val="20"/>
          <w:color w:val="auto"/>
        </w:rPr>
      </w:pPr>
      <w:r>
        <w:rPr>
          <w:rFonts w:ascii="Times New Roman" w:cs="Times New Roman" w:eastAsia="Times New Roman" w:hAnsi="Times New Roman"/>
          <w:sz w:val="18"/>
          <w:szCs w:val="18"/>
          <w:color w:val="auto"/>
        </w:rPr>
        <w:t>For the quarterly period ended June 30, 2025</w:t>
      </w:r>
    </w:p>
    <w:p>
      <w:pPr>
        <w:spacing w:after="0" w:line="9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30" w:lineRule="exact"/>
        <w:rPr>
          <w:sz w:val="24"/>
          <w:szCs w:val="24"/>
          <w:color w:val="auto"/>
        </w:rPr>
      </w:pPr>
    </w:p>
    <w:p>
      <w:pPr>
        <w:ind w:left="1620" w:right="1140" w:hanging="489"/>
        <w:spacing w:after="0" w:line="514" w:lineRule="auto"/>
        <w:tabs>
          <w:tab w:leader="none" w:pos="1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________________ to ________________</w:t>
      </w:r>
    </w:p>
    <w:p>
      <w:pPr>
        <w:spacing w:after="0" w:line="61"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ommission File Number: 001-39395 Faraday Future Intelligent Electric Inc.</w:t>
      </w:r>
    </w:p>
    <w:p>
      <w:pPr>
        <w:ind w:left="38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 w:lineRule="exact"/>
        <w:rPr>
          <w:sz w:val="24"/>
          <w:szCs w:val="24"/>
          <w:color w:val="auto"/>
        </w:rPr>
      </w:pPr>
    </w:p>
    <w:tbl>
      <w:tblPr>
        <w:tblLayout w:type="fixed"/>
        <w:tblInd w:w="10" w:type="dxa"/>
        <w:tblCellMar>
          <w:top w:w="0" w:type="dxa"/>
          <w:left w:w="0" w:type="dxa"/>
          <w:bottom w:w="0" w:type="dxa"/>
          <w:right w:w="0" w:type="dxa"/>
        </w:tblCellMar>
      </w:tblPr>
      <w:tr>
        <w:trPr>
          <w:trHeight w:val="207"/>
        </w:trPr>
        <w:tc>
          <w:tcPr>
            <w:tcW w:w="4080" w:type="dxa"/>
            <w:vAlign w:val="bottom"/>
            <w:gridSpan w:val="2"/>
          </w:tcPr>
          <w:p>
            <w:pPr>
              <w:jc w:val="center"/>
              <w:ind w:left="1082"/>
              <w:spacing w:after="0"/>
              <w:rPr>
                <w:sz w:val="20"/>
                <w:szCs w:val="20"/>
                <w:color w:val="auto"/>
              </w:rPr>
            </w:pPr>
            <w:r>
              <w:rPr>
                <w:rFonts w:ascii="Times New Roman" w:cs="Times New Roman" w:eastAsia="Times New Roman" w:hAnsi="Times New Roman"/>
                <w:sz w:val="16"/>
                <w:szCs w:val="16"/>
                <w:color w:val="auto"/>
                <w:w w:val="97"/>
              </w:rPr>
              <w:t>Delaware</w:t>
            </w:r>
          </w:p>
        </w:tc>
        <w:tc>
          <w:tcPr>
            <w:tcW w:w="2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960" w:type="dxa"/>
            <w:vAlign w:val="bottom"/>
          </w:tcPr>
          <w:p>
            <w:pPr>
              <w:jc w:val="right"/>
              <w:ind w:right="2163"/>
              <w:spacing w:after="0"/>
              <w:rPr>
                <w:sz w:val="20"/>
                <w:szCs w:val="20"/>
                <w:color w:val="auto"/>
              </w:rPr>
            </w:pPr>
            <w:r>
              <w:rPr>
                <w:rFonts w:ascii="Times New Roman" w:cs="Times New Roman" w:eastAsia="Times New Roman" w:hAnsi="Times New Roman"/>
                <w:sz w:val="16"/>
                <w:szCs w:val="16"/>
                <w:color w:val="auto"/>
              </w:rPr>
              <w:t>84-4720320</w:t>
            </w:r>
          </w:p>
        </w:tc>
        <w:tc>
          <w:tcPr>
            <w:tcW w:w="0" w:type="dxa"/>
            <w:vAlign w:val="bottom"/>
          </w:tcPr>
          <w:p>
            <w:pPr>
              <w:spacing w:after="0"/>
              <w:rPr>
                <w:sz w:val="1"/>
                <w:szCs w:val="1"/>
                <w:color w:val="auto"/>
              </w:rPr>
            </w:pPr>
          </w:p>
        </w:tc>
      </w:tr>
      <w:tr>
        <w:trPr>
          <w:trHeight w:val="224"/>
        </w:trPr>
        <w:tc>
          <w:tcPr>
            <w:tcW w:w="7300" w:type="dxa"/>
            <w:vAlign w:val="bottom"/>
            <w:gridSpan w:val="4"/>
          </w:tcPr>
          <w:p>
            <w:pPr>
              <w:jc w:val="center"/>
              <w:ind w:right="2040"/>
              <w:spacing w:after="0"/>
              <w:rPr>
                <w:sz w:val="20"/>
                <w:szCs w:val="20"/>
                <w:color w:val="auto"/>
              </w:rPr>
            </w:pPr>
            <w:r>
              <w:rPr>
                <w:rFonts w:ascii="Times New Roman" w:cs="Times New Roman" w:eastAsia="Times New Roman" w:hAnsi="Times New Roman"/>
                <w:sz w:val="16"/>
                <w:szCs w:val="16"/>
                <w:color w:val="auto"/>
                <w:w w:val="98"/>
              </w:rPr>
              <w:t>(State or other jurisdiction of incorporation or organization)</w:t>
            </w:r>
          </w:p>
        </w:tc>
        <w:tc>
          <w:tcPr>
            <w:tcW w:w="3960" w:type="dxa"/>
            <w:vAlign w:val="bottom"/>
          </w:tcPr>
          <w:p>
            <w:pPr>
              <w:jc w:val="center"/>
              <w:ind w:right="1143"/>
              <w:spacing w:after="0"/>
              <w:rPr>
                <w:sz w:val="20"/>
                <w:szCs w:val="20"/>
                <w:color w:val="auto"/>
              </w:rPr>
            </w:pPr>
            <w:r>
              <w:rPr>
                <w:rFonts w:ascii="Times New Roman" w:cs="Times New Roman" w:eastAsia="Times New Roman" w:hAnsi="Times New Roman"/>
                <w:sz w:val="16"/>
                <w:szCs w:val="16"/>
                <w:color w:val="auto"/>
                <w:w w:val="98"/>
              </w:rPr>
              <w:t>(I.R.S. Employer Identification No.)</w:t>
            </w:r>
          </w:p>
        </w:tc>
        <w:tc>
          <w:tcPr>
            <w:tcW w:w="0" w:type="dxa"/>
            <w:vAlign w:val="bottom"/>
          </w:tcPr>
          <w:p>
            <w:pPr>
              <w:spacing w:after="0"/>
              <w:rPr>
                <w:sz w:val="1"/>
                <w:szCs w:val="1"/>
                <w:color w:val="auto"/>
              </w:rPr>
            </w:pPr>
          </w:p>
        </w:tc>
      </w:tr>
      <w:tr>
        <w:trPr>
          <w:trHeight w:val="281"/>
        </w:trPr>
        <w:tc>
          <w:tcPr>
            <w:tcW w:w="4080" w:type="dxa"/>
            <w:vAlign w:val="bottom"/>
            <w:gridSpan w:val="2"/>
          </w:tcPr>
          <w:p>
            <w:pPr>
              <w:jc w:val="center"/>
              <w:ind w:left="1102"/>
              <w:spacing w:after="0"/>
              <w:rPr>
                <w:sz w:val="20"/>
                <w:szCs w:val="20"/>
                <w:color w:val="auto"/>
              </w:rPr>
            </w:pPr>
            <w:r>
              <w:rPr>
                <w:rFonts w:ascii="Times New Roman" w:cs="Times New Roman" w:eastAsia="Times New Roman" w:hAnsi="Times New Roman"/>
                <w:sz w:val="16"/>
                <w:szCs w:val="16"/>
                <w:color w:val="auto"/>
                <w:w w:val="99"/>
              </w:rPr>
              <w:t>18455 S. Figueroa Street,</w:t>
            </w:r>
          </w:p>
        </w:tc>
        <w:tc>
          <w:tcPr>
            <w:tcW w:w="2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080" w:type="dxa"/>
            <w:vAlign w:val="bottom"/>
            <w:gridSpan w:val="2"/>
          </w:tcPr>
          <w:p>
            <w:pPr>
              <w:jc w:val="center"/>
              <w:ind w:left="1082"/>
              <w:spacing w:after="0"/>
              <w:rPr>
                <w:sz w:val="20"/>
                <w:szCs w:val="20"/>
                <w:color w:val="auto"/>
              </w:rPr>
            </w:pPr>
            <w:r>
              <w:rPr>
                <w:rFonts w:ascii="Times New Roman" w:cs="Times New Roman" w:eastAsia="Times New Roman" w:hAnsi="Times New Roman"/>
                <w:sz w:val="16"/>
                <w:szCs w:val="16"/>
                <w:color w:val="auto"/>
                <w:w w:val="99"/>
              </w:rPr>
              <w:t>Gardena, CA</w:t>
            </w:r>
          </w:p>
        </w:tc>
        <w:tc>
          <w:tcPr>
            <w:tcW w:w="2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960" w:type="dxa"/>
            <w:vAlign w:val="bottom"/>
          </w:tcPr>
          <w:p>
            <w:pPr>
              <w:jc w:val="right"/>
              <w:ind w:right="2343"/>
              <w:spacing w:after="0"/>
              <w:rPr>
                <w:sz w:val="20"/>
                <w:szCs w:val="20"/>
                <w:color w:val="auto"/>
              </w:rPr>
            </w:pPr>
            <w:r>
              <w:rPr>
                <w:rFonts w:ascii="Times New Roman" w:cs="Times New Roman" w:eastAsia="Times New Roman" w:hAnsi="Times New Roman"/>
                <w:sz w:val="16"/>
                <w:szCs w:val="16"/>
                <w:color w:val="auto"/>
              </w:rPr>
              <w:t>90248</w:t>
            </w:r>
          </w:p>
        </w:tc>
        <w:tc>
          <w:tcPr>
            <w:tcW w:w="0" w:type="dxa"/>
            <w:vAlign w:val="bottom"/>
          </w:tcPr>
          <w:p>
            <w:pPr>
              <w:spacing w:after="0"/>
              <w:rPr>
                <w:sz w:val="1"/>
                <w:szCs w:val="1"/>
                <w:color w:val="auto"/>
              </w:rPr>
            </w:pPr>
          </w:p>
        </w:tc>
      </w:tr>
      <w:tr>
        <w:trPr>
          <w:trHeight w:val="241"/>
        </w:trPr>
        <w:tc>
          <w:tcPr>
            <w:tcW w:w="4080" w:type="dxa"/>
            <w:vAlign w:val="bottom"/>
            <w:gridSpan w:val="2"/>
          </w:tcPr>
          <w:p>
            <w:pPr>
              <w:jc w:val="center"/>
              <w:ind w:left="1102"/>
              <w:spacing w:after="0"/>
              <w:rPr>
                <w:sz w:val="20"/>
                <w:szCs w:val="20"/>
                <w:color w:val="auto"/>
              </w:rPr>
            </w:pPr>
            <w:r>
              <w:rPr>
                <w:rFonts w:ascii="Times New Roman" w:cs="Times New Roman" w:eastAsia="Times New Roman" w:hAnsi="Times New Roman"/>
                <w:sz w:val="18"/>
                <w:szCs w:val="18"/>
                <w:color w:val="auto"/>
                <w:w w:val="97"/>
              </w:rPr>
              <w:t>(Address of Principal Executive Offices)</w:t>
            </w:r>
          </w:p>
        </w:tc>
        <w:tc>
          <w:tcPr>
            <w:tcW w:w="2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960" w:type="dxa"/>
            <w:vAlign w:val="bottom"/>
          </w:tcPr>
          <w:p>
            <w:pPr>
              <w:jc w:val="center"/>
              <w:ind w:right="1143"/>
              <w:spacing w:after="0"/>
              <w:rPr>
                <w:sz w:val="20"/>
                <w:szCs w:val="20"/>
                <w:color w:val="auto"/>
              </w:rPr>
            </w:pPr>
            <w:r>
              <w:rPr>
                <w:rFonts w:ascii="Times New Roman" w:cs="Times New Roman" w:eastAsia="Times New Roman" w:hAnsi="Times New Roman"/>
                <w:sz w:val="15"/>
                <w:szCs w:val="15"/>
                <w:color w:val="auto"/>
                <w:w w:val="99"/>
              </w:rPr>
              <w:t>(Zip Code)</w:t>
            </w:r>
          </w:p>
        </w:tc>
        <w:tc>
          <w:tcPr>
            <w:tcW w:w="0" w:type="dxa"/>
            <w:vAlign w:val="bottom"/>
          </w:tcPr>
          <w:p>
            <w:pPr>
              <w:spacing w:after="0"/>
              <w:rPr>
                <w:sz w:val="1"/>
                <w:szCs w:val="1"/>
                <w:color w:val="auto"/>
              </w:rPr>
            </w:pPr>
          </w:p>
        </w:tc>
      </w:tr>
      <w:tr>
        <w:trPr>
          <w:trHeight w:val="379"/>
        </w:trPr>
        <w:tc>
          <w:tcPr>
            <w:tcW w:w="3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20" w:type="dxa"/>
            <w:vAlign w:val="bottom"/>
          </w:tcPr>
          <w:p>
            <w:pPr>
              <w:jc w:val="right"/>
              <w:ind w:right="125"/>
              <w:spacing w:after="0"/>
              <w:rPr>
                <w:sz w:val="20"/>
                <w:szCs w:val="20"/>
                <w:color w:val="auto"/>
              </w:rPr>
            </w:pPr>
            <w:r>
              <w:rPr>
                <w:rFonts w:ascii="Times New Roman" w:cs="Times New Roman" w:eastAsia="Times New Roman" w:hAnsi="Times New Roman"/>
                <w:sz w:val="15"/>
                <w:szCs w:val="15"/>
                <w:b w:val="1"/>
                <w:bCs w:val="1"/>
                <w:color w:val="auto"/>
              </w:rPr>
              <w:t>(424) 276-7616</w:t>
            </w:r>
          </w:p>
        </w:tc>
        <w:tc>
          <w:tcPr>
            <w:tcW w:w="10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3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2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w w:val="98"/>
              </w:rPr>
              <w:t>Registrant’s telephone number, including area code</w:t>
            </w:r>
          </w:p>
        </w:tc>
        <w:tc>
          <w:tcPr>
            <w:tcW w:w="3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9"/>
        </w:trPr>
        <w:tc>
          <w:tcPr>
            <w:tcW w:w="4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tc>
        <w:tc>
          <w:tcPr>
            <w:tcW w:w="2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39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3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39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Title of each class</w:t>
            </w:r>
          </w:p>
        </w:tc>
        <w:tc>
          <w:tcPr>
            <w:tcW w:w="180" w:type="dxa"/>
            <w:vAlign w:val="bottom"/>
          </w:tcPr>
          <w:p>
            <w:pPr>
              <w:spacing w:after="0"/>
              <w:rPr>
                <w:sz w:val="16"/>
                <w:szCs w:val="16"/>
                <w:color w:val="auto"/>
              </w:rPr>
            </w:pPr>
          </w:p>
        </w:tc>
        <w:tc>
          <w:tcPr>
            <w:tcW w:w="2220" w:type="dxa"/>
            <w:vAlign w:val="bottom"/>
            <w:tcBorders>
              <w:right w:val="single" w:sz="8" w:color="auto"/>
            </w:tcBorders>
          </w:tcPr>
          <w:p>
            <w:pPr>
              <w:jc w:val="center"/>
              <w:ind w:right="125"/>
              <w:spacing w:after="0"/>
              <w:rPr>
                <w:sz w:val="20"/>
                <w:szCs w:val="20"/>
                <w:color w:val="auto"/>
              </w:rPr>
            </w:pPr>
            <w:r>
              <w:rPr>
                <w:rFonts w:ascii="Times New Roman" w:cs="Times New Roman" w:eastAsia="Times New Roman" w:hAnsi="Times New Roman"/>
                <w:sz w:val="15"/>
                <w:szCs w:val="15"/>
                <w:color w:val="auto"/>
              </w:rPr>
              <w:t>Trading Symbol(s)</w:t>
            </w:r>
          </w:p>
        </w:tc>
        <w:tc>
          <w:tcPr>
            <w:tcW w:w="1000" w:type="dxa"/>
            <w:vAlign w:val="bottom"/>
          </w:tcPr>
          <w:p>
            <w:pPr>
              <w:spacing w:after="0"/>
              <w:rPr>
                <w:sz w:val="16"/>
                <w:szCs w:val="16"/>
                <w:color w:val="auto"/>
              </w:rPr>
            </w:pPr>
          </w:p>
        </w:tc>
        <w:tc>
          <w:tcPr>
            <w:tcW w:w="3960" w:type="dxa"/>
            <w:vAlign w:val="bottom"/>
            <w:tcBorders>
              <w:right w:val="single" w:sz="8" w:color="auto"/>
            </w:tcBorders>
          </w:tcPr>
          <w:p>
            <w:pPr>
              <w:jc w:val="center"/>
              <w:ind w:right="943"/>
              <w:spacing w:after="0"/>
              <w:rPr>
                <w:sz w:val="20"/>
                <w:szCs w:val="20"/>
                <w:color w:val="auto"/>
              </w:rPr>
            </w:pPr>
            <w:r>
              <w:rPr>
                <w:rFonts w:ascii="Times New Roman" w:cs="Times New Roman" w:eastAsia="Times New Roman" w:hAnsi="Times New Roman"/>
                <w:sz w:val="15"/>
                <w:szCs w:val="15"/>
                <w:color w:val="auto"/>
              </w:rPr>
              <w:t>Name of each exchange on which registered</w:t>
            </w:r>
          </w:p>
        </w:tc>
        <w:tc>
          <w:tcPr>
            <w:tcW w:w="0" w:type="dxa"/>
            <w:vAlign w:val="bottom"/>
          </w:tcPr>
          <w:p>
            <w:pPr>
              <w:spacing w:after="0"/>
              <w:rPr>
                <w:sz w:val="1"/>
                <w:szCs w:val="1"/>
                <w:color w:val="auto"/>
              </w:rPr>
            </w:pPr>
          </w:p>
        </w:tc>
      </w:tr>
      <w:tr>
        <w:trPr>
          <w:trHeight w:val="35"/>
        </w:trPr>
        <w:tc>
          <w:tcPr>
            <w:tcW w:w="3900" w:type="dxa"/>
            <w:vAlign w:val="bottom"/>
            <w:tcBorders>
              <w:left w:val="single" w:sz="8" w:color="auto"/>
              <w:bottom w:val="single" w:sz="8" w:color="auto"/>
              <w:right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22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39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39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Class A common stock, par value $0.0001 per share</w:t>
            </w:r>
          </w:p>
        </w:tc>
        <w:tc>
          <w:tcPr>
            <w:tcW w:w="180" w:type="dxa"/>
            <w:vAlign w:val="bottom"/>
          </w:tcPr>
          <w:p>
            <w:pPr>
              <w:spacing w:after="0"/>
              <w:rPr>
                <w:sz w:val="16"/>
                <w:szCs w:val="16"/>
                <w:color w:val="auto"/>
              </w:rPr>
            </w:pPr>
          </w:p>
        </w:tc>
        <w:tc>
          <w:tcPr>
            <w:tcW w:w="2220" w:type="dxa"/>
            <w:vAlign w:val="bottom"/>
            <w:tcBorders>
              <w:right w:val="single" w:sz="8" w:color="auto"/>
            </w:tcBorders>
          </w:tcPr>
          <w:p>
            <w:pPr>
              <w:jc w:val="center"/>
              <w:ind w:right="125"/>
              <w:spacing w:after="0"/>
              <w:rPr>
                <w:sz w:val="20"/>
                <w:szCs w:val="20"/>
                <w:color w:val="auto"/>
              </w:rPr>
            </w:pPr>
            <w:r>
              <w:rPr>
                <w:rFonts w:ascii="Times New Roman" w:cs="Times New Roman" w:eastAsia="Times New Roman" w:hAnsi="Times New Roman"/>
                <w:sz w:val="15"/>
                <w:szCs w:val="15"/>
                <w:color w:val="auto"/>
                <w:w w:val="92"/>
              </w:rPr>
              <w:t>FFAI</w:t>
            </w:r>
          </w:p>
        </w:tc>
        <w:tc>
          <w:tcPr>
            <w:tcW w:w="1000" w:type="dxa"/>
            <w:vAlign w:val="bottom"/>
          </w:tcPr>
          <w:p>
            <w:pPr>
              <w:spacing w:after="0"/>
              <w:rPr>
                <w:sz w:val="16"/>
                <w:szCs w:val="16"/>
                <w:color w:val="auto"/>
              </w:rPr>
            </w:pPr>
          </w:p>
        </w:tc>
        <w:tc>
          <w:tcPr>
            <w:tcW w:w="3960" w:type="dxa"/>
            <w:vAlign w:val="bottom"/>
            <w:tcBorders>
              <w:right w:val="single" w:sz="8" w:color="auto"/>
            </w:tcBorders>
          </w:tcPr>
          <w:p>
            <w:pPr>
              <w:jc w:val="center"/>
              <w:ind w:right="943"/>
              <w:spacing w:after="0"/>
              <w:rPr>
                <w:sz w:val="20"/>
                <w:szCs w:val="20"/>
                <w:color w:val="auto"/>
              </w:rPr>
            </w:pPr>
            <w:r>
              <w:rPr>
                <w:rFonts w:ascii="Times New Roman" w:cs="Times New Roman" w:eastAsia="Times New Roman" w:hAnsi="Times New Roman"/>
                <w:sz w:val="15"/>
                <w:szCs w:val="15"/>
                <w:color w:val="auto"/>
              </w:rPr>
              <w:t>The Nasdaq Stock Market LLC</w:t>
            </w:r>
          </w:p>
        </w:tc>
        <w:tc>
          <w:tcPr>
            <w:tcW w:w="0" w:type="dxa"/>
            <w:vAlign w:val="bottom"/>
          </w:tcPr>
          <w:p>
            <w:pPr>
              <w:spacing w:after="0"/>
              <w:rPr>
                <w:sz w:val="1"/>
                <w:szCs w:val="1"/>
                <w:color w:val="auto"/>
              </w:rPr>
            </w:pPr>
          </w:p>
        </w:tc>
      </w:tr>
      <w:tr>
        <w:trPr>
          <w:trHeight w:val="35"/>
        </w:trPr>
        <w:tc>
          <w:tcPr>
            <w:tcW w:w="3900" w:type="dxa"/>
            <w:vAlign w:val="bottom"/>
            <w:tcBorders>
              <w:left w:val="single" w:sz="8" w:color="auto"/>
              <w:bottom w:val="single" w:sz="8" w:color="auto"/>
              <w:right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22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39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39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Redeemable warrants, exercisable for shares of Class A</w:t>
            </w:r>
          </w:p>
        </w:tc>
        <w:tc>
          <w:tcPr>
            <w:tcW w:w="180" w:type="dxa"/>
            <w:vAlign w:val="bottom"/>
          </w:tcPr>
          <w:p>
            <w:pPr>
              <w:spacing w:after="0"/>
              <w:rPr>
                <w:sz w:val="16"/>
                <w:szCs w:val="16"/>
                <w:color w:val="auto"/>
              </w:rPr>
            </w:pPr>
          </w:p>
        </w:tc>
        <w:tc>
          <w:tcPr>
            <w:tcW w:w="2220" w:type="dxa"/>
            <w:vAlign w:val="bottom"/>
            <w:tcBorders>
              <w:right w:val="single" w:sz="8" w:color="auto"/>
            </w:tcBorders>
            <w:vMerge w:val="restart"/>
          </w:tcPr>
          <w:p>
            <w:pPr>
              <w:jc w:val="center"/>
              <w:ind w:right="125"/>
              <w:spacing w:after="0"/>
              <w:rPr>
                <w:sz w:val="20"/>
                <w:szCs w:val="20"/>
                <w:color w:val="auto"/>
              </w:rPr>
            </w:pPr>
            <w:r>
              <w:rPr>
                <w:rFonts w:ascii="Times New Roman" w:cs="Times New Roman" w:eastAsia="Times New Roman" w:hAnsi="Times New Roman"/>
                <w:sz w:val="15"/>
                <w:szCs w:val="15"/>
                <w:color w:val="auto"/>
                <w:w w:val="98"/>
              </w:rPr>
              <w:t>FFAIW</w:t>
            </w:r>
          </w:p>
        </w:tc>
        <w:tc>
          <w:tcPr>
            <w:tcW w:w="1000" w:type="dxa"/>
            <w:vAlign w:val="bottom"/>
          </w:tcPr>
          <w:p>
            <w:pPr>
              <w:spacing w:after="0"/>
              <w:rPr>
                <w:sz w:val="16"/>
                <w:szCs w:val="16"/>
                <w:color w:val="auto"/>
              </w:rPr>
            </w:pPr>
          </w:p>
        </w:tc>
        <w:tc>
          <w:tcPr>
            <w:tcW w:w="3960" w:type="dxa"/>
            <w:vAlign w:val="bottom"/>
            <w:tcBorders>
              <w:right w:val="single" w:sz="8" w:color="auto"/>
            </w:tcBorders>
            <w:vMerge w:val="restart"/>
          </w:tcPr>
          <w:p>
            <w:pPr>
              <w:jc w:val="center"/>
              <w:ind w:right="943"/>
              <w:spacing w:after="0"/>
              <w:rPr>
                <w:sz w:val="20"/>
                <w:szCs w:val="20"/>
                <w:color w:val="auto"/>
              </w:rPr>
            </w:pPr>
            <w:r>
              <w:rPr>
                <w:rFonts w:ascii="Times New Roman" w:cs="Times New Roman" w:eastAsia="Times New Roman" w:hAnsi="Times New Roman"/>
                <w:sz w:val="15"/>
                <w:szCs w:val="15"/>
                <w:color w:val="auto"/>
              </w:rPr>
              <w:t>The Nasdaq Stock Market LLC</w:t>
            </w:r>
          </w:p>
        </w:tc>
        <w:tc>
          <w:tcPr>
            <w:tcW w:w="0" w:type="dxa"/>
            <w:vAlign w:val="bottom"/>
          </w:tcPr>
          <w:p>
            <w:pPr>
              <w:spacing w:after="0"/>
              <w:rPr>
                <w:sz w:val="1"/>
                <w:szCs w:val="1"/>
                <w:color w:val="auto"/>
              </w:rPr>
            </w:pPr>
          </w:p>
        </w:tc>
      </w:tr>
      <w:tr>
        <w:trPr>
          <w:trHeight w:val="88"/>
        </w:trPr>
        <w:tc>
          <w:tcPr>
            <w:tcW w:w="39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9"/>
              </w:rPr>
              <w:t>common stock at an exercise price of $110,400.00 per share</w:t>
            </w:r>
          </w:p>
        </w:tc>
        <w:tc>
          <w:tcPr>
            <w:tcW w:w="180" w:type="dxa"/>
            <w:vAlign w:val="bottom"/>
          </w:tcPr>
          <w:p>
            <w:pPr>
              <w:spacing w:after="0"/>
              <w:rPr>
                <w:sz w:val="7"/>
                <w:szCs w:val="7"/>
                <w:color w:val="auto"/>
              </w:rPr>
            </w:pPr>
          </w:p>
        </w:tc>
        <w:tc>
          <w:tcPr>
            <w:tcW w:w="2220" w:type="dxa"/>
            <w:vAlign w:val="bottom"/>
            <w:tcBorders>
              <w:right w:val="single" w:sz="8" w:color="auto"/>
            </w:tcBorders>
            <w:vMerge w:val="continue"/>
          </w:tcPr>
          <w:p>
            <w:pPr>
              <w:spacing w:after="0"/>
              <w:rPr>
                <w:sz w:val="7"/>
                <w:szCs w:val="7"/>
                <w:color w:val="auto"/>
              </w:rPr>
            </w:pPr>
          </w:p>
        </w:tc>
        <w:tc>
          <w:tcPr>
            <w:tcW w:w="1000" w:type="dxa"/>
            <w:vAlign w:val="bottom"/>
          </w:tcPr>
          <w:p>
            <w:pPr>
              <w:spacing w:after="0"/>
              <w:rPr>
                <w:sz w:val="7"/>
                <w:szCs w:val="7"/>
                <w:color w:val="auto"/>
              </w:rPr>
            </w:pPr>
          </w:p>
        </w:tc>
        <w:tc>
          <w:tcPr>
            <w:tcW w:w="39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3900" w:type="dxa"/>
            <w:vAlign w:val="bottom"/>
            <w:tcBorders>
              <w:left w:val="single" w:sz="8" w:color="auto"/>
              <w:right w:val="single" w:sz="8" w:color="auto"/>
            </w:tcBorders>
            <w:vMerge w:val="continue"/>
          </w:tcPr>
          <w:p>
            <w:pPr>
              <w:spacing w:after="0"/>
              <w:rPr>
                <w:sz w:val="9"/>
                <w:szCs w:val="9"/>
                <w:color w:val="auto"/>
              </w:rPr>
            </w:pPr>
          </w:p>
        </w:tc>
        <w:tc>
          <w:tcPr>
            <w:tcW w:w="180" w:type="dxa"/>
            <w:vAlign w:val="bottom"/>
          </w:tcPr>
          <w:p>
            <w:pPr>
              <w:spacing w:after="0"/>
              <w:rPr>
                <w:sz w:val="9"/>
                <w:szCs w:val="9"/>
                <w:color w:val="auto"/>
              </w:rPr>
            </w:pPr>
          </w:p>
        </w:tc>
        <w:tc>
          <w:tcPr>
            <w:tcW w:w="2220" w:type="dxa"/>
            <w:vAlign w:val="bottom"/>
            <w:tcBorders>
              <w:right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39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3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2" w:lineRule="exact"/>
        <w:rPr>
          <w:sz w:val="24"/>
          <w:szCs w:val="24"/>
          <w:color w:val="auto"/>
        </w:rPr>
      </w:pPr>
    </w:p>
    <w:p>
      <w:pPr>
        <w:jc w:val="both"/>
        <w:ind w:right="20"/>
        <w:spacing w:after="0" w:line="214"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94" w:lineRule="exact"/>
        <w:rPr>
          <w:sz w:val="24"/>
          <w:szCs w:val="24"/>
          <w:color w:val="auto"/>
        </w:rPr>
      </w:pPr>
    </w:p>
    <w:p>
      <w:pPr>
        <w:jc w:val="both"/>
        <w:ind w:right="20"/>
        <w:spacing w:after="0" w:line="221"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7"/>
          <w:szCs w:val="17"/>
          <w:color w:val="auto"/>
        </w:rPr>
        <w:t>☒</w:t>
      </w:r>
    </w:p>
    <w:p>
      <w:pPr>
        <w:spacing w:after="0" w:line="193" w:lineRule="exact"/>
        <w:rPr>
          <w:sz w:val="24"/>
          <w:szCs w:val="24"/>
          <w:color w:val="auto"/>
        </w:rPr>
      </w:pPr>
    </w:p>
    <w:p>
      <w:pPr>
        <w:jc w:val="both"/>
        <w:ind w:right="40"/>
        <w:spacing w:after="0" w:line="285"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3" w:lineRule="exact"/>
        <w:rPr>
          <w:sz w:val="24"/>
          <w:szCs w:val="24"/>
          <w:color w:val="auto"/>
        </w:rPr>
      </w:pPr>
    </w:p>
    <w:tbl>
      <w:tblPr>
        <w:tblLayout w:type="fixed"/>
        <w:tblInd w:w="20" w:type="dxa"/>
        <w:tblCellMar>
          <w:top w:w="0" w:type="dxa"/>
          <w:left w:w="0" w:type="dxa"/>
          <w:bottom w:w="0" w:type="dxa"/>
          <w:right w:w="0" w:type="dxa"/>
        </w:tblCellMar>
      </w:tblPr>
      <w:tr>
        <w:trPr>
          <w:trHeight w:val="224"/>
        </w:trPr>
        <w:tc>
          <w:tcPr>
            <w:tcW w:w="288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2280" w:type="dxa"/>
            <w:vAlign w:val="bottom"/>
          </w:tcPr>
          <w:p>
            <w:pPr>
              <w:ind w:left="1520"/>
              <w:spacing w:after="0" w:line="151" w:lineRule="exact"/>
              <w:rPr>
                <w:sz w:val="20"/>
                <w:szCs w:val="20"/>
                <w:color w:val="auto"/>
              </w:rPr>
            </w:pPr>
            <w:r>
              <w:rPr>
                <w:rFonts w:ascii="MS PGothic" w:cs="MS PGothic" w:eastAsia="MS PGothic" w:hAnsi="MS PGothic"/>
                <w:sz w:val="15"/>
                <w:szCs w:val="15"/>
                <w:color w:val="auto"/>
              </w:rPr>
              <w:t>☐</w:t>
            </w:r>
          </w:p>
        </w:tc>
        <w:tc>
          <w:tcPr>
            <w:tcW w:w="4080" w:type="dxa"/>
            <w:vAlign w:val="bottom"/>
          </w:tcPr>
          <w:p>
            <w:pPr>
              <w:ind w:left="620"/>
              <w:spacing w:after="0"/>
              <w:rPr>
                <w:sz w:val="20"/>
                <w:szCs w:val="20"/>
                <w:color w:val="auto"/>
              </w:rPr>
            </w:pPr>
            <w:r>
              <w:rPr>
                <w:rFonts w:ascii="Times New Roman" w:cs="Times New Roman" w:eastAsia="Times New Roman" w:hAnsi="Times New Roman"/>
                <w:sz w:val="15"/>
                <w:szCs w:val="15"/>
                <w:color w:val="auto"/>
              </w:rPr>
              <w:t>Accelerated filer</w:t>
            </w:r>
          </w:p>
        </w:tc>
        <w:tc>
          <w:tcPr>
            <w:tcW w:w="1960" w:type="dxa"/>
            <w:vAlign w:val="bottom"/>
          </w:tcPr>
          <w:p>
            <w:pPr>
              <w:ind w:left="18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4"/>
        </w:trPr>
        <w:tc>
          <w:tcPr>
            <w:tcW w:w="288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2280" w:type="dxa"/>
            <w:vAlign w:val="bottom"/>
          </w:tcPr>
          <w:p>
            <w:pPr>
              <w:ind w:left="1520"/>
              <w:spacing w:after="0" w:line="151" w:lineRule="exact"/>
              <w:rPr>
                <w:sz w:val="20"/>
                <w:szCs w:val="20"/>
                <w:color w:val="auto"/>
              </w:rPr>
            </w:pPr>
            <w:r>
              <w:rPr>
                <w:rFonts w:ascii="MS PGothic" w:cs="MS PGothic" w:eastAsia="MS PGothic" w:hAnsi="MS PGothic"/>
                <w:sz w:val="15"/>
                <w:szCs w:val="15"/>
                <w:color w:val="auto"/>
              </w:rPr>
              <w:t>☒</w:t>
            </w:r>
          </w:p>
        </w:tc>
        <w:tc>
          <w:tcPr>
            <w:tcW w:w="4080" w:type="dxa"/>
            <w:vAlign w:val="bottom"/>
          </w:tcPr>
          <w:p>
            <w:pPr>
              <w:ind w:left="62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1960" w:type="dxa"/>
            <w:vAlign w:val="bottom"/>
          </w:tcPr>
          <w:p>
            <w:pPr>
              <w:ind w:left="18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51"/>
        </w:trPr>
        <w:tc>
          <w:tcPr>
            <w:tcW w:w="288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4080" w:type="dxa"/>
            <w:vAlign w:val="bottom"/>
          </w:tcPr>
          <w:p>
            <w:pPr>
              <w:ind w:left="620"/>
              <w:spacing w:after="0"/>
              <w:rPr>
                <w:sz w:val="20"/>
                <w:szCs w:val="20"/>
                <w:color w:val="auto"/>
              </w:rPr>
            </w:pPr>
            <w:r>
              <w:rPr>
                <w:rFonts w:ascii="Times New Roman" w:cs="Times New Roman" w:eastAsia="Times New Roman" w:hAnsi="Times New Roman"/>
                <w:sz w:val="15"/>
                <w:szCs w:val="15"/>
                <w:color w:val="auto"/>
              </w:rPr>
              <w:t>Emerging growth company</w:t>
            </w:r>
          </w:p>
        </w:tc>
        <w:tc>
          <w:tcPr>
            <w:tcW w:w="1960" w:type="dxa"/>
            <w:vAlign w:val="bottom"/>
          </w:tcPr>
          <w:p>
            <w:pPr>
              <w:ind w:left="18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310" w:lineRule="exact"/>
        <w:rPr>
          <w:sz w:val="24"/>
          <w:szCs w:val="24"/>
          <w:color w:val="auto"/>
        </w:rPr>
      </w:pPr>
    </w:p>
    <w:p>
      <w:pPr>
        <w:jc w:val="both"/>
        <w:ind w:right="20"/>
        <w:spacing w:after="0" w:line="184"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73" w:lineRule="exact"/>
        <w:tabs>
          <w:tab w:leader="none" w:pos="6960" w:val="left"/>
          <w:tab w:leader="none" w:pos="7600" w:val="left"/>
        </w:tabs>
        <w:rPr>
          <w:sz w:val="20"/>
          <w:szCs w:val="20"/>
          <w:color w:val="auto"/>
        </w:rPr>
      </w:pPr>
      <w:r>
        <w:rPr>
          <w:rFonts w:ascii="Times New Roman" w:cs="Times New Roman" w:eastAsia="Times New Roman" w:hAnsi="Times New Roman"/>
          <w:sz w:val="15"/>
          <w:szCs w:val="15"/>
          <w:color w:val="auto"/>
        </w:rPr>
        <w:t>Indicate by check mark whether the registrant is a shell company (as defined in Rule 12b-2 of the Exchange Act).</w:t>
        <w:tab/>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ab/>
        <w:t xml:space="preserve">No </w:t>
      </w:r>
      <w:r>
        <w:rPr>
          <w:rFonts w:ascii="MS PGothic" w:cs="MS PGothic" w:eastAsia="MS PGothic" w:hAnsi="MS PGothic"/>
          <w:sz w:val="15"/>
          <w:szCs w:val="15"/>
          <w:color w:val="auto"/>
        </w:rPr>
        <w:t>☒</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The registrant had outstanding 146,822,101 shares of Class A common stock and 6,667 shares of Class B common stock as of August 18,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354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54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69215</wp:posOffset>
            </wp:positionV>
            <wp:extent cx="71354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60"/>
          </w:cols>
          <w:pgMar w:left="320" w:top="227"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Faraday Future Intelligent Electric Inc.</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 FOR THE QUARTER ENDED JUNE 30, 2025</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360" w:type="dxa"/>
            <w:vAlign w:val="bottom"/>
          </w:tcPr>
          <w:p>
            <w:pPr>
              <w:spacing w:after="0"/>
              <w:rPr>
                <w:sz w:val="16"/>
                <w:szCs w:val="16"/>
                <w:color w:val="auto"/>
              </w:rPr>
            </w:pPr>
          </w:p>
        </w:tc>
        <w:tc>
          <w:tcPr>
            <w:tcW w:w="8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20" w:type="dxa"/>
            <w:vAlign w:val="bottom"/>
            <w:vMerge w:val="restart"/>
          </w:tcPr>
          <w:p>
            <w:pPr>
              <w:spacing w:after="0"/>
              <w:rPr>
                <w:sz w:val="3"/>
                <w:szCs w:val="3"/>
                <w:color w:val="auto"/>
              </w:rPr>
            </w:pPr>
          </w:p>
        </w:tc>
        <w:tc>
          <w:tcPr>
            <w:tcW w:w="30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w w:val="96"/>
              </w:rPr>
              <w:t>PART I. FINANCIAL INFORMATION</w:t>
            </w:r>
          </w:p>
        </w:tc>
        <w:tc>
          <w:tcPr>
            <w:tcW w:w="7360" w:type="dxa"/>
            <w:vAlign w:val="bottom"/>
            <w:vMerge w:val="restart"/>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3000" w:type="dxa"/>
            <w:vAlign w:val="bottom"/>
            <w:tcBorders>
              <w:bottom w:val="single" w:sz="8" w:color="auto"/>
            </w:tcBorders>
            <w:gridSpan w:val="4"/>
            <w:vMerge w:val="continue"/>
          </w:tcPr>
          <w:p>
            <w:pPr>
              <w:spacing w:after="0"/>
              <w:rPr>
                <w:sz w:val="15"/>
                <w:szCs w:val="15"/>
                <w:color w:val="auto"/>
              </w:rPr>
            </w:pPr>
          </w:p>
        </w:tc>
        <w:tc>
          <w:tcPr>
            <w:tcW w:w="736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94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2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2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 and Comprehensive Loss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2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Stockholders’ Equity</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2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2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94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94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94</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94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Controls and Procedures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95</w:t>
            </w:r>
          </w:p>
        </w:tc>
        <w:tc>
          <w:tcPr>
            <w:tcW w:w="0" w:type="dxa"/>
            <w:vAlign w:val="bottom"/>
          </w:tcPr>
          <w:p>
            <w:pPr>
              <w:spacing w:after="0"/>
              <w:rPr>
                <w:sz w:val="1"/>
                <w:szCs w:val="1"/>
                <w:color w:val="auto"/>
              </w:rPr>
            </w:pPr>
          </w:p>
        </w:tc>
      </w:tr>
      <w:tr>
        <w:trPr>
          <w:trHeight w:val="489"/>
        </w:trPr>
        <w:tc>
          <w:tcPr>
            <w:tcW w:w="20" w:type="dxa"/>
            <w:vAlign w:val="bottom"/>
          </w:tcPr>
          <w:p>
            <w:pPr>
              <w:spacing w:after="0"/>
              <w:rPr>
                <w:sz w:val="24"/>
                <w:szCs w:val="24"/>
                <w:color w:val="auto"/>
              </w:rPr>
            </w:pPr>
          </w:p>
        </w:tc>
        <w:tc>
          <w:tcPr>
            <w:tcW w:w="103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9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176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Legal Proceedings</w:t>
            </w:r>
          </w:p>
        </w:tc>
        <w:tc>
          <w:tcPr>
            <w:tcW w:w="7660" w:type="dxa"/>
            <w:vAlign w:val="bottom"/>
            <w:gridSpan w:val="2"/>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98</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94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98</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94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Use of Proceeds, and Issuer Purchases of Equity Securities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99</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94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Defaults Upon Senior Securities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99</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94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Mine Safety Disclosures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99</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94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4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101</w:t>
            </w:r>
          </w:p>
        </w:tc>
        <w:tc>
          <w:tcPr>
            <w:tcW w:w="0" w:type="dxa"/>
            <w:vAlign w:val="bottom"/>
          </w:tcPr>
          <w:p>
            <w:pPr>
              <w:spacing w:after="0"/>
              <w:rPr>
                <w:sz w:val="1"/>
                <w:szCs w:val="1"/>
                <w:color w:val="auto"/>
              </w:rPr>
            </w:pPr>
          </w:p>
        </w:tc>
      </w:tr>
      <w:tr>
        <w:trPr>
          <w:trHeight w:val="225"/>
        </w:trPr>
        <w:tc>
          <w:tcPr>
            <w:tcW w:w="9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Signatures</w:t>
            </w: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36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103</w:t>
            </w:r>
          </w:p>
        </w:tc>
        <w:tc>
          <w:tcPr>
            <w:tcW w:w="0" w:type="dxa"/>
            <w:vAlign w:val="bottom"/>
          </w:tcPr>
          <w:p>
            <w:pPr>
              <w:spacing w:after="0"/>
              <w:rPr>
                <w:sz w:val="1"/>
                <w:szCs w:val="1"/>
                <w:color w:val="auto"/>
              </w:rPr>
            </w:pPr>
          </w:p>
        </w:tc>
      </w:tr>
      <w:tr>
        <w:trPr>
          <w:trHeight w:val="1048"/>
        </w:trPr>
        <w:tc>
          <w:tcPr>
            <w:tcW w:w="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420" w:type="dxa"/>
            <w:vAlign w:val="bottom"/>
            <w:gridSpan w:val="3"/>
          </w:tcPr>
          <w:p>
            <w:pPr>
              <w:ind w:left="4620"/>
              <w:spacing w:after="0"/>
              <w:rPr>
                <w:sz w:val="20"/>
                <w:szCs w:val="20"/>
                <w:color w:val="auto"/>
              </w:rPr>
            </w:pPr>
            <w:r>
              <w:rPr>
                <w:rFonts w:ascii="Times New Roman" w:cs="Times New Roman" w:eastAsia="Times New Roman" w:hAnsi="Times New Roman"/>
                <w:sz w:val="18"/>
                <w:szCs w:val="18"/>
                <w:color w:val="auto"/>
              </w:rPr>
              <w:t>2</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73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228"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Faraday Future Intelligent Electric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Condensed Consolidated Balance Sheets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(in thousands, except share and per share data)</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60" w:type="dxa"/>
            <w:vAlign w:val="bottom"/>
          </w:tcPr>
          <w:p>
            <w:pPr>
              <w:spacing w:after="0"/>
              <w:rPr>
                <w:sz w:val="19"/>
                <w:szCs w:val="19"/>
                <w:color w:val="auto"/>
              </w:rPr>
            </w:pPr>
          </w:p>
        </w:tc>
        <w:tc>
          <w:tcPr>
            <w:tcW w:w="1600" w:type="dxa"/>
            <w:vAlign w:val="bottom"/>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24"/>
        </w:trPr>
        <w:tc>
          <w:tcPr>
            <w:tcW w:w="7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7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7,144</w:t>
            </w:r>
          </w:p>
        </w:tc>
        <w:tc>
          <w:tcPr>
            <w:tcW w:w="0" w:type="dxa"/>
            <w:vAlign w:val="bottom"/>
          </w:tcPr>
          <w:p>
            <w:pPr>
              <w:spacing w:after="0"/>
              <w:rPr>
                <w:sz w:val="1"/>
                <w:szCs w:val="1"/>
                <w:color w:val="auto"/>
              </w:rPr>
            </w:pPr>
          </w:p>
        </w:tc>
      </w:tr>
      <w:tr>
        <w:trPr>
          <w:trHeight w:val="228"/>
        </w:trPr>
        <w:tc>
          <w:tcPr>
            <w:tcW w:w="7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Restricted cash</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46"/>
        </w:trPr>
        <w:tc>
          <w:tcPr>
            <w:tcW w:w="7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receivable</w:t>
            </w: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8"/>
        </w:trPr>
        <w:tc>
          <w:tcPr>
            <w:tcW w:w="7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Inventory, net</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27,486</w:t>
            </w:r>
          </w:p>
        </w:tc>
        <w:tc>
          <w:tcPr>
            <w:tcW w:w="0" w:type="dxa"/>
            <w:vAlign w:val="bottom"/>
          </w:tcPr>
          <w:p>
            <w:pPr>
              <w:spacing w:after="0"/>
              <w:rPr>
                <w:sz w:val="1"/>
                <w:szCs w:val="1"/>
                <w:color w:val="auto"/>
              </w:rPr>
            </w:pPr>
          </w:p>
        </w:tc>
      </w:tr>
      <w:tr>
        <w:trPr>
          <w:trHeight w:val="246"/>
        </w:trPr>
        <w:tc>
          <w:tcPr>
            <w:tcW w:w="7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Deposits</w:t>
            </w: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33,424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31,094</w:t>
            </w:r>
          </w:p>
        </w:tc>
        <w:tc>
          <w:tcPr>
            <w:tcW w:w="0" w:type="dxa"/>
            <w:vAlign w:val="bottom"/>
          </w:tcPr>
          <w:p>
            <w:pPr>
              <w:spacing w:after="0"/>
              <w:rPr>
                <w:sz w:val="1"/>
                <w:szCs w:val="1"/>
                <w:color w:val="auto"/>
              </w:rPr>
            </w:pPr>
          </w:p>
        </w:tc>
      </w:tr>
      <w:tr>
        <w:trPr>
          <w:trHeight w:val="231"/>
        </w:trPr>
        <w:tc>
          <w:tcPr>
            <w:tcW w:w="76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 current assets</w:t>
            </w: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6,141</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6,127</w:t>
            </w:r>
          </w:p>
        </w:tc>
        <w:tc>
          <w:tcPr>
            <w:tcW w:w="0" w:type="dxa"/>
            <w:vAlign w:val="bottom"/>
          </w:tcPr>
          <w:p>
            <w:pPr>
              <w:spacing w:after="0"/>
              <w:rPr>
                <w:sz w:val="1"/>
                <w:szCs w:val="1"/>
                <w:color w:val="auto"/>
              </w:rPr>
            </w:pPr>
          </w:p>
        </w:tc>
      </w:tr>
      <w:tr>
        <w:trPr>
          <w:trHeight w:val="237"/>
        </w:trPr>
        <w:tc>
          <w:tcPr>
            <w:tcW w:w="7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76,574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71,881</w:t>
            </w:r>
          </w:p>
        </w:tc>
        <w:tc>
          <w:tcPr>
            <w:tcW w:w="0" w:type="dxa"/>
            <w:vAlign w:val="bottom"/>
          </w:tcPr>
          <w:p>
            <w:pPr>
              <w:spacing w:after="0"/>
              <w:rPr>
                <w:sz w:val="1"/>
                <w:szCs w:val="1"/>
                <w:color w:val="auto"/>
              </w:rPr>
            </w:pPr>
          </w:p>
        </w:tc>
      </w:tr>
      <w:tr>
        <w:trPr>
          <w:trHeight w:val="228"/>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314,984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348,587</w:t>
            </w:r>
          </w:p>
        </w:tc>
        <w:tc>
          <w:tcPr>
            <w:tcW w:w="0" w:type="dxa"/>
            <w:vAlign w:val="bottom"/>
          </w:tcPr>
          <w:p>
            <w:pPr>
              <w:spacing w:after="0"/>
              <w:rPr>
                <w:sz w:val="1"/>
                <w:szCs w:val="1"/>
                <w:color w:val="auto"/>
              </w:rPr>
            </w:pPr>
          </w:p>
        </w:tc>
      </w:tr>
      <w:tr>
        <w:trPr>
          <w:trHeight w:val="246"/>
        </w:trPr>
        <w:tc>
          <w:tcPr>
            <w:tcW w:w="7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lease right-of-use assets, net</w:t>
            </w: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1,761</w:t>
            </w:r>
          </w:p>
        </w:tc>
        <w:tc>
          <w:tcPr>
            <w:tcW w:w="0" w:type="dxa"/>
            <w:vAlign w:val="bottom"/>
          </w:tcPr>
          <w:p>
            <w:pPr>
              <w:spacing w:after="0"/>
              <w:rPr>
                <w:sz w:val="1"/>
                <w:szCs w:val="1"/>
                <w:color w:val="auto"/>
              </w:rPr>
            </w:pPr>
          </w:p>
        </w:tc>
      </w:tr>
      <w:tr>
        <w:trPr>
          <w:trHeight w:val="231"/>
        </w:trPr>
        <w:tc>
          <w:tcPr>
            <w:tcW w:w="76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non-current assets</w:t>
            </w: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1,416</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3,171</w:t>
            </w:r>
          </w:p>
        </w:tc>
        <w:tc>
          <w:tcPr>
            <w:tcW w:w="0" w:type="dxa"/>
            <w:vAlign w:val="bottom"/>
          </w:tcPr>
          <w:p>
            <w:pPr>
              <w:spacing w:after="0"/>
              <w:rPr>
                <w:sz w:val="1"/>
                <w:szCs w:val="1"/>
                <w:color w:val="auto"/>
              </w:rPr>
            </w:pPr>
          </w:p>
        </w:tc>
      </w:tr>
      <w:tr>
        <w:trPr>
          <w:trHeight w:val="262"/>
        </w:trPr>
        <w:tc>
          <w:tcPr>
            <w:tcW w:w="76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399,723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425,400</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6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7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67,368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71,414</w:t>
            </w:r>
          </w:p>
        </w:tc>
        <w:tc>
          <w:tcPr>
            <w:tcW w:w="0" w:type="dxa"/>
            <w:vAlign w:val="bottom"/>
          </w:tcPr>
          <w:p>
            <w:pPr>
              <w:spacing w:after="0"/>
              <w:rPr>
                <w:sz w:val="1"/>
                <w:szCs w:val="1"/>
                <w:color w:val="auto"/>
              </w:rPr>
            </w:pPr>
          </w:p>
        </w:tc>
      </w:tr>
      <w:tr>
        <w:trPr>
          <w:trHeight w:val="246"/>
        </w:trPr>
        <w:tc>
          <w:tcPr>
            <w:tcW w:w="7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54,588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45,677</w:t>
            </w:r>
          </w:p>
        </w:tc>
        <w:tc>
          <w:tcPr>
            <w:tcW w:w="0" w:type="dxa"/>
            <w:vAlign w:val="bottom"/>
          </w:tcPr>
          <w:p>
            <w:pPr>
              <w:spacing w:after="0"/>
              <w:rPr>
                <w:sz w:val="1"/>
                <w:szCs w:val="1"/>
                <w:color w:val="auto"/>
              </w:rPr>
            </w:pPr>
          </w:p>
        </w:tc>
      </w:tr>
      <w:tr>
        <w:trPr>
          <w:trHeight w:val="228"/>
        </w:trPr>
        <w:tc>
          <w:tcPr>
            <w:tcW w:w="7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Related party accrued expenses and other current liabilities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11,077</w:t>
            </w:r>
          </w:p>
        </w:tc>
        <w:tc>
          <w:tcPr>
            <w:tcW w:w="0" w:type="dxa"/>
            <w:vAlign w:val="bottom"/>
          </w:tcPr>
          <w:p>
            <w:pPr>
              <w:spacing w:after="0"/>
              <w:rPr>
                <w:sz w:val="1"/>
                <w:szCs w:val="1"/>
                <w:color w:val="auto"/>
              </w:rPr>
            </w:pPr>
          </w:p>
        </w:tc>
      </w:tr>
      <w:tr>
        <w:trPr>
          <w:trHeight w:val="246"/>
        </w:trPr>
        <w:tc>
          <w:tcPr>
            <w:tcW w:w="7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Warrant liabilities</w:t>
            </w: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51,033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28,864</w:t>
            </w:r>
          </w:p>
        </w:tc>
        <w:tc>
          <w:tcPr>
            <w:tcW w:w="0" w:type="dxa"/>
            <w:vAlign w:val="bottom"/>
          </w:tcPr>
          <w:p>
            <w:pPr>
              <w:spacing w:after="0"/>
              <w:rPr>
                <w:sz w:val="1"/>
                <w:szCs w:val="1"/>
                <w:color w:val="auto"/>
              </w:rPr>
            </w:pPr>
          </w:p>
        </w:tc>
      </w:tr>
      <w:tr>
        <w:trPr>
          <w:trHeight w:val="228"/>
        </w:trPr>
        <w:tc>
          <w:tcPr>
            <w:tcW w:w="7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Related party warrant liabilities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6"/>
        </w:trPr>
        <w:tc>
          <w:tcPr>
            <w:tcW w:w="7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Accrued interest</w:t>
            </w:r>
          </w:p>
        </w:tc>
        <w:tc>
          <w:tcPr>
            <w:tcW w:w="26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28"/>
        </w:trPr>
        <w:tc>
          <w:tcPr>
            <w:tcW w:w="7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Related party accrued interest</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23,227</w:t>
            </w:r>
          </w:p>
        </w:tc>
        <w:tc>
          <w:tcPr>
            <w:tcW w:w="0" w:type="dxa"/>
            <w:vAlign w:val="bottom"/>
          </w:tcPr>
          <w:p>
            <w:pPr>
              <w:spacing w:after="0"/>
              <w:rPr>
                <w:sz w:val="1"/>
                <w:szCs w:val="1"/>
                <w:color w:val="auto"/>
              </w:rPr>
            </w:pPr>
          </w:p>
        </w:tc>
      </w:tr>
      <w:tr>
        <w:trPr>
          <w:trHeight w:val="246"/>
        </w:trPr>
        <w:tc>
          <w:tcPr>
            <w:tcW w:w="7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financing liabilities, current portion</w:t>
            </w: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0" w:type="dxa"/>
            <w:vAlign w:val="bottom"/>
          </w:tcPr>
          <w:p>
            <w:pPr>
              <w:spacing w:after="0"/>
              <w:rPr>
                <w:sz w:val="1"/>
                <w:szCs w:val="1"/>
                <w:color w:val="auto"/>
              </w:rPr>
            </w:pPr>
          </w:p>
        </w:tc>
      </w:tr>
      <w:tr>
        <w:trPr>
          <w:trHeight w:val="228"/>
        </w:trPr>
        <w:tc>
          <w:tcPr>
            <w:tcW w:w="7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 lease liabilities, current portion</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2,128</w:t>
            </w:r>
          </w:p>
        </w:tc>
        <w:tc>
          <w:tcPr>
            <w:tcW w:w="0" w:type="dxa"/>
            <w:vAlign w:val="bottom"/>
          </w:tcPr>
          <w:p>
            <w:pPr>
              <w:spacing w:after="0"/>
              <w:rPr>
                <w:sz w:val="1"/>
                <w:szCs w:val="1"/>
                <w:color w:val="auto"/>
              </w:rPr>
            </w:pPr>
          </w:p>
        </w:tc>
      </w:tr>
      <w:tr>
        <w:trPr>
          <w:trHeight w:val="246"/>
        </w:trPr>
        <w:tc>
          <w:tcPr>
            <w:tcW w:w="7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Notes payable</w:t>
            </w: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4,224</w:t>
            </w:r>
          </w:p>
        </w:tc>
        <w:tc>
          <w:tcPr>
            <w:tcW w:w="0" w:type="dxa"/>
            <w:vAlign w:val="bottom"/>
          </w:tcPr>
          <w:p>
            <w:pPr>
              <w:spacing w:after="0"/>
              <w:rPr>
                <w:sz w:val="1"/>
                <w:szCs w:val="1"/>
                <w:color w:val="auto"/>
              </w:rPr>
            </w:pPr>
          </w:p>
        </w:tc>
      </w:tr>
      <w:tr>
        <w:trPr>
          <w:trHeight w:val="231"/>
        </w:trPr>
        <w:tc>
          <w:tcPr>
            <w:tcW w:w="76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Related party notes payable</w:t>
            </w: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4,342</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5,310</w:t>
            </w:r>
          </w:p>
        </w:tc>
        <w:tc>
          <w:tcPr>
            <w:tcW w:w="0" w:type="dxa"/>
            <w:vAlign w:val="bottom"/>
          </w:tcPr>
          <w:p>
            <w:pPr>
              <w:spacing w:after="0"/>
              <w:rPr>
                <w:sz w:val="1"/>
                <w:szCs w:val="1"/>
                <w:color w:val="auto"/>
              </w:rPr>
            </w:pPr>
          </w:p>
        </w:tc>
      </w:tr>
      <w:tr>
        <w:trPr>
          <w:trHeight w:val="237"/>
        </w:trPr>
        <w:tc>
          <w:tcPr>
            <w:tcW w:w="7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26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222,558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192,707</w:t>
            </w:r>
          </w:p>
        </w:tc>
        <w:tc>
          <w:tcPr>
            <w:tcW w:w="0" w:type="dxa"/>
            <w:vAlign w:val="bottom"/>
          </w:tcPr>
          <w:p>
            <w:pPr>
              <w:spacing w:after="0"/>
              <w:rPr>
                <w:sz w:val="1"/>
                <w:szCs w:val="1"/>
                <w:color w:val="auto"/>
              </w:rPr>
            </w:pPr>
          </w:p>
        </w:tc>
      </w:tr>
      <w:tr>
        <w:trPr>
          <w:trHeight w:val="228"/>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financing liabilities, long term portion</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38,698</w:t>
            </w:r>
          </w:p>
        </w:tc>
        <w:tc>
          <w:tcPr>
            <w:tcW w:w="0" w:type="dxa"/>
            <w:vAlign w:val="bottom"/>
          </w:tcPr>
          <w:p>
            <w:pPr>
              <w:spacing w:after="0"/>
              <w:rPr>
                <w:sz w:val="1"/>
                <w:szCs w:val="1"/>
                <w:color w:val="auto"/>
              </w:rPr>
            </w:pPr>
          </w:p>
        </w:tc>
      </w:tr>
      <w:tr>
        <w:trPr>
          <w:trHeight w:val="246"/>
        </w:trPr>
        <w:tc>
          <w:tcPr>
            <w:tcW w:w="7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lease liabilities, long term portion</w:t>
            </w: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28"/>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Notes payable, long term portion</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45,264</w:t>
            </w:r>
          </w:p>
        </w:tc>
        <w:tc>
          <w:tcPr>
            <w:tcW w:w="0" w:type="dxa"/>
            <w:vAlign w:val="bottom"/>
          </w:tcPr>
          <w:p>
            <w:pPr>
              <w:spacing w:after="0"/>
              <w:rPr>
                <w:sz w:val="1"/>
                <w:szCs w:val="1"/>
                <w:color w:val="auto"/>
              </w:rPr>
            </w:pPr>
          </w:p>
        </w:tc>
      </w:tr>
      <w:tr>
        <w:trPr>
          <w:trHeight w:val="246"/>
        </w:trPr>
        <w:tc>
          <w:tcPr>
            <w:tcW w:w="7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Related party notes payable, long term portion</w:t>
            </w: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2,754</w:t>
            </w:r>
          </w:p>
        </w:tc>
        <w:tc>
          <w:tcPr>
            <w:tcW w:w="0" w:type="dxa"/>
            <w:vAlign w:val="bottom"/>
          </w:tcPr>
          <w:p>
            <w:pPr>
              <w:spacing w:after="0"/>
              <w:rPr>
                <w:sz w:val="1"/>
                <w:szCs w:val="1"/>
                <w:color w:val="auto"/>
              </w:rPr>
            </w:pPr>
          </w:p>
        </w:tc>
      </w:tr>
      <w:tr>
        <w:trPr>
          <w:trHeight w:val="228"/>
        </w:trPr>
        <w:tc>
          <w:tcPr>
            <w:tcW w:w="7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Derivative call options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29,709</w:t>
            </w:r>
          </w:p>
        </w:tc>
        <w:tc>
          <w:tcPr>
            <w:tcW w:w="0" w:type="dxa"/>
            <w:vAlign w:val="bottom"/>
          </w:tcPr>
          <w:p>
            <w:pPr>
              <w:spacing w:after="0"/>
              <w:rPr>
                <w:sz w:val="1"/>
                <w:szCs w:val="1"/>
                <w:color w:val="auto"/>
              </w:rPr>
            </w:pPr>
          </w:p>
        </w:tc>
      </w:tr>
      <w:tr>
        <w:trPr>
          <w:trHeight w:val="246"/>
        </w:trPr>
        <w:tc>
          <w:tcPr>
            <w:tcW w:w="7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Related party derivative call options</w:t>
            </w: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1"/>
        </w:trPr>
        <w:tc>
          <w:tcPr>
            <w:tcW w:w="76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liabilities</w:t>
            </w: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1,099</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1,287</w:t>
            </w:r>
          </w:p>
        </w:tc>
        <w:tc>
          <w:tcPr>
            <w:tcW w:w="0" w:type="dxa"/>
            <w:vAlign w:val="bottom"/>
          </w:tcPr>
          <w:p>
            <w:pPr>
              <w:spacing w:after="0"/>
              <w:rPr>
                <w:sz w:val="1"/>
                <w:szCs w:val="1"/>
                <w:color w:val="auto"/>
              </w:rPr>
            </w:pPr>
          </w:p>
        </w:tc>
      </w:tr>
      <w:tr>
        <w:trPr>
          <w:trHeight w:val="237"/>
        </w:trPr>
        <w:tc>
          <w:tcPr>
            <w:tcW w:w="7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6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339,867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310,433</w:t>
            </w:r>
          </w:p>
        </w:tc>
        <w:tc>
          <w:tcPr>
            <w:tcW w:w="0" w:type="dxa"/>
            <w:vAlign w:val="bottom"/>
          </w:tcPr>
          <w:p>
            <w:pPr>
              <w:spacing w:after="0"/>
              <w:rPr>
                <w:sz w:val="1"/>
                <w:szCs w:val="1"/>
                <w:color w:val="auto"/>
              </w:rPr>
            </w:pPr>
          </w:p>
        </w:tc>
      </w:tr>
      <w:tr>
        <w:trPr>
          <w:trHeight w:val="228"/>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Stockholders’ equity</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Class A Common Stock, 0.0001 par value; 162,815,625 and 99,815,625 shares authorized; 122,722,249 and</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65,919,127 shares issued and outstanding as of June 30, 2025 and December 31, 2024, respectively</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0"/>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Class B Common Stock, 0.0001 par value; 4,429,688 shares authorized; 6,667 shares issued and outstanding as of</w:t>
            </w: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June 30, 2025 and December 31, 2024</w:t>
            </w:r>
          </w:p>
        </w:tc>
        <w:tc>
          <w:tcPr>
            <w:tcW w:w="26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Preferred Stock, 0.0001 par value; 3,900,000 and 10,000,000 shares authorized as of June 30, 2025 and December</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7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31, 2024 respectively; zero and one shares issued and outstanding as of June 30, 2025 and December 31, 2024</w:t>
            </w:r>
          </w:p>
        </w:tc>
        <w:tc>
          <w:tcPr>
            <w:tcW w:w="2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respectively</w:t>
            </w:r>
          </w:p>
        </w:tc>
        <w:tc>
          <w:tcPr>
            <w:tcW w:w="2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Series B Preferred Stock, $0.0001 par value; 9,000,000 and zero shares authorized as of June 30, 2025 and</w:t>
            </w: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December 31, 2024 respectively; 4,400,232 and zero shares issued and outstanding as of June 30, 2025 and</w:t>
            </w:r>
          </w:p>
        </w:tc>
        <w:tc>
          <w:tcPr>
            <w:tcW w:w="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December 31, 2024, respectively</w:t>
            </w:r>
          </w:p>
        </w:tc>
        <w:tc>
          <w:tcPr>
            <w:tcW w:w="26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6"/>
        </w:trPr>
        <w:tc>
          <w:tcPr>
            <w:tcW w:w="7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4,501,989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4,421,563</w:t>
            </w:r>
          </w:p>
        </w:tc>
        <w:tc>
          <w:tcPr>
            <w:tcW w:w="0" w:type="dxa"/>
            <w:vAlign w:val="bottom"/>
          </w:tcPr>
          <w:p>
            <w:pPr>
              <w:spacing w:after="0"/>
              <w:rPr>
                <w:sz w:val="1"/>
                <w:szCs w:val="1"/>
                <w:color w:val="auto"/>
              </w:rPr>
            </w:pPr>
          </w:p>
        </w:tc>
      </w:tr>
      <w:tr>
        <w:trPr>
          <w:trHeight w:val="228"/>
        </w:trPr>
        <w:tc>
          <w:tcPr>
            <w:tcW w:w="7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7,744</w:t>
            </w:r>
          </w:p>
        </w:tc>
        <w:tc>
          <w:tcPr>
            <w:tcW w:w="0" w:type="dxa"/>
            <w:vAlign w:val="bottom"/>
          </w:tcPr>
          <w:p>
            <w:pPr>
              <w:spacing w:after="0"/>
              <w:rPr>
                <w:sz w:val="1"/>
                <w:szCs w:val="1"/>
                <w:color w:val="auto"/>
              </w:rPr>
            </w:pPr>
          </w:p>
        </w:tc>
      </w:tr>
      <w:tr>
        <w:trPr>
          <w:trHeight w:val="246"/>
        </w:trPr>
        <w:tc>
          <w:tcPr>
            <w:tcW w:w="7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Accumulated deficit</w:t>
            </w:r>
          </w:p>
        </w:tc>
        <w:tc>
          <w:tcPr>
            <w:tcW w:w="2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(4,449,300)</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(4,314,346)</w:t>
            </w:r>
          </w:p>
        </w:tc>
        <w:tc>
          <w:tcPr>
            <w:tcW w:w="0" w:type="dxa"/>
            <w:vAlign w:val="bottom"/>
          </w:tcPr>
          <w:p>
            <w:pPr>
              <w:spacing w:after="0"/>
              <w:rPr>
                <w:sz w:val="1"/>
                <w:szCs w:val="1"/>
                <w:color w:val="auto"/>
              </w:rPr>
            </w:pPr>
          </w:p>
        </w:tc>
      </w:tr>
      <w:tr>
        <w:trPr>
          <w:trHeight w:val="224"/>
        </w:trPr>
        <w:tc>
          <w:tcPr>
            <w:tcW w:w="76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59,856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114,967</w:t>
            </w:r>
          </w:p>
        </w:tc>
        <w:tc>
          <w:tcPr>
            <w:tcW w:w="0" w:type="dxa"/>
            <w:vAlign w:val="bottom"/>
          </w:tcPr>
          <w:p>
            <w:pPr>
              <w:spacing w:after="0"/>
              <w:rPr>
                <w:sz w:val="1"/>
                <w:szCs w:val="1"/>
                <w:color w:val="auto"/>
              </w:rPr>
            </w:pPr>
          </w:p>
        </w:tc>
      </w:tr>
      <w:tr>
        <w:trPr>
          <w:trHeight w:val="262"/>
        </w:trPr>
        <w:tc>
          <w:tcPr>
            <w:tcW w:w="76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399,723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425,400</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83185</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 and Comprehensive Loss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380" w:type="dxa"/>
            <w:vAlign w:val="bottom"/>
            <w:gridSpan w:val="5"/>
          </w:tcPr>
          <w:p>
            <w:pPr>
              <w:ind w:left="4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20" w:type="dxa"/>
            <w:vAlign w:val="bottom"/>
          </w:tcPr>
          <w:p>
            <w:pPr>
              <w:spacing w:after="0"/>
              <w:rPr>
                <w:sz w:val="19"/>
                <w:szCs w:val="19"/>
                <w:color w:val="auto"/>
              </w:rPr>
            </w:pPr>
          </w:p>
        </w:tc>
        <w:tc>
          <w:tcPr>
            <w:tcW w:w="3280" w:type="dxa"/>
            <w:vAlign w:val="bottom"/>
            <w:gridSpan w:val="4"/>
          </w:tcPr>
          <w:p>
            <w:pPr>
              <w:jc w:val="right"/>
              <w:ind w:right="841"/>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31"/>
        </w:trPr>
        <w:tc>
          <w:tcPr>
            <w:tcW w:w="3740" w:type="dxa"/>
            <w:vAlign w:val="bottom"/>
            <w:tcBorders>
              <w:bottom w:val="single" w:sz="8" w:color="CCEEFF"/>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66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66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66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66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7"/>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r>
      <w:tr>
        <w:trPr>
          <w:trHeight w:val="231"/>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26,912</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20,970</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48,293</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41,657</w:t>
            </w:r>
          </w:p>
        </w:tc>
      </w:tr>
      <w:tr>
        <w:trPr>
          <w:trHeight w:val="237"/>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4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(26,858)</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(20,677)</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(47,923)</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(41,362)</w:t>
            </w:r>
          </w:p>
        </w:tc>
      </w:tr>
      <w:tr>
        <w:trPr>
          <w:trHeight w:val="228"/>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46"/>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5,004</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3,317</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11,423</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10,005</w:t>
            </w:r>
          </w:p>
        </w:tc>
      </w:tr>
      <w:tr>
        <w:trPr>
          <w:trHeight w:val="228"/>
        </w:trPr>
        <w:tc>
          <w:tcPr>
            <w:tcW w:w="3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Sales and marketing</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4,256</w:t>
            </w:r>
          </w:p>
        </w:tc>
      </w:tr>
      <w:tr>
        <w:trPr>
          <w:trHeight w:val="246"/>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14,097</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17,201</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27,771</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31,049</w:t>
            </w:r>
          </w:p>
        </w:tc>
      </w:tr>
      <w:tr>
        <w:trPr>
          <w:trHeight w:val="228"/>
        </w:trPr>
        <w:tc>
          <w:tcPr>
            <w:tcW w:w="3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Lease impairment, net</w:t>
            </w:r>
          </w:p>
        </w:tc>
        <w:tc>
          <w:tcPr>
            <w:tcW w:w="42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7,616</w:t>
            </w:r>
          </w:p>
        </w:tc>
      </w:tr>
      <w:tr>
        <w:trPr>
          <w:trHeight w:val="206"/>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Loss (gain) on disposal of property, plant, and</w:t>
            </w: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31"/>
        </w:trPr>
        <w:tc>
          <w:tcPr>
            <w:tcW w:w="3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equipment</w:t>
            </w:r>
          </w:p>
        </w:tc>
        <w:tc>
          <w:tcPr>
            <w:tcW w:w="42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0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0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28"/>
        </w:trPr>
        <w:tc>
          <w:tcPr>
            <w:tcW w:w="3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21,250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29,932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44,016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52,855</w:t>
            </w:r>
          </w:p>
        </w:tc>
      </w:tr>
      <w:tr>
        <w:trPr>
          <w:trHeight w:val="246"/>
        </w:trPr>
        <w:tc>
          <w:tcPr>
            <w:tcW w:w="37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228"/>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Loss from operations</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(48,108)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(50,609)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(91,939)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(94,217)</w:t>
            </w:r>
          </w:p>
        </w:tc>
      </w:tr>
      <w:tr>
        <w:trPr>
          <w:trHeight w:val="206"/>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Change in fair value of notes payable, warrant</w:t>
            </w: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38"/>
        </w:trPr>
        <w:tc>
          <w:tcPr>
            <w:tcW w:w="3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liabilities, and derivative call options</w:t>
            </w:r>
          </w:p>
        </w:tc>
        <w:tc>
          <w:tcPr>
            <w:tcW w:w="4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(46,078)</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(7,245)</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5,380</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20,640</w:t>
            </w:r>
          </w:p>
        </w:tc>
      </w:tr>
      <w:tr>
        <w:trPr>
          <w:trHeight w:val="197"/>
        </w:trPr>
        <w:tc>
          <w:tcPr>
            <w:tcW w:w="3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Change in fair value of related party notes payable,</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29"/>
        </w:trPr>
        <w:tc>
          <w:tcPr>
            <w:tcW w:w="3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warrant liabilities, and derivative call options</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w:t>
            </w:r>
          </w:p>
        </w:tc>
      </w:tr>
      <w:tr>
        <w:trPr>
          <w:trHeight w:val="246"/>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Loss on settlement of notes payable</w:t>
            </w: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(22,458)</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(46,978)</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(38,378)</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(58,381)</w:t>
            </w:r>
          </w:p>
        </w:tc>
      </w:tr>
      <w:tr>
        <w:trPr>
          <w:trHeight w:val="228"/>
        </w:trPr>
        <w:tc>
          <w:tcPr>
            <w:tcW w:w="3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Loss on settlement of related party notes payable</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(14,295)</w:t>
            </w:r>
          </w:p>
        </w:tc>
      </w:tr>
      <w:tr>
        <w:trPr>
          <w:trHeight w:val="246"/>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 expense</w:t>
            </w: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(1,719)</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(3,114)</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(3,944)</w:t>
            </w:r>
          </w:p>
        </w:tc>
      </w:tr>
      <w:tr>
        <w:trPr>
          <w:trHeight w:val="228"/>
        </w:trPr>
        <w:tc>
          <w:tcPr>
            <w:tcW w:w="3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Related party interest expense</w:t>
            </w:r>
          </w:p>
        </w:tc>
        <w:tc>
          <w:tcPr>
            <w:tcW w:w="42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(6,600)</w:t>
            </w:r>
          </w:p>
        </w:tc>
      </w:tr>
      <w:tr>
        <w:trPr>
          <w:trHeight w:val="246"/>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income (loss), net</w:t>
            </w:r>
          </w:p>
        </w:tc>
        <w:tc>
          <w:tcPr>
            <w:tcW w:w="4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1,574</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r>
      <w:tr>
        <w:trPr>
          <w:trHeight w:val="222"/>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Loss before income taxes</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(124,676)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(108,681)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(134,944)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(156,898)</w:t>
            </w:r>
          </w:p>
        </w:tc>
      </w:tr>
      <w:tr>
        <w:trPr>
          <w:trHeight w:val="240"/>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Income tax expense</w:t>
            </w:r>
          </w:p>
        </w:tc>
        <w:tc>
          <w:tcPr>
            <w:tcW w:w="4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37"/>
        </w:trPr>
        <w:tc>
          <w:tcPr>
            <w:tcW w:w="374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420" w:type="dxa"/>
            <w:vAlign w:val="bottom"/>
            <w:tcBorders>
              <w:top w:val="single" w:sz="8" w:color="auto"/>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(124,676)</w:t>
            </w:r>
          </w:p>
        </w:tc>
        <w:tc>
          <w:tcPr>
            <w:tcW w:w="10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(108,685)</w:t>
            </w:r>
          </w:p>
        </w:tc>
        <w:tc>
          <w:tcPr>
            <w:tcW w:w="10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(134,954)</w:t>
            </w:r>
          </w:p>
        </w:tc>
        <w:tc>
          <w:tcPr>
            <w:tcW w:w="10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(156,902)</w:t>
            </w: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72"/>
        </w:trPr>
        <w:tc>
          <w:tcPr>
            <w:tcW w:w="374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r>
      <w:tr>
        <w:trPr>
          <w:trHeight w:val="228"/>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Per share information (See Note 15):</w:t>
            </w: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06"/>
        </w:trPr>
        <w:tc>
          <w:tcPr>
            <w:tcW w:w="56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per share of Class A and B Common Stock attributable to common</w:t>
            </w: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18"/>
        </w:trPr>
        <w:tc>
          <w:tcPr>
            <w:tcW w:w="3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stockholders:</w:t>
            </w:r>
          </w:p>
        </w:tc>
        <w:tc>
          <w:tcPr>
            <w:tcW w:w="4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r>
      <w:tr>
        <w:trPr>
          <w:trHeight w:val="228"/>
        </w:trPr>
        <w:tc>
          <w:tcPr>
            <w:tcW w:w="37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42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Pr>
          <w:p>
            <w:pPr>
              <w:spacing w:after="0"/>
              <w:rPr>
                <w:sz w:val="19"/>
                <w:szCs w:val="19"/>
                <w:color w:val="auto"/>
              </w:rPr>
            </w:pPr>
          </w:p>
        </w:tc>
        <w:tc>
          <w:tcPr>
            <w:tcW w:w="42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(12.38)</w:t>
            </w:r>
          </w:p>
        </w:tc>
        <w:tc>
          <w:tcPr>
            <w:tcW w:w="100" w:type="dxa"/>
            <w:vAlign w:val="bottom"/>
          </w:tcPr>
          <w:p>
            <w:pPr>
              <w:spacing w:after="0"/>
              <w:rPr>
                <w:sz w:val="19"/>
                <w:szCs w:val="19"/>
                <w:color w:val="auto"/>
              </w:rPr>
            </w:pPr>
          </w:p>
        </w:tc>
        <w:tc>
          <w:tcPr>
            <w:tcW w:w="42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19"/>
                <w:szCs w:val="19"/>
                <w:color w:val="auto"/>
              </w:rPr>
            </w:pPr>
          </w:p>
        </w:tc>
        <w:tc>
          <w:tcPr>
            <w:tcW w:w="42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(29.41)</w:t>
            </w:r>
          </w:p>
        </w:tc>
      </w:tr>
      <w:tr>
        <w:trPr>
          <w:trHeight w:val="246"/>
        </w:trPr>
        <w:tc>
          <w:tcPr>
            <w:tcW w:w="3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(29.41)</w:t>
            </w:r>
          </w:p>
        </w:tc>
      </w:tr>
      <w:tr>
        <w:trPr>
          <w:trHeight w:val="197"/>
        </w:trPr>
        <w:tc>
          <w:tcPr>
            <w:tcW w:w="56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used in computing net loss per share of Class A and</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7"/>
        </w:trPr>
        <w:tc>
          <w:tcPr>
            <w:tcW w:w="3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Class B Common Stock:</w:t>
            </w: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1"/>
        </w:trPr>
        <w:tc>
          <w:tcPr>
            <w:tcW w:w="3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3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4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103,712,230</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8,778,200</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89,804,391</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5,334,380</w:t>
            </w:r>
          </w:p>
        </w:tc>
      </w:tr>
      <w:tr>
        <w:trPr>
          <w:trHeight w:val="228"/>
        </w:trPr>
        <w:tc>
          <w:tcPr>
            <w:tcW w:w="37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103,712,230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8,778,200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89,804,391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5,334,380</w:t>
            </w:r>
          </w:p>
        </w:tc>
      </w:tr>
      <w:tr>
        <w:trPr>
          <w:trHeight w:val="167"/>
        </w:trPr>
        <w:tc>
          <w:tcPr>
            <w:tcW w:w="37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r>
      <w:tr>
        <w:trPr>
          <w:trHeight w:val="228"/>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loss</w:t>
            </w: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4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(124,676)</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(108,685)</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(134,954)</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(156,902)</w:t>
            </w:r>
          </w:p>
        </w:tc>
      </w:tr>
      <w:tr>
        <w:trPr>
          <w:trHeight w:val="231"/>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(895)</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(589)</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864</w:t>
            </w:r>
          </w:p>
        </w:tc>
      </w:tr>
      <w:tr>
        <w:trPr>
          <w:trHeight w:val="262"/>
        </w:trPr>
        <w:tc>
          <w:tcPr>
            <w:tcW w:w="374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comprehensive loss</w:t>
            </w: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(125,571)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(108,053)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(135,543)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(156,038)</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635" w:right="339" w:bottom="1440" w:gutter="0" w:footer="0" w:header="0"/>
        </w:sectPr>
      </w:pPr>
    </w:p>
    <w:bookmarkStart w:id="5" w:name="page6"/>
    <w:bookmarkEnd w:id="5"/>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2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Stockholders’ Equity</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3"/>
          </w:tcPr>
          <w:p>
            <w:pPr>
              <w:jc w:val="center"/>
              <w:ind w:left="63"/>
              <w:spacing w:after="0"/>
              <w:rPr>
                <w:sz w:val="20"/>
                <w:szCs w:val="20"/>
                <w:color w:val="auto"/>
              </w:rPr>
            </w:pPr>
            <w:r>
              <w:rPr>
                <w:rFonts w:ascii="Times New Roman" w:cs="Times New Roman" w:eastAsia="Times New Roman" w:hAnsi="Times New Roman"/>
                <w:sz w:val="14"/>
                <w:szCs w:val="14"/>
                <w:b w:val="1"/>
                <w:bCs w:val="1"/>
                <w:color w:val="auto"/>
                <w:w w:val="98"/>
              </w:rPr>
              <w:t>Preferred Stock</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940" w:type="dxa"/>
            <w:vAlign w:val="bottom"/>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6"/>
                <w:szCs w:val="6"/>
                <w:color w:val="auto"/>
              </w:rPr>
            </w:pPr>
          </w:p>
        </w:tc>
        <w:tc>
          <w:tcPr>
            <w:tcW w:w="10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vMerge w:val="restart"/>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100" w:type="dxa"/>
            <w:vAlign w:val="bottom"/>
            <w:gridSpan w:val="3"/>
            <w:vMerge w:val="restart"/>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gridSpan w:val="3"/>
            <w:vMerge w:val="restart"/>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40" w:type="dxa"/>
            <w:vAlign w:val="bottom"/>
            <w:gridSpan w:val="3"/>
            <w:vMerge w:val="restart"/>
          </w:tcPr>
          <w:p>
            <w:pPr>
              <w:jc w:val="center"/>
              <w:ind w:left="43"/>
              <w:spacing w:after="0"/>
              <w:rPr>
                <w:sz w:val="20"/>
                <w:szCs w:val="20"/>
                <w:color w:val="auto"/>
              </w:rPr>
            </w:pPr>
            <w:r>
              <w:rPr>
                <w:rFonts w:ascii="Times New Roman" w:cs="Times New Roman" w:eastAsia="Times New Roman" w:hAnsi="Times New Roman"/>
                <w:sz w:val="14"/>
                <w:szCs w:val="14"/>
                <w:b w:val="1"/>
                <w:bCs w:val="1"/>
                <w:color w:val="auto"/>
                <w:w w:val="98"/>
              </w:rPr>
              <w:t>Series B</w:t>
            </w: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0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100" w:type="dxa"/>
            <w:vAlign w:val="bottom"/>
            <w:gridSpan w:val="3"/>
            <w:vMerge w:val="continue"/>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gridSpan w:val="3"/>
            <w:vMerge w:val="continue"/>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2"/>
            <w:vMerge w:val="restart"/>
          </w:tcPr>
          <w:p>
            <w:pPr>
              <w:jc w:val="center"/>
              <w:ind w:right="240"/>
              <w:spacing w:after="0" w:line="123"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40" w:type="dxa"/>
            <w:vAlign w:val="bottom"/>
            <w:gridSpan w:val="3"/>
            <w:vMerge w:val="restart"/>
          </w:tcPr>
          <w:p>
            <w:pPr>
              <w:jc w:val="center"/>
              <w:ind w:right="80"/>
              <w:spacing w:after="0" w:line="123"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40" w:type="dxa"/>
            <w:vAlign w:val="bottom"/>
            <w:gridSpan w:val="3"/>
            <w:vMerge w:val="continue"/>
          </w:tcPr>
          <w:p>
            <w:pPr>
              <w:spacing w:after="0"/>
              <w:rPr>
                <w:sz w:val="9"/>
                <w:szCs w:val="9"/>
                <w:color w:val="auto"/>
              </w:rPr>
            </w:pPr>
          </w:p>
        </w:tc>
        <w:tc>
          <w:tcPr>
            <w:tcW w:w="980" w:type="dxa"/>
            <w:vAlign w:val="bottom"/>
            <w:gridSpan w:val="2"/>
            <w:vMerge w:val="restart"/>
          </w:tcPr>
          <w:p>
            <w:pPr>
              <w:jc w:val="center"/>
              <w:spacing w:after="0" w:line="123" w:lineRule="exact"/>
              <w:rPr>
                <w:sz w:val="20"/>
                <w:szCs w:val="20"/>
                <w:color w:val="auto"/>
              </w:rPr>
            </w:pPr>
            <w:r>
              <w:rPr>
                <w:rFonts w:ascii="Times New Roman" w:cs="Times New Roman" w:eastAsia="Times New Roman" w:hAnsi="Times New Roman"/>
                <w:sz w:val="14"/>
                <w:szCs w:val="14"/>
                <w:b w:val="1"/>
                <w:bCs w:val="1"/>
                <w:color w:val="auto"/>
                <w:w w:val="99"/>
              </w:rPr>
              <w:t>Stockholder’s</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1140" w:type="dxa"/>
            <w:vAlign w:val="bottom"/>
            <w:gridSpan w:val="3"/>
            <w:vMerge w:val="continue"/>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00" w:type="dxa"/>
            <w:vAlign w:val="bottom"/>
          </w:tcPr>
          <w:p>
            <w:pPr>
              <w:spacing w:after="0"/>
              <w:rPr>
                <w:sz w:val="16"/>
                <w:szCs w:val="16"/>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6"/>
                <w:szCs w:val="16"/>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6"/>
                <w:szCs w:val="16"/>
                <w:color w:val="auto"/>
              </w:rPr>
            </w:pPr>
          </w:p>
        </w:tc>
        <w:tc>
          <w:tcPr>
            <w:tcW w:w="78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2025</w:t>
            </w: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86,786,748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6,667</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4,456,374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(4,324,624)</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139,808</w:t>
            </w:r>
          </w:p>
        </w:tc>
        <w:tc>
          <w:tcPr>
            <w:tcW w:w="0" w:type="dxa"/>
            <w:vAlign w:val="bottom"/>
          </w:tcPr>
          <w:p>
            <w:pPr>
              <w:spacing w:after="0"/>
              <w:rPr>
                <w:sz w:val="1"/>
                <w:szCs w:val="1"/>
                <w:color w:val="auto"/>
              </w:rPr>
            </w:pPr>
          </w:p>
        </w:tc>
      </w:tr>
      <w:tr>
        <w:trPr>
          <w:trHeight w:val="175"/>
        </w:trPr>
        <w:tc>
          <w:tcPr>
            <w:tcW w:w="1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Conversion of notes payable and</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accrued interest into Class A</w:t>
            </w:r>
          </w:p>
        </w:tc>
        <w:tc>
          <w:tcPr>
            <w:tcW w:w="88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35,000,693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4"/>
                <w:szCs w:val="14"/>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6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(1,952,629)</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44,313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44,317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Common Stock ( Note 7)</w:t>
            </w:r>
          </w:p>
        </w:tc>
        <w:tc>
          <w:tcPr>
            <w:tcW w:w="8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gridSpan w:val="3"/>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preferred stock</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6"/>
                <w:szCs w:val="16"/>
                <w:color w:val="auto"/>
              </w:rPr>
            </w:pPr>
          </w:p>
        </w:tc>
        <w:tc>
          <w:tcPr>
            <w:tcW w:w="620" w:type="dxa"/>
            <w:vAlign w:val="bottom"/>
            <w:gridSpan w:val="3"/>
            <w:vMerge w:val="restart"/>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6,352,861</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series B to SPA noteholders</w:t>
            </w:r>
          </w:p>
        </w:tc>
        <w:tc>
          <w:tcPr>
            <w:tcW w:w="9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gridSpan w:val="2"/>
            <w:vMerge w:val="continue"/>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gridSpan w:val="3"/>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Settlements with issuance of</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Class A Common Stock</w:t>
            </w:r>
          </w:p>
        </w:tc>
        <w:tc>
          <w:tcPr>
            <w:tcW w:w="88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816,852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6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4"/>
                <w:szCs w:val="14"/>
                <w:color w:val="auto"/>
              </w:rPr>
            </w:pPr>
          </w:p>
        </w:tc>
        <w:tc>
          <w:tcPr>
            <w:tcW w:w="3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1,060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1,060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(Note 11)</w:t>
            </w:r>
          </w:p>
        </w:tc>
        <w:tc>
          <w:tcPr>
            <w:tcW w:w="8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gridSpan w:val="3"/>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6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9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Issuance of shares for RSU</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vesting net of tax</w:t>
            </w:r>
          </w:p>
        </w:tc>
        <w:tc>
          <w:tcPr>
            <w:tcW w:w="88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117,956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6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4"/>
                <w:szCs w:val="14"/>
                <w:color w:val="auto"/>
              </w:rPr>
            </w:pPr>
          </w:p>
        </w:tc>
        <w:tc>
          <w:tcPr>
            <w:tcW w:w="3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withholdings</w:t>
            </w:r>
          </w:p>
        </w:tc>
        <w:tc>
          <w:tcPr>
            <w:tcW w:w="8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gridSpan w:val="3"/>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6"/>
                <w:szCs w:val="16"/>
                <w:color w:val="auto"/>
              </w:rPr>
            </w:pPr>
          </w:p>
        </w:tc>
        <w:tc>
          <w:tcPr>
            <w:tcW w:w="620" w:type="dxa"/>
            <w:vAlign w:val="bottom"/>
            <w:gridSpan w:val="3"/>
            <w:vMerge w:val="restart"/>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6"/>
                <w:szCs w:val="16"/>
                <w:color w:val="auto"/>
              </w:rPr>
            </w:pPr>
          </w:p>
        </w:tc>
        <w:tc>
          <w:tcPr>
            <w:tcW w:w="3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adjustment</w:t>
            </w:r>
          </w:p>
        </w:tc>
        <w:tc>
          <w:tcPr>
            <w:tcW w:w="9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gridSpan w:val="3"/>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(124,676)</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(124,676)</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2025</w:t>
            </w: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7"/>
              </w:rPr>
              <w:t>122,722,249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6,667</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4,400,232</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85"/>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4,501,989</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(4,449,300)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3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3660" w:type="dxa"/>
            <w:vAlign w:val="bottom"/>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6"/>
                <w:szCs w:val="6"/>
                <w:color w:val="auto"/>
              </w:rPr>
            </w:pP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vMerge w:val="restart"/>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61"/>
        </w:trPr>
        <w:tc>
          <w:tcPr>
            <w:tcW w:w="3660" w:type="dxa"/>
            <w:vAlign w:val="bottom"/>
          </w:tcPr>
          <w:p>
            <w:pPr>
              <w:spacing w:after="0"/>
              <w:rPr>
                <w:sz w:val="5"/>
                <w:szCs w:val="5"/>
                <w:color w:val="auto"/>
              </w:rPr>
            </w:pPr>
          </w:p>
        </w:tc>
        <w:tc>
          <w:tcPr>
            <w:tcW w:w="1120" w:type="dxa"/>
            <w:vAlign w:val="bottom"/>
            <w:gridSpan w:val="3"/>
            <w:vMerge w:val="restart"/>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3"/>
            <w:vMerge w:val="restart"/>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3660" w:type="dxa"/>
            <w:vAlign w:val="bottom"/>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vMerge w:val="restart"/>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40" w:type="dxa"/>
            <w:vAlign w:val="bottom"/>
            <w:gridSpan w:val="3"/>
            <w:vMerge w:val="restart"/>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40" w:type="dxa"/>
            <w:vAlign w:val="bottom"/>
            <w:gridSpan w:val="3"/>
            <w:vMerge w:val="restart"/>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980" w:type="dxa"/>
            <w:vAlign w:val="bottom"/>
            <w:gridSpan w:val="2"/>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9"/>
              </w:rPr>
              <w:t>Stockholders’</w:t>
            </w:r>
          </w:p>
        </w:tc>
        <w:tc>
          <w:tcPr>
            <w:tcW w:w="0" w:type="dxa"/>
            <w:vAlign w:val="bottom"/>
          </w:tcPr>
          <w:p>
            <w:pPr>
              <w:spacing w:after="0"/>
              <w:rPr>
                <w:sz w:val="1"/>
                <w:szCs w:val="1"/>
                <w:color w:val="auto"/>
              </w:rPr>
            </w:pPr>
          </w:p>
        </w:tc>
      </w:tr>
      <w:tr>
        <w:trPr>
          <w:trHeight w:val="37"/>
        </w:trPr>
        <w:tc>
          <w:tcPr>
            <w:tcW w:w="366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1140" w:type="dxa"/>
            <w:vAlign w:val="bottom"/>
            <w:gridSpan w:val="3"/>
            <w:vMerge w:val="continue"/>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3660" w:type="dxa"/>
            <w:vAlign w:val="bottom"/>
          </w:tcPr>
          <w:p>
            <w:pPr>
              <w:spacing w:after="0"/>
              <w:rPr>
                <w:sz w:val="15"/>
                <w:szCs w:val="15"/>
                <w:color w:val="auto"/>
              </w:rPr>
            </w:pP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5"/>
                <w:szCs w:val="15"/>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Income (Loss)</w:t>
            </w:r>
          </w:p>
        </w:tc>
        <w:tc>
          <w:tcPr>
            <w:tcW w:w="14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5"/>
                <w:szCs w:val="15"/>
                <w:color w:val="auto"/>
              </w:rPr>
            </w:pPr>
          </w:p>
        </w:tc>
        <w:tc>
          <w:tcPr>
            <w:tcW w:w="780" w:type="dxa"/>
            <w:vAlign w:val="bottom"/>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37"/>
        </w:trPr>
        <w:tc>
          <w:tcPr>
            <w:tcW w:w="366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3,984,760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266,670</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4,202,125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6,094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(4,006,716)</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201,519</w:t>
            </w:r>
          </w:p>
        </w:tc>
        <w:tc>
          <w:tcPr>
            <w:tcW w:w="0" w:type="dxa"/>
            <w:vAlign w:val="bottom"/>
          </w:tcPr>
          <w:p>
            <w:pPr>
              <w:spacing w:after="0"/>
              <w:rPr>
                <w:sz w:val="1"/>
                <w:szCs w:val="1"/>
                <w:color w:val="auto"/>
              </w:rPr>
            </w:pPr>
          </w:p>
        </w:tc>
      </w:tr>
      <w:tr>
        <w:trPr>
          <w:trHeight w:val="162"/>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Conversion of notes payable and accrued interest into Class A</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3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Common Stock (see Note 7)</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7,046,856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4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55,071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55,099</w:t>
            </w:r>
          </w:p>
        </w:tc>
        <w:tc>
          <w:tcPr>
            <w:tcW w:w="0" w:type="dxa"/>
            <w:vAlign w:val="bottom"/>
          </w:tcPr>
          <w:p>
            <w:pPr>
              <w:spacing w:after="0"/>
              <w:rPr>
                <w:sz w:val="1"/>
                <w:szCs w:val="1"/>
                <w:color w:val="auto"/>
              </w:rPr>
            </w:pPr>
          </w:p>
        </w:tc>
      </w:tr>
      <w:tr>
        <w:trPr>
          <w:trHeight w:val="246"/>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228"/>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4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632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0" w:type="dxa"/>
            <w:vAlign w:val="bottom"/>
          </w:tcPr>
          <w:p>
            <w:pPr>
              <w:spacing w:after="0"/>
              <w:rPr>
                <w:sz w:val="1"/>
                <w:szCs w:val="1"/>
                <w:color w:val="auto"/>
              </w:rPr>
            </w:pPr>
          </w:p>
        </w:tc>
      </w:tr>
      <w:tr>
        <w:trPr>
          <w:trHeight w:val="24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(108,685)</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(108,685)</w:t>
            </w:r>
          </w:p>
        </w:tc>
        <w:tc>
          <w:tcPr>
            <w:tcW w:w="0" w:type="dxa"/>
            <w:vAlign w:val="bottom"/>
          </w:tcPr>
          <w:p>
            <w:pPr>
              <w:spacing w:after="0"/>
              <w:rPr>
                <w:sz w:val="1"/>
                <w:szCs w:val="1"/>
                <w:color w:val="auto"/>
              </w:rPr>
            </w:pPr>
          </w:p>
        </w:tc>
      </w:tr>
      <w:tr>
        <w:trPr>
          <w:trHeight w:val="232"/>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2024</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11,031,616</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266,670</w:t>
            </w:r>
          </w:p>
        </w:tc>
        <w:tc>
          <w:tcPr>
            <w:tcW w:w="80" w:type="dxa"/>
            <w:vAlign w:val="bottom"/>
          </w:tcPr>
          <w:p>
            <w:pPr>
              <w:spacing w:after="0"/>
              <w:rPr>
                <w:sz w:val="20"/>
                <w:szCs w:val="20"/>
                <w:color w:val="auto"/>
              </w:rPr>
            </w:pP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4,257,313</w:t>
            </w: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6,726</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(4,115,401)</w:t>
            </w:r>
          </w:p>
        </w:tc>
        <w:tc>
          <w:tcPr>
            <w:tcW w:w="80" w:type="dxa"/>
            <w:vAlign w:val="bottom"/>
          </w:tcPr>
          <w:p>
            <w:pPr>
              <w:spacing w:after="0"/>
              <w:rPr>
                <w:sz w:val="20"/>
                <w:szCs w:val="20"/>
                <w:color w:val="auto"/>
              </w:rPr>
            </w:pP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148,682</w:t>
            </w:r>
          </w:p>
        </w:tc>
        <w:tc>
          <w:tcPr>
            <w:tcW w:w="0" w:type="dxa"/>
            <w:vAlign w:val="bottom"/>
          </w:tcPr>
          <w:p>
            <w:pPr>
              <w:spacing w:after="0"/>
              <w:rPr>
                <w:sz w:val="1"/>
                <w:szCs w:val="1"/>
                <w:color w:val="auto"/>
              </w:rPr>
            </w:pPr>
          </w:p>
        </w:tc>
      </w:tr>
      <w:tr>
        <w:trPr>
          <w:trHeight w:val="25"/>
        </w:trPr>
        <w:tc>
          <w:tcPr>
            <w:tcW w:w="3660" w:type="dxa"/>
            <w:vAlign w:val="bottom"/>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68580</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60"/>
          </w:cols>
          <w:pgMar w:left="300" w:top="26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Faraday Future Intelligent Electric Inc.</w:t>
      </w:r>
    </w:p>
    <w:p>
      <w:pPr>
        <w:spacing w:after="0" w:line="2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Stockholders’ Equity</w:t>
      </w:r>
    </w:p>
    <w:p>
      <w:pPr>
        <w:spacing w:after="0" w:line="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3"/>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200" w:type="dxa"/>
            <w:vAlign w:val="bottom"/>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6"/>
                <w:szCs w:val="6"/>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vMerge w:val="restart"/>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61"/>
        </w:trPr>
        <w:tc>
          <w:tcPr>
            <w:tcW w:w="2200" w:type="dxa"/>
            <w:vAlign w:val="bottom"/>
          </w:tcPr>
          <w:p>
            <w:pPr>
              <w:spacing w:after="0"/>
              <w:rPr>
                <w:sz w:val="5"/>
                <w:szCs w:val="5"/>
                <w:color w:val="auto"/>
              </w:rPr>
            </w:pPr>
          </w:p>
        </w:tc>
        <w:tc>
          <w:tcPr>
            <w:tcW w:w="1220" w:type="dxa"/>
            <w:vAlign w:val="bottom"/>
            <w:gridSpan w:val="3"/>
            <w:vMerge w:val="restart"/>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gridSpan w:val="3"/>
            <w:vMerge w:val="restart"/>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gridSpan w:val="3"/>
            <w:vMerge w:val="restart"/>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2200" w:type="dxa"/>
            <w:vAlign w:val="bottom"/>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vMerge w:val="restart"/>
          </w:tcPr>
          <w:p>
            <w:pPr>
              <w:jc w:val="center"/>
              <w:ind w:right="220"/>
              <w:spacing w:after="0" w:line="15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20" w:type="dxa"/>
            <w:vAlign w:val="bottom"/>
            <w:gridSpan w:val="3"/>
            <w:vMerge w:val="restart"/>
          </w:tcPr>
          <w:p>
            <w:pPr>
              <w:jc w:val="center"/>
              <w:ind w:right="80"/>
              <w:spacing w:after="0" w:line="157"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1040" w:type="dxa"/>
            <w:vAlign w:val="bottom"/>
            <w:gridSpan w:val="3"/>
            <w:vMerge w:val="restart"/>
          </w:tcPr>
          <w:p>
            <w:pPr>
              <w:ind w:left="80"/>
              <w:spacing w:after="0" w:line="15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980" w:type="dxa"/>
            <w:vAlign w:val="bottom"/>
            <w:gridSpan w:val="2"/>
            <w:vMerge w:val="restart"/>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9"/>
              </w:rPr>
              <w:t>Stockholder’s</w:t>
            </w:r>
          </w:p>
        </w:tc>
        <w:tc>
          <w:tcPr>
            <w:tcW w:w="0" w:type="dxa"/>
            <w:vAlign w:val="bottom"/>
          </w:tcPr>
          <w:p>
            <w:pPr>
              <w:spacing w:after="0"/>
              <w:rPr>
                <w:sz w:val="1"/>
                <w:szCs w:val="1"/>
                <w:color w:val="auto"/>
              </w:rPr>
            </w:pPr>
          </w:p>
        </w:tc>
      </w:tr>
      <w:tr>
        <w:trPr>
          <w:trHeight w:val="37"/>
        </w:trPr>
        <w:tc>
          <w:tcPr>
            <w:tcW w:w="22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1120" w:type="dxa"/>
            <w:vAlign w:val="bottom"/>
            <w:gridSpan w:val="3"/>
            <w:vMerge w:val="continue"/>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200" w:type="dxa"/>
            <w:vAlign w:val="bottom"/>
          </w:tcPr>
          <w:p>
            <w:pPr>
              <w:spacing w:after="0"/>
              <w:rPr>
                <w:sz w:val="15"/>
                <w:szCs w:val="15"/>
                <w:color w:val="auto"/>
              </w:rPr>
            </w:pP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5"/>
                <w:szCs w:val="15"/>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Income (Loss)</w:t>
            </w:r>
          </w:p>
        </w:tc>
        <w:tc>
          <w:tcPr>
            <w:tcW w:w="160" w:type="dxa"/>
            <w:vAlign w:val="bottom"/>
          </w:tcPr>
          <w:p>
            <w:pPr>
              <w:spacing w:after="0"/>
              <w:rPr>
                <w:sz w:val="15"/>
                <w:szCs w:val="15"/>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5"/>
                <w:szCs w:val="15"/>
                <w:color w:val="auto"/>
              </w:rPr>
            </w:pPr>
          </w:p>
        </w:tc>
        <w:tc>
          <w:tcPr>
            <w:tcW w:w="78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37"/>
        </w:trPr>
        <w:tc>
          <w:tcPr>
            <w:tcW w:w="220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65,919,127</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w:t>
            </w:r>
          </w:p>
        </w:tc>
        <w:tc>
          <w:tcPr>
            <w:tcW w:w="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6,667</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4,421,563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(4,314,346)</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114,967</w:t>
            </w:r>
          </w:p>
        </w:tc>
        <w:tc>
          <w:tcPr>
            <w:tcW w:w="0" w:type="dxa"/>
            <w:vAlign w:val="bottom"/>
          </w:tcPr>
          <w:p>
            <w:pPr>
              <w:spacing w:after="0"/>
              <w:rPr>
                <w:sz w:val="1"/>
                <w:szCs w:val="1"/>
                <w:color w:val="auto"/>
              </w:rPr>
            </w:pPr>
          </w:p>
        </w:tc>
      </w:tr>
      <w:tr>
        <w:trPr>
          <w:trHeight w:val="162"/>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Conversion of notes payable and</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interest into Class A</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55,082,199</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6</w:t>
            </w:r>
          </w:p>
        </w:tc>
        <w:tc>
          <w:tcPr>
            <w:tcW w:w="6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4"/>
                <w:szCs w:val="14"/>
                <w:color w:val="auto"/>
              </w:rPr>
            </w:pPr>
          </w:p>
        </w:tc>
        <w:tc>
          <w:tcPr>
            <w:tcW w:w="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(1,952,629)</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6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76,984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80" w:type="dxa"/>
            <w:vAlign w:val="bottom"/>
            <w:gridSpan w:val="2"/>
            <w:vMerge w:val="restart"/>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76,990</w:t>
            </w:r>
          </w:p>
        </w:tc>
        <w:tc>
          <w:tcPr>
            <w:tcW w:w="0" w:type="dxa"/>
            <w:vAlign w:val="bottom"/>
          </w:tcPr>
          <w:p>
            <w:pPr>
              <w:spacing w:after="0"/>
              <w:rPr>
                <w:sz w:val="1"/>
                <w:szCs w:val="1"/>
                <w:color w:val="auto"/>
              </w:rPr>
            </w:pPr>
          </w:p>
        </w:tc>
      </w:tr>
      <w:tr>
        <w:trPr>
          <w:trHeight w:val="211"/>
        </w:trPr>
        <w:tc>
          <w:tcPr>
            <w:tcW w:w="2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Common Stock ( Note 7)</w:t>
            </w: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preferred stock series B</w:t>
            </w: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 SPA noteholders</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6,352,861</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Settlements with issuance of Class</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 Common Stock (Note 11)</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1,591,035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2,245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2,245</w:t>
            </w:r>
          </w:p>
        </w:tc>
        <w:tc>
          <w:tcPr>
            <w:tcW w:w="0" w:type="dxa"/>
            <w:vAlign w:val="bottom"/>
          </w:tcPr>
          <w:p>
            <w:pPr>
              <w:spacing w:after="0"/>
              <w:rPr>
                <w:sz w:val="1"/>
                <w:szCs w:val="1"/>
                <w:color w:val="auto"/>
              </w:rPr>
            </w:pPr>
          </w:p>
        </w:tc>
      </w:tr>
      <w:tr>
        <w:trPr>
          <w:trHeight w:val="171"/>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Related party debt restructuring</w:t>
            </w: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(Note 8)</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654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0" w:type="dxa"/>
            <w:vAlign w:val="bottom"/>
          </w:tcPr>
          <w:p>
            <w:pPr>
              <w:spacing w:after="0"/>
              <w:rPr>
                <w:sz w:val="1"/>
                <w:szCs w:val="1"/>
                <w:color w:val="auto"/>
              </w:rPr>
            </w:pPr>
          </w:p>
        </w:tc>
      </w:tr>
      <w:tr>
        <w:trPr>
          <w:trHeight w:val="228"/>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469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0" w:type="dxa"/>
            <w:vAlign w:val="bottom"/>
          </w:tcPr>
          <w:p>
            <w:pPr>
              <w:spacing w:after="0"/>
              <w:rPr>
                <w:sz w:val="1"/>
                <w:szCs w:val="1"/>
                <w:color w:val="auto"/>
              </w:rPr>
            </w:pPr>
          </w:p>
        </w:tc>
      </w:tr>
      <w:tr>
        <w:trPr>
          <w:trHeight w:val="171"/>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shares for RSU vesting</w:t>
            </w: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of tax withholdings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129,888</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167"/>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4"/>
                <w:szCs w:val="14"/>
                <w:color w:val="auto"/>
              </w:rPr>
            </w:pPr>
          </w:p>
        </w:tc>
        <w:tc>
          <w:tcPr>
            <w:tcW w:w="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4"/>
                <w:szCs w:val="14"/>
                <w:color w:val="auto"/>
              </w:rPr>
            </w:pPr>
          </w:p>
        </w:tc>
        <w:tc>
          <w:tcPr>
            <w:tcW w:w="3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(589)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restart"/>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(589)</w:t>
            </w:r>
          </w:p>
        </w:tc>
        <w:tc>
          <w:tcPr>
            <w:tcW w:w="0" w:type="dxa"/>
            <w:vAlign w:val="bottom"/>
          </w:tcPr>
          <w:p>
            <w:pPr>
              <w:spacing w:after="0"/>
              <w:rPr>
                <w:sz w:val="1"/>
                <w:szCs w:val="1"/>
                <w:color w:val="auto"/>
              </w:rPr>
            </w:pPr>
          </w:p>
        </w:tc>
      </w:tr>
      <w:tr>
        <w:trPr>
          <w:trHeight w:val="206"/>
        </w:trPr>
        <w:tc>
          <w:tcPr>
            <w:tcW w:w="2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adjustment</w:t>
            </w:r>
          </w:p>
        </w:tc>
        <w:tc>
          <w:tcPr>
            <w:tcW w:w="9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(134,954)</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(134,954)</w:t>
            </w:r>
          </w:p>
        </w:tc>
        <w:tc>
          <w:tcPr>
            <w:tcW w:w="0" w:type="dxa"/>
            <w:vAlign w:val="bottom"/>
          </w:tcPr>
          <w:p>
            <w:pPr>
              <w:spacing w:after="0"/>
              <w:rPr>
                <w:sz w:val="1"/>
                <w:szCs w:val="1"/>
                <w:color w:val="auto"/>
              </w:rPr>
            </w:pPr>
          </w:p>
        </w:tc>
      </w:tr>
      <w:tr>
        <w:trPr>
          <w:trHeight w:val="232"/>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2025</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122,722,249</w:t>
            </w:r>
          </w:p>
        </w:tc>
        <w:tc>
          <w:tcPr>
            <w:tcW w:w="80" w:type="dxa"/>
            <w:vAlign w:val="bottom"/>
          </w:tcPr>
          <w:p>
            <w:pPr>
              <w:spacing w:after="0"/>
              <w:rPr>
                <w:sz w:val="20"/>
                <w:szCs w:val="20"/>
                <w:color w:val="auto"/>
              </w:rPr>
            </w:pPr>
          </w:p>
        </w:tc>
        <w:tc>
          <w:tcPr>
            <w:tcW w:w="260" w:type="dxa"/>
            <w:vAlign w:val="bottom"/>
          </w:tcPr>
          <w:p>
            <w:pPr>
              <w:jc w:val="right"/>
              <w:ind w:right="85"/>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w:t>
            </w:r>
          </w:p>
        </w:tc>
        <w:tc>
          <w:tcPr>
            <w:tcW w:w="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6,667</w:t>
            </w:r>
          </w:p>
        </w:tc>
        <w:tc>
          <w:tcPr>
            <w:tcW w:w="80" w:type="dxa"/>
            <w:vAlign w:val="bottom"/>
          </w:tcPr>
          <w:p>
            <w:pPr>
              <w:spacing w:after="0"/>
              <w:rPr>
                <w:sz w:val="20"/>
                <w:szCs w:val="20"/>
                <w:color w:val="auto"/>
              </w:rPr>
            </w:pPr>
          </w:p>
        </w:tc>
        <w:tc>
          <w:tcPr>
            <w:tcW w:w="30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4,400,232</w:t>
            </w:r>
          </w:p>
        </w:tc>
        <w:tc>
          <w:tcPr>
            <w:tcW w:w="80" w:type="dxa"/>
            <w:vAlign w:val="bottom"/>
          </w:tcPr>
          <w:p>
            <w:pPr>
              <w:spacing w:after="0"/>
              <w:rPr>
                <w:sz w:val="20"/>
                <w:szCs w:val="20"/>
                <w:color w:val="auto"/>
              </w:rPr>
            </w:pPr>
          </w:p>
        </w:tc>
        <w:tc>
          <w:tcPr>
            <w:tcW w:w="340" w:type="dxa"/>
            <w:vAlign w:val="bottom"/>
          </w:tcPr>
          <w:p>
            <w:pPr>
              <w:jc w:val="right"/>
              <w:ind w:right="164"/>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4,501,989</w:t>
            </w: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7,155</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(4,449,300)</w:t>
            </w:r>
          </w:p>
        </w:tc>
        <w:tc>
          <w:tcPr>
            <w:tcW w:w="80" w:type="dxa"/>
            <w:vAlign w:val="bottom"/>
          </w:tcPr>
          <w:p>
            <w:pPr>
              <w:spacing w:after="0"/>
              <w:rPr>
                <w:sz w:val="20"/>
                <w:szCs w:val="20"/>
                <w:color w:val="auto"/>
              </w:rPr>
            </w:pP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59,856</w:t>
            </w:r>
          </w:p>
        </w:tc>
        <w:tc>
          <w:tcPr>
            <w:tcW w:w="0" w:type="dxa"/>
            <w:vAlign w:val="bottom"/>
          </w:tcPr>
          <w:p>
            <w:pPr>
              <w:spacing w:after="0"/>
              <w:rPr>
                <w:sz w:val="1"/>
                <w:szCs w:val="1"/>
                <w:color w:val="auto"/>
              </w:rPr>
            </w:pPr>
          </w:p>
        </w:tc>
      </w:tr>
      <w:tr>
        <w:trPr>
          <w:trHeight w:val="25"/>
        </w:trPr>
        <w:tc>
          <w:tcPr>
            <w:tcW w:w="2200" w:type="dxa"/>
            <w:vAlign w:val="bottom"/>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3660" w:type="dxa"/>
            <w:vAlign w:val="bottom"/>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6"/>
                <w:szCs w:val="6"/>
                <w:color w:val="auto"/>
              </w:rPr>
            </w:pP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vMerge w:val="restart"/>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74"/>
        </w:trPr>
        <w:tc>
          <w:tcPr>
            <w:tcW w:w="3660" w:type="dxa"/>
            <w:vAlign w:val="bottom"/>
          </w:tcPr>
          <w:p>
            <w:pPr>
              <w:spacing w:after="0"/>
              <w:rPr>
                <w:sz w:val="6"/>
                <w:szCs w:val="6"/>
                <w:color w:val="auto"/>
              </w:rPr>
            </w:pPr>
          </w:p>
        </w:tc>
        <w:tc>
          <w:tcPr>
            <w:tcW w:w="1120" w:type="dxa"/>
            <w:vAlign w:val="bottom"/>
            <w:gridSpan w:val="3"/>
            <w:vMerge w:val="restart"/>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gridSpan w:val="3"/>
            <w:vMerge w:val="restart"/>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0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6"/>
        </w:trPr>
        <w:tc>
          <w:tcPr>
            <w:tcW w:w="366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vMerge w:val="restart"/>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40" w:type="dxa"/>
            <w:vAlign w:val="bottom"/>
            <w:gridSpan w:val="3"/>
            <w:vMerge w:val="restart"/>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40" w:type="dxa"/>
            <w:vAlign w:val="bottom"/>
            <w:gridSpan w:val="3"/>
            <w:vMerge w:val="continue"/>
          </w:tcPr>
          <w:p>
            <w:pPr>
              <w:spacing w:after="0"/>
              <w:rPr>
                <w:sz w:val="9"/>
                <w:szCs w:val="9"/>
                <w:color w:val="auto"/>
              </w:rPr>
            </w:pPr>
          </w:p>
        </w:tc>
        <w:tc>
          <w:tcPr>
            <w:tcW w:w="980" w:type="dxa"/>
            <w:vAlign w:val="bottom"/>
            <w:gridSpan w:val="2"/>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9"/>
              </w:rPr>
              <w:t>Stockholders’</w:t>
            </w:r>
          </w:p>
        </w:tc>
        <w:tc>
          <w:tcPr>
            <w:tcW w:w="0" w:type="dxa"/>
            <w:vAlign w:val="bottom"/>
          </w:tcPr>
          <w:p>
            <w:pPr>
              <w:spacing w:after="0"/>
              <w:rPr>
                <w:sz w:val="1"/>
                <w:szCs w:val="1"/>
                <w:color w:val="auto"/>
              </w:rPr>
            </w:pPr>
          </w:p>
        </w:tc>
      </w:tr>
      <w:tr>
        <w:trPr>
          <w:trHeight w:val="37"/>
        </w:trPr>
        <w:tc>
          <w:tcPr>
            <w:tcW w:w="366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1140" w:type="dxa"/>
            <w:vAlign w:val="bottom"/>
            <w:gridSpan w:val="3"/>
            <w:vMerge w:val="continue"/>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3"/>
        </w:trPr>
        <w:tc>
          <w:tcPr>
            <w:tcW w:w="3660" w:type="dxa"/>
            <w:vAlign w:val="bottom"/>
          </w:tcPr>
          <w:p>
            <w:pPr>
              <w:spacing w:after="0"/>
              <w:rPr>
                <w:sz w:val="16"/>
                <w:szCs w:val="16"/>
                <w:color w:val="auto"/>
              </w:rPr>
            </w:pP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6"/>
                <w:szCs w:val="16"/>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Income (Loss)</w:t>
            </w:r>
          </w:p>
        </w:tc>
        <w:tc>
          <w:tcPr>
            <w:tcW w:w="140" w:type="dxa"/>
            <w:vAlign w:val="bottom"/>
          </w:tcPr>
          <w:p>
            <w:pPr>
              <w:spacing w:after="0"/>
              <w:rPr>
                <w:sz w:val="16"/>
                <w:szCs w:val="16"/>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6"/>
                <w:szCs w:val="16"/>
                <w:color w:val="auto"/>
              </w:rPr>
            </w:pPr>
          </w:p>
        </w:tc>
        <w:tc>
          <w:tcPr>
            <w:tcW w:w="780" w:type="dxa"/>
            <w:vAlign w:val="bottom"/>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4"/>
        </w:trPr>
        <w:tc>
          <w:tcPr>
            <w:tcW w:w="36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1,060,826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266,670</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4,180,869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5,862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(3,958,499)</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228,236</w:t>
            </w:r>
          </w:p>
        </w:tc>
        <w:tc>
          <w:tcPr>
            <w:tcW w:w="0" w:type="dxa"/>
            <w:vAlign w:val="bottom"/>
          </w:tcPr>
          <w:p>
            <w:pPr>
              <w:spacing w:after="0"/>
              <w:rPr>
                <w:sz w:val="1"/>
                <w:szCs w:val="1"/>
                <w:color w:val="auto"/>
              </w:rPr>
            </w:pPr>
          </w:p>
        </w:tc>
      </w:tr>
      <w:tr>
        <w:trPr>
          <w:trHeight w:val="175"/>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Conversion of notes payable and accrued interest into Class A</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9,970,483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Pr>
          <w:p>
            <w:pPr>
              <w:spacing w:after="0"/>
              <w:rPr>
                <w:sz w:val="15"/>
                <w:szCs w:val="15"/>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5"/>
                <w:szCs w:val="15"/>
                <w:color w:val="auto"/>
              </w:rPr>
            </w:pPr>
          </w:p>
        </w:tc>
        <w:tc>
          <w:tcPr>
            <w:tcW w:w="4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75,786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9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75,826</w:t>
            </w:r>
          </w:p>
        </w:tc>
        <w:tc>
          <w:tcPr>
            <w:tcW w:w="0" w:type="dxa"/>
            <w:vAlign w:val="bottom"/>
          </w:tcPr>
          <w:p>
            <w:pPr>
              <w:spacing w:after="0"/>
              <w:rPr>
                <w:sz w:val="1"/>
                <w:szCs w:val="1"/>
                <w:color w:val="auto"/>
              </w:rPr>
            </w:pPr>
          </w:p>
        </w:tc>
      </w:tr>
      <w:tr>
        <w:trPr>
          <w:trHeight w:val="211"/>
        </w:trPr>
        <w:tc>
          <w:tcPr>
            <w:tcW w:w="3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Common Stock (see Note 7)</w:t>
            </w: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Reverse stock split related round up share issuances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8"/>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4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w:t>
            </w:r>
          </w:p>
        </w:tc>
        <w:tc>
          <w:tcPr>
            <w:tcW w:w="0" w:type="dxa"/>
            <w:vAlign w:val="bottom"/>
          </w:tcPr>
          <w:p>
            <w:pPr>
              <w:spacing w:after="0"/>
              <w:rPr>
                <w:sz w:val="1"/>
                <w:szCs w:val="1"/>
                <w:color w:val="auto"/>
              </w:rPr>
            </w:pPr>
          </w:p>
        </w:tc>
      </w:tr>
      <w:tr>
        <w:trPr>
          <w:trHeight w:val="246"/>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864</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w:t>
            </w:r>
          </w:p>
        </w:tc>
        <w:tc>
          <w:tcPr>
            <w:tcW w:w="0" w:type="dxa"/>
            <w:vAlign w:val="bottom"/>
          </w:tcPr>
          <w:p>
            <w:pPr>
              <w:spacing w:after="0"/>
              <w:rPr>
                <w:sz w:val="1"/>
                <w:szCs w:val="1"/>
                <w:color w:val="auto"/>
              </w:rPr>
            </w:pPr>
          </w:p>
        </w:tc>
      </w:tr>
      <w:tr>
        <w:trPr>
          <w:trHeight w:val="231"/>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(156,902)</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(156,902)</w:t>
            </w:r>
          </w:p>
        </w:tc>
        <w:tc>
          <w:tcPr>
            <w:tcW w:w="0" w:type="dxa"/>
            <w:vAlign w:val="bottom"/>
          </w:tcPr>
          <w:p>
            <w:pPr>
              <w:spacing w:after="0"/>
              <w:rPr>
                <w:sz w:val="1"/>
                <w:szCs w:val="1"/>
                <w:color w:val="auto"/>
              </w:rPr>
            </w:pPr>
          </w:p>
        </w:tc>
      </w:tr>
      <w:tr>
        <w:trPr>
          <w:trHeight w:val="252"/>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11,031,616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266,670</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4,257,313</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6,726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(4,115,401)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148,682</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520" w:type="dxa"/>
            <w:vAlign w:val="bottom"/>
          </w:tcPr>
          <w:p>
            <w:pPr>
              <w:spacing w:after="0"/>
              <w:rPr>
                <w:sz w:val="19"/>
                <w:szCs w:val="19"/>
                <w:color w:val="auto"/>
              </w:rPr>
            </w:pPr>
          </w:p>
        </w:tc>
        <w:tc>
          <w:tcPr>
            <w:tcW w:w="3020" w:type="dxa"/>
            <w:vAlign w:val="bottom"/>
            <w:tcBorders>
              <w:bottom w:val="single" w:sz="8" w:color="auto"/>
            </w:tcBorders>
            <w:gridSpan w:val="4"/>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700" w:type="dxa"/>
            <w:vAlign w:val="bottom"/>
            <w:tcBorders>
              <w:bottom w:val="single" w:sz="8" w:color="auto"/>
            </w:tcBorders>
          </w:tcPr>
          <w:p>
            <w:pPr>
              <w:spacing w:after="0"/>
              <w:rPr>
                <w:sz w:val="19"/>
                <w:szCs w:val="19"/>
                <w:color w:val="auto"/>
              </w:rPr>
            </w:pPr>
          </w:p>
        </w:tc>
      </w:tr>
      <w:tr>
        <w:trPr>
          <w:trHeight w:val="231"/>
        </w:trPr>
        <w:tc>
          <w:tcPr>
            <w:tcW w:w="75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7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00" w:type="dxa"/>
            <w:vAlign w:val="bottom"/>
            <w:tcBorders>
              <w:bottom w:val="single" w:sz="8" w:color="auto"/>
            </w:tcBorders>
          </w:tcPr>
          <w:p>
            <w:pPr>
              <w:spacing w:after="0"/>
              <w:rPr>
                <w:sz w:val="20"/>
                <w:szCs w:val="20"/>
                <w:color w:val="auto"/>
              </w:rPr>
            </w:pPr>
          </w:p>
        </w:tc>
      </w:tr>
      <w:tr>
        <w:trPr>
          <w:trHeight w:val="224"/>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28"/>
        </w:trPr>
        <w:tc>
          <w:tcPr>
            <w:tcW w:w="7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1120" w:type="dxa"/>
            <w:vAlign w:val="bottom"/>
          </w:tcPr>
          <w:p>
            <w:pPr>
              <w:jc w:val="right"/>
              <w:ind w:right="96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(134,954)</w:t>
            </w:r>
          </w:p>
        </w:tc>
        <w:tc>
          <w:tcPr>
            <w:tcW w:w="80" w:type="dxa"/>
            <w:vAlign w:val="bottom"/>
          </w:tcPr>
          <w:p>
            <w:pPr>
              <w:spacing w:after="0"/>
              <w:rPr>
                <w:sz w:val="19"/>
                <w:szCs w:val="19"/>
                <w:color w:val="auto"/>
              </w:rPr>
            </w:pPr>
          </w:p>
        </w:tc>
        <w:tc>
          <w:tcPr>
            <w:tcW w:w="1120" w:type="dxa"/>
            <w:vAlign w:val="bottom"/>
          </w:tcPr>
          <w:p>
            <w:pPr>
              <w:jc w:val="right"/>
              <w:ind w:right="94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(156,902)</w:t>
            </w:r>
          </w:p>
        </w:tc>
      </w:tr>
      <w:tr>
        <w:trPr>
          <w:trHeight w:val="246"/>
        </w:trPr>
        <w:tc>
          <w:tcPr>
            <w:tcW w:w="7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Adjustments to reconcile net loss to net cash used in operating activities:</w:t>
            </w:r>
          </w:p>
        </w:tc>
        <w:tc>
          <w:tcPr>
            <w:tcW w:w="1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r>
      <w:tr>
        <w:trPr>
          <w:trHeight w:val="228"/>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120" w:type="dxa"/>
            <w:vAlign w:val="bottom"/>
          </w:tcPr>
          <w:p>
            <w:pPr>
              <w:spacing w:after="0"/>
              <w:rPr>
                <w:sz w:val="19"/>
                <w:szCs w:val="19"/>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37,308</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35,947</w:t>
            </w:r>
          </w:p>
        </w:tc>
      </w:tr>
      <w:tr>
        <w:trPr>
          <w:trHeight w:val="246"/>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operating lease right-of-use assets and intangible assets</w:t>
            </w:r>
          </w:p>
        </w:tc>
        <w:tc>
          <w:tcPr>
            <w:tcW w:w="11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1,296</w:t>
            </w: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1,468</w:t>
            </w:r>
          </w:p>
        </w:tc>
      </w:tr>
      <w:tr>
        <w:trPr>
          <w:trHeight w:val="228"/>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Non-cash interest expense</w:t>
            </w:r>
          </w:p>
        </w:tc>
        <w:tc>
          <w:tcPr>
            <w:tcW w:w="1120" w:type="dxa"/>
            <w:vAlign w:val="bottom"/>
          </w:tcPr>
          <w:p>
            <w:pPr>
              <w:spacing w:after="0"/>
              <w:rPr>
                <w:sz w:val="19"/>
                <w:szCs w:val="19"/>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1,815</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w:t>
            </w:r>
          </w:p>
        </w:tc>
      </w:tr>
      <w:tr>
        <w:trPr>
          <w:trHeight w:val="246"/>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1,198</w:t>
            </w: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w:t>
            </w:r>
          </w:p>
        </w:tc>
      </w:tr>
      <w:tr>
        <w:trPr>
          <w:trHeight w:val="228"/>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Reserve on inventory</w:t>
            </w:r>
          </w:p>
        </w:tc>
        <w:tc>
          <w:tcPr>
            <w:tcW w:w="1120" w:type="dxa"/>
            <w:vAlign w:val="bottom"/>
          </w:tcPr>
          <w:p>
            <w:pPr>
              <w:spacing w:after="0"/>
              <w:rPr>
                <w:sz w:val="19"/>
                <w:szCs w:val="19"/>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3,753</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Loss (gain) on disposal of property and equipment</w:t>
            </w:r>
          </w:p>
        </w:tc>
        <w:tc>
          <w:tcPr>
            <w:tcW w:w="11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320</w:t>
            </w: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28"/>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Loss on lease impairment</w:t>
            </w:r>
          </w:p>
        </w:tc>
        <w:tc>
          <w:tcPr>
            <w:tcW w:w="112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7,616</w:t>
            </w:r>
          </w:p>
        </w:tc>
      </w:tr>
      <w:tr>
        <w:trPr>
          <w:trHeight w:val="246"/>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Loss from settlement of notes payable</w:t>
            </w:r>
          </w:p>
        </w:tc>
        <w:tc>
          <w:tcPr>
            <w:tcW w:w="11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38,378</w:t>
            </w: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58,381</w:t>
            </w:r>
          </w:p>
        </w:tc>
      </w:tr>
      <w:tr>
        <w:trPr>
          <w:trHeight w:val="228"/>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Loss from settlement of related party notes payable</w:t>
            </w:r>
          </w:p>
        </w:tc>
        <w:tc>
          <w:tcPr>
            <w:tcW w:w="1120" w:type="dxa"/>
            <w:vAlign w:val="bottom"/>
          </w:tcPr>
          <w:p>
            <w:pPr>
              <w:spacing w:after="0"/>
              <w:rPr>
                <w:sz w:val="19"/>
                <w:szCs w:val="19"/>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3,040</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14,295</w:t>
            </w:r>
          </w:p>
        </w:tc>
      </w:tr>
      <w:tr>
        <w:trPr>
          <w:trHeight w:val="246"/>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Gain from forgiveness of accounts payable and deposits, net</w:t>
            </w:r>
          </w:p>
        </w:tc>
        <w:tc>
          <w:tcPr>
            <w:tcW w:w="1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w:t>
            </w:r>
          </w:p>
        </w:tc>
      </w:tr>
      <w:tr>
        <w:trPr>
          <w:trHeight w:val="228"/>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HSL s.l.r. settlement adjustment</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Gain on foreign exchange</w:t>
            </w:r>
          </w:p>
        </w:tc>
        <w:tc>
          <w:tcPr>
            <w:tcW w:w="1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r>
      <w:tr>
        <w:trPr>
          <w:trHeight w:val="228"/>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 in fair value of notes payable, warrant liabilities, and derivative call options</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(5,380)</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(20,640)</w:t>
            </w:r>
          </w:p>
        </w:tc>
      </w:tr>
      <w:tr>
        <w:trPr>
          <w:trHeight w:val="246"/>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Change in fair value of related party notes payable and related party warrant liabilities</w:t>
            </w:r>
          </w:p>
        </w:tc>
        <w:tc>
          <w:tcPr>
            <w:tcW w:w="11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5,427</w:t>
            </w: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w:t>
            </w:r>
          </w:p>
        </w:tc>
      </w:tr>
      <w:tr>
        <w:trPr>
          <w:trHeight w:val="228"/>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1120" w:type="dxa"/>
            <w:vAlign w:val="bottom"/>
          </w:tcPr>
          <w:p>
            <w:pPr>
              <w:spacing w:after="0"/>
              <w:rPr>
                <w:sz w:val="19"/>
                <w:szCs w:val="19"/>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168</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7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Changes in operating assets and liabilities:</w:t>
            </w:r>
          </w:p>
        </w:tc>
        <w:tc>
          <w:tcPr>
            <w:tcW w:w="1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r>
      <w:tr>
        <w:trPr>
          <w:trHeight w:val="228"/>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receivables</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Deposits</w:t>
            </w:r>
          </w:p>
        </w:tc>
        <w:tc>
          <w:tcPr>
            <w:tcW w:w="1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(2,331)</w:t>
            </w: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3,561</w:t>
            </w:r>
          </w:p>
        </w:tc>
      </w:tr>
      <w:tr>
        <w:trPr>
          <w:trHeight w:val="228"/>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Inventory</w:t>
            </w:r>
          </w:p>
        </w:tc>
        <w:tc>
          <w:tcPr>
            <w:tcW w:w="1120" w:type="dxa"/>
            <w:vAlign w:val="bottom"/>
          </w:tcPr>
          <w:p>
            <w:pPr>
              <w:spacing w:after="0"/>
              <w:rPr>
                <w:sz w:val="19"/>
                <w:szCs w:val="19"/>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630</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5,484</w:t>
            </w:r>
          </w:p>
        </w:tc>
      </w:tr>
      <w:tr>
        <w:trPr>
          <w:trHeight w:val="246"/>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current and non-current assets</w:t>
            </w:r>
          </w:p>
        </w:tc>
        <w:tc>
          <w:tcPr>
            <w:tcW w:w="11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1,566</w:t>
            </w: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9,620</w:t>
            </w:r>
          </w:p>
        </w:tc>
      </w:tr>
      <w:tr>
        <w:trPr>
          <w:trHeight w:val="228"/>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(4,059)</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(1,908)</w:t>
            </w:r>
          </w:p>
        </w:tc>
      </w:tr>
      <w:tr>
        <w:trPr>
          <w:trHeight w:val="246"/>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expenses and other current and non-current liabilities</w:t>
            </w:r>
          </w:p>
        </w:tc>
        <w:tc>
          <w:tcPr>
            <w:tcW w:w="11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11,241</w:t>
            </w: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7,624</w:t>
            </w:r>
          </w:p>
        </w:tc>
      </w:tr>
      <w:tr>
        <w:trPr>
          <w:trHeight w:val="228"/>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Related party accrued expenses and other current and non-current liabilities</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related party interest expense</w:t>
            </w:r>
          </w:p>
        </w:tc>
        <w:tc>
          <w:tcPr>
            <w:tcW w:w="1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5,114</w:t>
            </w:r>
          </w:p>
        </w:tc>
      </w:tr>
      <w:tr>
        <w:trPr>
          <w:trHeight w:val="228"/>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Financial obligations on lease back transaction</w:t>
            </w:r>
          </w:p>
        </w:tc>
        <w:tc>
          <w:tcPr>
            <w:tcW w:w="112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1,353</w:t>
            </w:r>
          </w:p>
        </w:tc>
      </w:tr>
      <w:tr>
        <w:trPr>
          <w:trHeight w:val="240"/>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(1,977)</w:t>
            </w:r>
          </w:p>
        </w:tc>
        <w:tc>
          <w:tcPr>
            <w:tcW w:w="80" w:type="dxa"/>
            <w:vAlign w:val="bottom"/>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(2,081)</w:t>
            </w:r>
          </w:p>
        </w:tc>
      </w:tr>
      <w:tr>
        <w:trPr>
          <w:trHeight w:val="228"/>
        </w:trPr>
        <w:tc>
          <w:tcPr>
            <w:tcW w:w="75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(43,608)</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(29,091)</w:t>
            </w:r>
          </w:p>
        </w:tc>
      </w:tr>
      <w:tr>
        <w:trPr>
          <w:trHeight w:val="246"/>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r>
      <w:tr>
        <w:trPr>
          <w:trHeight w:val="228"/>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Proceeds from the sale of equipment</w:t>
            </w:r>
          </w:p>
        </w:tc>
        <w:tc>
          <w:tcPr>
            <w:tcW w:w="112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40"/>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Payments for property and equipment</w:t>
            </w:r>
          </w:p>
        </w:tc>
        <w:tc>
          <w:tcPr>
            <w:tcW w:w="1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(5,007)</w:t>
            </w:r>
          </w:p>
        </w:tc>
        <w:tc>
          <w:tcPr>
            <w:tcW w:w="80" w:type="dxa"/>
            <w:vAlign w:val="bottom"/>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r>
      <w:tr>
        <w:trPr>
          <w:trHeight w:val="228"/>
        </w:trPr>
        <w:tc>
          <w:tcPr>
            <w:tcW w:w="75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(5,007)</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w:t>
            </w:r>
          </w:p>
        </w:tc>
      </w:tr>
      <w:tr>
        <w:trPr>
          <w:trHeight w:val="246"/>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r>
      <w:tr>
        <w:trPr>
          <w:trHeight w:val="228"/>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Proceeds from notes payable, net of original issuance discount</w:t>
            </w:r>
          </w:p>
        </w:tc>
        <w:tc>
          <w:tcPr>
            <w:tcW w:w="1120" w:type="dxa"/>
            <w:vAlign w:val="bottom"/>
          </w:tcPr>
          <w:p>
            <w:pPr>
              <w:spacing w:after="0"/>
              <w:rPr>
                <w:sz w:val="19"/>
                <w:szCs w:val="19"/>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48,570</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23,916</w:t>
            </w:r>
          </w:p>
        </w:tc>
      </w:tr>
      <w:tr>
        <w:trPr>
          <w:trHeight w:val="246"/>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other financial obligations</w:t>
            </w:r>
          </w:p>
        </w:tc>
        <w:tc>
          <w:tcPr>
            <w:tcW w:w="11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4,384</w:t>
            </w: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8"/>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Proceeds from related party notes payable</w:t>
            </w:r>
          </w:p>
        </w:tc>
        <w:tc>
          <w:tcPr>
            <w:tcW w:w="1120" w:type="dxa"/>
            <w:vAlign w:val="bottom"/>
          </w:tcPr>
          <w:p>
            <w:pPr>
              <w:spacing w:after="0"/>
              <w:rPr>
                <w:sz w:val="19"/>
                <w:szCs w:val="19"/>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4,601</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r>
      <w:tr>
        <w:trPr>
          <w:trHeight w:val="246"/>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Payments of notes payable and other financing obligations</w:t>
            </w:r>
          </w:p>
        </w:tc>
        <w:tc>
          <w:tcPr>
            <w:tcW w:w="1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28"/>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Payments of notes payable issuance costs</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(1,521)</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r>
      <w:tr>
        <w:trPr>
          <w:trHeight w:val="240"/>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Payments of related party notes payable</w:t>
            </w:r>
          </w:p>
        </w:tc>
        <w:tc>
          <w:tcPr>
            <w:tcW w:w="1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80" w:type="dxa"/>
            <w:vAlign w:val="bottom"/>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8"/>
        </w:trPr>
        <w:tc>
          <w:tcPr>
            <w:tcW w:w="75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120" w:type="dxa"/>
            <w:vAlign w:val="bottom"/>
          </w:tcPr>
          <w:p>
            <w:pPr>
              <w:spacing w:after="0"/>
              <w:rPr>
                <w:sz w:val="19"/>
                <w:szCs w:val="19"/>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55,052</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26,715</w:t>
            </w:r>
          </w:p>
        </w:tc>
      </w:tr>
      <w:tr>
        <w:trPr>
          <w:trHeight w:val="240"/>
        </w:trPr>
        <w:tc>
          <w:tcPr>
            <w:tcW w:w="7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Effect of exchange rate changes on cash and restricted cash</w:t>
            </w:r>
          </w:p>
        </w:tc>
        <w:tc>
          <w:tcPr>
            <w:tcW w:w="1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80" w:type="dxa"/>
            <w:vAlign w:val="bottom"/>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28"/>
        </w:trPr>
        <w:tc>
          <w:tcPr>
            <w:tcW w:w="7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(decrease) increase in cash and restricted cash</w:t>
            </w:r>
          </w:p>
        </w:tc>
        <w:tc>
          <w:tcPr>
            <w:tcW w:w="1120" w:type="dxa"/>
            <w:vAlign w:val="bottom"/>
          </w:tcPr>
          <w:p>
            <w:pPr>
              <w:spacing w:after="0"/>
              <w:rPr>
                <w:sz w:val="19"/>
                <w:szCs w:val="19"/>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6,087</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(2,648)</w:t>
            </w:r>
          </w:p>
        </w:tc>
      </w:tr>
      <w:tr>
        <w:trPr>
          <w:trHeight w:val="240"/>
        </w:trPr>
        <w:tc>
          <w:tcPr>
            <w:tcW w:w="7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restricted cash, beginning of period</w:t>
            </w:r>
          </w:p>
        </w:tc>
        <w:tc>
          <w:tcPr>
            <w:tcW w:w="1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7,174</w:t>
            </w:r>
          </w:p>
        </w:tc>
        <w:tc>
          <w:tcPr>
            <w:tcW w:w="80" w:type="dxa"/>
            <w:vAlign w:val="bottom"/>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4,025</w:t>
            </w:r>
          </w:p>
        </w:tc>
      </w:tr>
      <w:tr>
        <w:trPr>
          <w:trHeight w:val="237"/>
        </w:trPr>
        <w:tc>
          <w:tcPr>
            <w:tcW w:w="7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and restricted cash, end of period</w:t>
            </w:r>
          </w:p>
        </w:tc>
        <w:tc>
          <w:tcPr>
            <w:tcW w:w="1120" w:type="dxa"/>
            <w:vAlign w:val="bottom"/>
            <w:tcBorders>
              <w:bottom w:val="single" w:sz="8" w:color="auto"/>
            </w:tcBorders>
          </w:tcPr>
          <w:p>
            <w:pPr>
              <w:jc w:val="right"/>
              <w:ind w:right="96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13,261</w:t>
            </w:r>
          </w:p>
        </w:tc>
        <w:tc>
          <w:tcPr>
            <w:tcW w:w="80" w:type="dxa"/>
            <w:vAlign w:val="bottom"/>
          </w:tcPr>
          <w:p>
            <w:pPr>
              <w:spacing w:after="0"/>
              <w:rPr>
                <w:sz w:val="20"/>
                <w:szCs w:val="20"/>
                <w:color w:val="auto"/>
              </w:rPr>
            </w:pPr>
          </w:p>
        </w:tc>
        <w:tc>
          <w:tcPr>
            <w:tcW w:w="1120" w:type="dxa"/>
            <w:vAlign w:val="bottom"/>
            <w:tcBorders>
              <w:bottom w:val="single" w:sz="8" w:color="auto"/>
            </w:tcBorders>
          </w:tcPr>
          <w:p>
            <w:pPr>
              <w:jc w:val="right"/>
              <w:ind w:right="94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1,377</w:t>
            </w:r>
          </w:p>
        </w:tc>
      </w:tr>
      <w:tr>
        <w:trPr>
          <w:trHeight w:val="20"/>
        </w:trPr>
        <w:tc>
          <w:tcPr>
            <w:tcW w:w="75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83185</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line="249" w:lineRule="auto"/>
        <w:rPr>
          <w:sz w:val="20"/>
          <w:szCs w:val="20"/>
          <w:color w:val="auto"/>
        </w:rPr>
      </w:pPr>
      <w:r>
        <w:rPr>
          <w:rFonts w:ascii="Times New Roman" w:cs="Times New Roman" w:eastAsia="Times New Roman" w:hAnsi="Times New Roman"/>
          <w:sz w:val="18"/>
          <w:szCs w:val="18"/>
          <w:b w:val="1"/>
          <w:bCs w:val="1"/>
          <w:color w:val="auto"/>
        </w:rPr>
        <w:t xml:space="preserve">Faraday Future Intelligent Electric Inc. Unaudited Condensed Consolidated Statements of Cash Flows — (Continued) </w:t>
      </w:r>
      <w:r>
        <w:rPr>
          <w:rFonts w:ascii="Times New Roman" w:cs="Times New Roman" w:eastAsia="Times New Roman" w:hAnsi="Times New Roman"/>
          <w:sz w:val="18"/>
          <w:szCs w:val="18"/>
          <w:b w:val="1"/>
          <w:bCs w:val="1"/>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firstLine="475"/>
        <w:spacing w:after="0" w:line="269" w:lineRule="auto"/>
        <w:rPr>
          <w:sz w:val="20"/>
          <w:szCs w:val="20"/>
          <w:color w:val="auto"/>
        </w:rPr>
      </w:pPr>
      <w:r>
        <w:rPr>
          <w:rFonts w:ascii="Times New Roman" w:cs="Times New Roman" w:eastAsia="Times New Roman" w:hAnsi="Times New Roman"/>
          <w:sz w:val="18"/>
          <w:szCs w:val="18"/>
          <w:color w:val="auto"/>
        </w:rPr>
        <w:t>The following table provides a reconciliation of cash and restricted cash reported within the Unaudited Condensed Consolidated Balance Sheets that aggregate to the total of the same such amounts shown in the Unaudited Condensed Consolidated Statements of Cash Flows:</w:t>
      </w:r>
    </w:p>
    <w:p>
      <w:pPr>
        <w:spacing w:after="0" w:line="264" w:lineRule="exact"/>
        <w:rPr>
          <w:sz w:val="20"/>
          <w:szCs w:val="20"/>
          <w:color w:val="auto"/>
        </w:rPr>
      </w:pPr>
    </w:p>
    <w:tbl>
      <w:tblPr>
        <w:tblLayout w:type="fixed"/>
        <w:tblInd w:w="60" w:type="dxa"/>
        <w:tblCellMar>
          <w:top w:w="0" w:type="dxa"/>
          <w:left w:w="0" w:type="dxa"/>
          <w:bottom w:w="0" w:type="dxa"/>
          <w:right w:w="0" w:type="dxa"/>
        </w:tblCellMar>
      </w:tblPr>
      <w:tr>
        <w:trPr>
          <w:trHeight w:val="220"/>
        </w:trPr>
        <w:tc>
          <w:tcPr>
            <w:tcW w:w="7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60" w:type="dxa"/>
            <w:vAlign w:val="bottom"/>
          </w:tcPr>
          <w:p>
            <w:pPr>
              <w:spacing w:after="0"/>
              <w:rPr>
                <w:sz w:val="19"/>
                <w:szCs w:val="19"/>
                <w:color w:val="auto"/>
              </w:rPr>
            </w:pPr>
          </w:p>
        </w:tc>
        <w:tc>
          <w:tcPr>
            <w:tcW w:w="1560" w:type="dxa"/>
            <w:vAlign w:val="bottom"/>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224"/>
        </w:trPr>
        <w:tc>
          <w:tcPr>
            <w:tcW w:w="7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and restricted cash</w:t>
            </w:r>
          </w:p>
        </w:tc>
        <w:tc>
          <w:tcPr>
            <w:tcW w:w="26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r>
      <w:tr>
        <w:trPr>
          <w:trHeight w:val="228"/>
        </w:trPr>
        <w:tc>
          <w:tcPr>
            <w:tcW w:w="74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Cash</w:t>
            </w: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13,228</w:t>
            </w:r>
          </w:p>
        </w:tc>
        <w:tc>
          <w:tcPr>
            <w:tcW w:w="80" w:type="dxa"/>
            <w:vAlign w:val="bottom"/>
          </w:tcPr>
          <w:p>
            <w:pPr>
              <w:spacing w:after="0"/>
              <w:rPr>
                <w:sz w:val="19"/>
                <w:szCs w:val="19"/>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w:t>
            </w:r>
          </w:p>
        </w:tc>
      </w:tr>
      <w:tr>
        <w:trPr>
          <w:trHeight w:val="240"/>
        </w:trPr>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Restricted cash</w:t>
            </w:r>
          </w:p>
        </w:tc>
        <w:tc>
          <w:tcPr>
            <w:tcW w:w="26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w:t>
            </w:r>
          </w:p>
        </w:tc>
      </w:tr>
      <w:tr>
        <w:trPr>
          <w:trHeight w:val="231"/>
        </w:trPr>
        <w:tc>
          <w:tcPr>
            <w:tcW w:w="7420" w:type="dxa"/>
            <w:vAlign w:val="bottom"/>
          </w:tcPr>
          <w:p>
            <w:pPr>
              <w:spacing w:after="0"/>
              <w:rPr>
                <w:sz w:val="20"/>
                <w:szCs w:val="20"/>
                <w:color w:val="auto"/>
              </w:rPr>
            </w:pPr>
          </w:p>
        </w:tc>
        <w:tc>
          <w:tcPr>
            <w:tcW w:w="2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13,261</w:t>
            </w:r>
          </w:p>
        </w:tc>
        <w:tc>
          <w:tcPr>
            <w:tcW w:w="80" w:type="dxa"/>
            <w:vAlign w:val="bottom"/>
          </w:tcPr>
          <w:p>
            <w:pPr>
              <w:spacing w:after="0"/>
              <w:rPr>
                <w:sz w:val="20"/>
                <w:szCs w:val="20"/>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1,377</w:t>
            </w:r>
          </w:p>
        </w:tc>
      </w:tr>
      <w:tr>
        <w:trPr>
          <w:trHeight w:val="26"/>
        </w:trPr>
        <w:tc>
          <w:tcPr>
            <w:tcW w:w="7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bl>
    <w:p>
      <w:pPr>
        <w:spacing w:after="0" w:line="327" w:lineRule="exact"/>
        <w:rPr>
          <w:sz w:val="20"/>
          <w:szCs w:val="20"/>
          <w:color w:val="auto"/>
        </w:rPr>
      </w:pPr>
    </w:p>
    <w:tbl>
      <w:tblPr>
        <w:tblLayout w:type="fixed"/>
        <w:tblInd w:w="60" w:type="dxa"/>
        <w:tblCellMar>
          <w:top w:w="0" w:type="dxa"/>
          <w:left w:w="0" w:type="dxa"/>
          <w:bottom w:w="0" w:type="dxa"/>
          <w:right w:w="0" w:type="dxa"/>
        </w:tblCellMar>
      </w:tblPr>
      <w:tr>
        <w:trPr>
          <w:trHeight w:val="220"/>
        </w:trPr>
        <w:tc>
          <w:tcPr>
            <w:tcW w:w="74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gridSpan w:val="4"/>
          </w:tcPr>
          <w:p>
            <w:pPr>
              <w:jc w:val="right"/>
              <w:ind w:right="861"/>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31"/>
        </w:trPr>
        <w:tc>
          <w:tcPr>
            <w:tcW w:w="74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81"/>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8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4"/>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8"/>
        </w:trPr>
        <w:tc>
          <w:tcPr>
            <w:tcW w:w="74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Cash paid for interest</w:t>
            </w:r>
          </w:p>
        </w:tc>
        <w:tc>
          <w:tcPr>
            <w:tcW w:w="40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2,818</w:t>
            </w:r>
          </w:p>
        </w:tc>
        <w:tc>
          <w:tcPr>
            <w:tcW w:w="80" w:type="dxa"/>
            <w:vAlign w:val="bottom"/>
          </w:tcPr>
          <w:p>
            <w:pPr>
              <w:spacing w:after="0"/>
              <w:rPr>
                <w:sz w:val="19"/>
                <w:szCs w:val="19"/>
                <w:color w:val="auto"/>
              </w:rPr>
            </w:pPr>
          </w:p>
        </w:tc>
        <w:tc>
          <w:tcPr>
            <w:tcW w:w="42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w:t>
            </w:r>
          </w:p>
        </w:tc>
      </w:tr>
      <w:tr>
        <w:trPr>
          <w:trHeight w:val="246"/>
        </w:trPr>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Cash paid for taxes</w:t>
            </w:r>
          </w:p>
        </w:tc>
        <w:tc>
          <w:tcPr>
            <w:tcW w:w="40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4"/>
        </w:trPr>
        <w:tc>
          <w:tcPr>
            <w:tcW w:w="7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37"/>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4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r>
      <w:tr>
        <w:trPr>
          <w:trHeight w:val="228"/>
        </w:trPr>
        <w:tc>
          <w:tcPr>
            <w:tcW w:w="74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Additions of property and equipment included in accounts payable and accrued expenses</w:t>
            </w:r>
          </w:p>
        </w:tc>
        <w:tc>
          <w:tcPr>
            <w:tcW w:w="40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43,893</w:t>
            </w:r>
          </w:p>
        </w:tc>
        <w:tc>
          <w:tcPr>
            <w:tcW w:w="80" w:type="dxa"/>
            <w:vAlign w:val="bottom"/>
          </w:tcPr>
          <w:p>
            <w:pPr>
              <w:spacing w:after="0"/>
              <w:rPr>
                <w:sz w:val="19"/>
                <w:szCs w:val="19"/>
                <w:color w:val="auto"/>
              </w:rPr>
            </w:pPr>
          </w:p>
        </w:tc>
        <w:tc>
          <w:tcPr>
            <w:tcW w:w="42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42,690</w:t>
            </w:r>
          </w:p>
        </w:tc>
      </w:tr>
      <w:tr>
        <w:trPr>
          <w:trHeight w:val="246"/>
        </w:trPr>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Settlement of vendor liability in Class A Common Stock</w:t>
            </w:r>
          </w:p>
        </w:tc>
        <w:tc>
          <w:tcPr>
            <w:tcW w:w="40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2,245</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8"/>
        </w:trPr>
        <w:tc>
          <w:tcPr>
            <w:tcW w:w="74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Conversion of notes payable, related party notes payable and accrued interest into Class A Common Stock</w:t>
            </w:r>
          </w:p>
        </w:tc>
        <w:tc>
          <w:tcPr>
            <w:tcW w:w="40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35,572</w:t>
            </w:r>
          </w:p>
        </w:tc>
        <w:tc>
          <w:tcPr>
            <w:tcW w:w="80" w:type="dxa"/>
            <w:vAlign w:val="bottom"/>
          </w:tcPr>
          <w:p>
            <w:pPr>
              <w:spacing w:after="0"/>
              <w:rPr>
                <w:sz w:val="19"/>
                <w:szCs w:val="19"/>
                <w:color w:val="auto"/>
              </w:rPr>
            </w:pPr>
          </w:p>
        </w:tc>
        <w:tc>
          <w:tcPr>
            <w:tcW w:w="42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17,240</w:t>
            </w:r>
          </w:p>
        </w:tc>
      </w:tr>
      <w:tr>
        <w:trPr>
          <w:trHeight w:val="246"/>
        </w:trPr>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Issuance of warrants with the SPA Portfolio Notes</w:t>
            </w:r>
          </w:p>
        </w:tc>
        <w:tc>
          <w:tcPr>
            <w:tcW w:w="40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32,328</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28"/>
        </w:trPr>
        <w:tc>
          <w:tcPr>
            <w:tcW w:w="74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SPA Note issuance costs included in accounts payable and accrued expenses</w:t>
            </w:r>
          </w:p>
        </w:tc>
        <w:tc>
          <w:tcPr>
            <w:tcW w:w="40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393</w:t>
            </w:r>
          </w:p>
        </w:tc>
        <w:tc>
          <w:tcPr>
            <w:tcW w:w="80" w:type="dxa"/>
            <w:vAlign w:val="bottom"/>
          </w:tcPr>
          <w:p>
            <w:pPr>
              <w:spacing w:after="0"/>
              <w:rPr>
                <w:sz w:val="19"/>
                <w:szCs w:val="19"/>
                <w:color w:val="auto"/>
              </w:rPr>
            </w:pPr>
          </w:p>
        </w:tc>
        <w:tc>
          <w:tcPr>
            <w:tcW w:w="42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Recognition of right-of use assets and liabilities for new leases and lease modifications</w:t>
            </w:r>
          </w:p>
        </w:tc>
        <w:tc>
          <w:tcPr>
            <w:tcW w:w="40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6,229</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01" w:lineRule="exact"/>
        <w:rPr>
          <w:sz w:val="20"/>
          <w:szCs w:val="20"/>
          <w:color w:val="auto"/>
        </w:rPr>
      </w:pPr>
    </w:p>
    <w:p>
      <w:pPr>
        <w:ind w:left="480" w:hanging="474"/>
        <w:spacing w:after="0"/>
        <w:tabs>
          <w:tab w:leader="none" w:pos="4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 and Organization, Basis of Presentation, and Summary of Significant Accounting Policies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Business and Organization</w:t>
      </w:r>
    </w:p>
    <w:p>
      <w:pPr>
        <w:spacing w:after="0" w:line="140" w:lineRule="exact"/>
        <w:rPr>
          <w:sz w:val="20"/>
          <w:szCs w:val="20"/>
          <w:color w:val="auto"/>
        </w:rPr>
      </w:pPr>
    </w:p>
    <w:p>
      <w:pPr>
        <w:jc w:val="both"/>
        <w:ind w:firstLine="475"/>
        <w:spacing w:after="0" w:line="269" w:lineRule="auto"/>
        <w:rPr>
          <w:sz w:val="20"/>
          <w:szCs w:val="20"/>
          <w:color w:val="auto"/>
        </w:rPr>
      </w:pPr>
      <w:r>
        <w:rPr>
          <w:rFonts w:ascii="Times New Roman" w:cs="Times New Roman" w:eastAsia="Times New Roman" w:hAnsi="Times New Roman"/>
          <w:sz w:val="18"/>
          <w:szCs w:val="18"/>
          <w:color w:val="auto"/>
        </w:rPr>
        <w:t>Unless otherwise stated or the context requires otherwise, references herein to the “Company,” “FFIE,” “FFAI,” “Faraday” “we,” “us,” and “our” mean Faraday Future Intelligent Electric Inc. and its wholly-owned subsidiaries, and controlled and managed entities.</w:t>
      </w:r>
    </w:p>
    <w:p>
      <w:pPr>
        <w:spacing w:after="0" w:line="103" w:lineRule="exact"/>
        <w:rPr>
          <w:sz w:val="20"/>
          <w:szCs w:val="20"/>
          <w:color w:val="auto"/>
        </w:rPr>
      </w:pPr>
    </w:p>
    <w:p>
      <w:pPr>
        <w:jc w:val="both"/>
        <w:ind w:firstLine="475"/>
        <w:spacing w:after="0" w:line="269" w:lineRule="auto"/>
        <w:rPr>
          <w:sz w:val="20"/>
          <w:szCs w:val="20"/>
          <w:color w:val="auto"/>
        </w:rPr>
      </w:pPr>
      <w:r>
        <w:rPr>
          <w:rFonts w:ascii="Times New Roman" w:cs="Times New Roman" w:eastAsia="Times New Roman" w:hAnsi="Times New Roman"/>
          <w:sz w:val="18"/>
          <w:szCs w:val="18"/>
          <w:color w:val="auto"/>
        </w:rPr>
        <w:t>The Company is a holding company incorporated in the State of Delaware on February 11, 2020, conducts its operations through its subsidiaries and is headquartered in 18455 S. Figueroa Street, Gardena, CA 90248.</w:t>
      </w:r>
    </w:p>
    <w:p>
      <w:pPr>
        <w:spacing w:after="0" w:line="90"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The Company operates in a single operating segment and designs and engineers next-generation, intelligent, electric vehicles. The Company manufactures its vehicles at its production facility in Hanford, California, known as “FF ieFactory California” and has additional engineering, sales, and operations capabilities in China. The Company has created innovations in technology, products, and a user-centered business model that are being incorporated into its planned electric vehicle platform.</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53" w:lineRule="exact"/>
        <w:rPr>
          <w:sz w:val="20"/>
          <w:szCs w:val="20"/>
          <w:color w:val="auto"/>
        </w:rPr>
      </w:pPr>
    </w:p>
    <w:p>
      <w:pPr>
        <w:jc w:val="both"/>
        <w:ind w:firstLine="475"/>
        <w:spacing w:after="0" w:line="236" w:lineRule="auto"/>
        <w:rPr>
          <w:sz w:val="20"/>
          <w:szCs w:val="20"/>
          <w:color w:val="auto"/>
        </w:rPr>
      </w:pPr>
      <w:r>
        <w:rPr>
          <w:rFonts w:ascii="Times New Roman" w:cs="Times New Roman" w:eastAsia="Times New Roman" w:hAnsi="Times New Roman"/>
          <w:sz w:val="18"/>
          <w:szCs w:val="18"/>
          <w:color w:val="auto"/>
        </w:rPr>
        <w:t xml:space="preserve">The Unaudited Condensed Consolidated Financial Statements have been prepared in conformity with accounting principles generally accepted in the U.S. (“GAAP”) and include the accounts of the Company, its wholly-owned subsidiaries and all other entities in which the Company has a controlling financial interest, including the accounts of any variable interest entity, in which the Company has a controlling financial interest and for which it is the primary beneficiary in accordance with Accounting Standards Codification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(“ASC 810”). All intercompany transactions and balances have been eliminated upon consolidation.</w:t>
      </w:r>
    </w:p>
    <w:p>
      <w:pPr>
        <w:spacing w:after="0" w:line="130" w:lineRule="exact"/>
        <w:rPr>
          <w:sz w:val="20"/>
          <w:szCs w:val="20"/>
          <w:color w:val="auto"/>
        </w:rPr>
      </w:pPr>
    </w:p>
    <w:p>
      <w:pPr>
        <w:jc w:val="both"/>
        <w:ind w:firstLine="475"/>
        <w:spacing w:after="0" w:line="248" w:lineRule="auto"/>
        <w:rPr>
          <w:sz w:val="20"/>
          <w:szCs w:val="20"/>
          <w:color w:val="auto"/>
        </w:rPr>
      </w:pPr>
      <w:r>
        <w:rPr>
          <w:rFonts w:ascii="Times New Roman" w:cs="Times New Roman" w:eastAsia="Times New Roman" w:hAnsi="Times New Roman"/>
          <w:sz w:val="18"/>
          <w:szCs w:val="18"/>
          <w:color w:val="auto"/>
        </w:rPr>
        <w:t xml:space="preserve">These Unaudited Condensed Consolidated Financial Statements do not include all disclosures that are normally included in the Annual audited financial statements prepared in accordance with GAAP and should be read in conjunction with the Company’s Audited Consolidated Financial Statements and notes thereto for the year ended December 31, 2024, included in the Company’s Annual Report on Form 10-K filed with the U.S. Securities and Exchange Commission (“SEC”) on March 31, 2025, (the “Form 10-K”). Accordingly, the Unaudited Condensed Consolidated Balance Sheet as of June 30, 2025, has been derived from the Company’s Annual audited Consolidated Financial Statements but does not contain all of the footnote disclosures from the annual financial statements. The Company believes that the disclosures included in this Quarterly Report on </w:t>
      </w:r>
      <w:r>
        <w:rPr>
          <w:rFonts w:ascii="Times New Roman" w:cs="Times New Roman" w:eastAsia="Times New Roman" w:hAnsi="Times New Roman"/>
          <w:sz w:val="15"/>
          <w:szCs w:val="15"/>
          <w:color w:val="auto"/>
        </w:rPr>
        <w:t>Form 10-Q</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5"/>
          <w:szCs w:val="15"/>
          <w:color w:val="auto"/>
        </w:rPr>
        <w:t>Form 10-Q</w:t>
      </w:r>
      <w:r>
        <w:rPr>
          <w:rFonts w:ascii="Times New Roman" w:cs="Times New Roman" w:eastAsia="Times New Roman" w:hAnsi="Times New Roman"/>
          <w:sz w:val="18"/>
          <w:szCs w:val="18"/>
          <w:color w:val="auto"/>
        </w:rPr>
        <w:t>”) are adequate to make the information presented not misleading.</w:t>
      </w:r>
    </w:p>
    <w:p>
      <w:pPr>
        <w:spacing w:after="0" w:line="112"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In the opinion of management, the Unaudited Condensed Consolidated Financial Statements contain all adjustments, consisting of only normal recurring adjustments, necessary for a fair statement of its financial position, results of operations, and cash flows for the periods presented. The accounting policies used in the preparation of these Unaudited Condensed Consolidated Financial Statements are the same as those disclosed in the audited Consolidated Financial Statement for the year ended December 31, 2024, included in the Form 10-K, except as described below.</w:t>
      </w:r>
    </w:p>
    <w:p>
      <w:pPr>
        <w:spacing w:after="0" w:line="116" w:lineRule="exact"/>
        <w:rPr>
          <w:sz w:val="20"/>
          <w:szCs w:val="20"/>
          <w:color w:val="auto"/>
        </w:rPr>
      </w:pPr>
    </w:p>
    <w:p>
      <w:pPr>
        <w:jc w:val="both"/>
        <w:ind w:firstLine="475"/>
        <w:spacing w:after="0" w:line="269" w:lineRule="auto"/>
        <w:rPr>
          <w:sz w:val="20"/>
          <w:szCs w:val="20"/>
          <w:color w:val="auto"/>
        </w:rPr>
      </w:pPr>
      <w:r>
        <w:rPr>
          <w:rFonts w:ascii="Times New Roman" w:cs="Times New Roman" w:eastAsia="Times New Roman" w:hAnsi="Times New Roman"/>
          <w:sz w:val="18"/>
          <w:szCs w:val="18"/>
          <w:color w:val="auto"/>
        </w:rPr>
        <w:t>Our annual reporting period is the calendar year. The results of operations for the three and six months ended June 30, 2025 are not necessarily indicative of the results to be expected for the 2025 full year or any future periods.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 and Judgments</w:t>
      </w:r>
    </w:p>
    <w:p>
      <w:pPr>
        <w:spacing w:after="0" w:line="151" w:lineRule="exact"/>
        <w:rPr>
          <w:sz w:val="20"/>
          <w:szCs w:val="20"/>
          <w:color w:val="auto"/>
        </w:rPr>
      </w:pPr>
    </w:p>
    <w:p>
      <w:pPr>
        <w:jc w:val="both"/>
        <w:ind w:firstLine="475"/>
        <w:spacing w:after="0" w:line="241" w:lineRule="auto"/>
        <w:rPr>
          <w:sz w:val="20"/>
          <w:szCs w:val="20"/>
          <w:color w:val="auto"/>
        </w:rPr>
      </w:pPr>
      <w:r>
        <w:rPr>
          <w:rFonts w:ascii="Times New Roman" w:cs="Times New Roman" w:eastAsia="Times New Roman" w:hAnsi="Times New Roman"/>
          <w:sz w:val="18"/>
          <w:szCs w:val="18"/>
          <w:color w:val="auto"/>
        </w:rPr>
        <w:t>The preparation of the Company’s Unaudited Condensed Consolidated Financial Statements in conformity with GAAP and in accordance with the rules and regulations of the SEC requires management to make estimates and assumptions which affect the reported amounts in the Unaudited Condensed Consolidated Financial Statements.</w:t>
      </w:r>
    </w:p>
    <w:p>
      <w:pPr>
        <w:spacing w:after="0" w:line="141" w:lineRule="exact"/>
        <w:rPr>
          <w:sz w:val="20"/>
          <w:szCs w:val="20"/>
          <w:color w:val="auto"/>
        </w:rPr>
      </w:pPr>
    </w:p>
    <w:p>
      <w:pPr>
        <w:jc w:val="both"/>
        <w:ind w:firstLine="475"/>
        <w:spacing w:after="0" w:line="249" w:lineRule="auto"/>
        <w:rPr>
          <w:sz w:val="20"/>
          <w:szCs w:val="20"/>
          <w:color w:val="auto"/>
        </w:rPr>
      </w:pPr>
      <w:r>
        <w:rPr>
          <w:rFonts w:ascii="Times New Roman" w:cs="Times New Roman" w:eastAsia="Times New Roman" w:hAnsi="Times New Roman"/>
          <w:sz w:val="18"/>
          <w:szCs w:val="18"/>
          <w:color w:val="auto"/>
        </w:rPr>
        <w:t>Estimates are based on historical experience, where applicable, and other assumptions which management believes are reasonable under the circumstances. On an ongoing basis management evaluates its estimates, including those related to the: (i) recognition and disclosure of contingent liabilities, including litigation reserves; (ii) fair value of related party notes payable and notes payable; (iii) calculations for evaluating potential long-term asset impairment; and (iv) valuation of warrants and other derivative instruments. Such estimates often require the selection of appropriate valuation methodologies and financial models and may involve significant judgment in evaluating ranges of assumptions and financial inputs. Actual results may differ from those estimates under different assumptions, financial inputs, or circumstances.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03" w:lineRule="exact"/>
        <w:rPr>
          <w:sz w:val="20"/>
          <w:szCs w:val="20"/>
          <w:color w:val="auto"/>
        </w:rPr>
      </w:pPr>
    </w:p>
    <w:p>
      <w:pPr>
        <w:jc w:val="both"/>
        <w:ind w:firstLine="475"/>
        <w:spacing w:after="0" w:line="249" w:lineRule="auto"/>
        <w:rPr>
          <w:sz w:val="20"/>
          <w:szCs w:val="20"/>
          <w:color w:val="auto"/>
        </w:rPr>
      </w:pPr>
      <w:r>
        <w:rPr>
          <w:rFonts w:ascii="Times New Roman" w:cs="Times New Roman" w:eastAsia="Times New Roman" w:hAnsi="Times New Roman"/>
          <w:sz w:val="18"/>
          <w:szCs w:val="18"/>
          <w:color w:val="auto"/>
        </w:rPr>
        <w:t>Given the global economic climate, estimates are subject to additional volatility. As of the date of filing the Company’s Unaudited Condensed Consolidated Financial Statements on this Form 10-Q with the SEC for the period ended June 30, 2025, the Company is not aware of any specific event or circumstance that would require an update to its estimates or judgments or to revise the carrying value of its assets or liabilities. However, these estimates and judgments may change as new events occur and additional information is obtained, which may result in changes being recognized in the Company’s Unaudited Condensed Consolidated Financial Statements in future periods. Actual results could differ from those estimates and any such differences may have a material impact on the Company’s Unaudited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Interest Entity</w:t>
      </w:r>
    </w:p>
    <w:p>
      <w:pPr>
        <w:spacing w:after="0" w:line="138"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In accordance with ASC Topic 810, Consolidation (“ASC 810”), the Company assesses whether it has a variable interest in legal entities in which it has a financial relationship and, if so, whether or not those entities are variable interest entities (“VIEs”). For those entities that qualify as VIEs, ASC 810 requires the Company to determine if the Company is the primary beneficiary of the VIE, and if so, to consolidate the VIE.</w:t>
      </w:r>
    </w:p>
    <w:p>
      <w:pPr>
        <w:spacing w:after="0" w:line="113"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Faraday X AIEV Hong Kong Holding Limited (“FXHK”) is a company incorporated under the laws of the Hong Kong Special Administrative Region of the People’s Republic of China. As a subsidiary, FXHK is responsible for executing the FX strategy and driving the success of the FX brand. On March 31, 2025, the Company transferred 6,000 shares, representing 60% of the issued share capital of FXHK, to Xiao Ma, the CEO of Faraday X and an employee of the Company. The Company continues to hold the remaining 40% of the issued shares of FXHK.</w:t>
      </w:r>
    </w:p>
    <w:p>
      <w:pPr>
        <w:spacing w:after="0" w:line="103" w:lineRule="exact"/>
        <w:rPr>
          <w:sz w:val="20"/>
          <w:szCs w:val="20"/>
          <w:color w:val="auto"/>
        </w:rPr>
      </w:pPr>
    </w:p>
    <w:p>
      <w:pPr>
        <w:jc w:val="both"/>
        <w:ind w:firstLine="475"/>
        <w:spacing w:after="0" w:line="249" w:lineRule="auto"/>
        <w:rPr>
          <w:sz w:val="20"/>
          <w:szCs w:val="20"/>
          <w:color w:val="auto"/>
        </w:rPr>
      </w:pPr>
      <w:r>
        <w:rPr>
          <w:rFonts w:ascii="Times New Roman" w:cs="Times New Roman" w:eastAsia="Times New Roman" w:hAnsi="Times New Roman"/>
          <w:sz w:val="18"/>
          <w:szCs w:val="18"/>
          <w:color w:val="auto"/>
        </w:rPr>
        <w:t>The Company consolidates FXHK pursuant to the VIE provisions of ASC 810. FXHK was established with nominal capital and is dependent on the Company to support its activities to develop, market, and sell the Company's FX brand. The Company is the primary beneficiary of the FXHK entity as it has the power to direct the activities that most significantly impact FXHK's economic performance. Through various agreements executed with Mr. Ma, along with Mr. Ma's status as an employee of the Company, the Company is able to exercise sole control over stockholder decisions and maintains the unilateral right to remove Mr. Ma from his position as the majority stockholder. The Company is entitled to substantially all of the benefits and bears all of the risks associated with FXHK through a combination of equity ownership and contractual arrangements.</w:t>
      </w:r>
    </w:p>
    <w:p>
      <w:pPr>
        <w:spacing w:after="0" w:line="123" w:lineRule="exact"/>
        <w:rPr>
          <w:sz w:val="20"/>
          <w:szCs w:val="20"/>
          <w:color w:val="auto"/>
        </w:rPr>
      </w:pPr>
    </w:p>
    <w:p>
      <w:pPr>
        <w:jc w:val="both"/>
        <w:ind w:firstLine="475"/>
        <w:spacing w:after="0" w:line="269" w:lineRule="auto"/>
        <w:rPr>
          <w:sz w:val="20"/>
          <w:szCs w:val="20"/>
          <w:color w:val="auto"/>
        </w:rPr>
      </w:pPr>
      <w:r>
        <w:rPr>
          <w:rFonts w:ascii="Times New Roman" w:cs="Times New Roman" w:eastAsia="Times New Roman" w:hAnsi="Times New Roman"/>
          <w:sz w:val="18"/>
          <w:szCs w:val="18"/>
          <w:color w:val="auto"/>
        </w:rPr>
        <w:t>The assets and liabilities of FXHK are carried at their historical cost in the Company's unaudited condensed consolidated balance sheets as the Company has had control over FXHK since its inception.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Reverse Stock Splits and Recasting of Per-Share Amounts</w:t>
      </w:r>
    </w:p>
    <w:p>
      <w:pPr>
        <w:spacing w:after="0" w:line="164"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On August 4, 2024, the Board approved the implementation of a 1-for-40 reverse stock split (the “Third Reverse Stock Split”) of the Common Stock and set the number of authorized shares of Common Stock to 104,245,313. The Third Reverse Stock Split was effected after market close on August 16, 2024, and shares of the Class A Common Stock par value $0.0001 per share and the Public Warrants began trading on a split-adjusted basis as of market open on August 19, 2024.</w:t>
      </w:r>
    </w:p>
    <w:p>
      <w:pPr>
        <w:spacing w:after="0" w:line="130"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 xml:space="preserve">All shares of Common Stock, Public Warrants, stock-based compensation awards, and per share amounts contained in the Unaudited Condensed Consolidated Financial Statements and accompanying notes have been retroactively adjusted to reflect the Company’s historical reverse stock splits. In addition, proportionate adjustments were made to the number of shares of Class A Common Stock issuable upon exercise or conversion of the Company’s outstanding convertible debt securities and warrants, as well as the applicable exercise or conversion prices. See Note 12,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xml:space="preserve">, and Note 13,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for further discussion regarding the historical reverse stock splits.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Segments</w:t>
      </w:r>
    </w:p>
    <w:p>
      <w:pPr>
        <w:spacing w:after="0" w:line="151" w:lineRule="exact"/>
        <w:rPr>
          <w:sz w:val="20"/>
          <w:szCs w:val="20"/>
          <w:color w:val="auto"/>
        </w:rPr>
      </w:pPr>
    </w:p>
    <w:p>
      <w:pPr>
        <w:jc w:val="both"/>
        <w:ind w:firstLine="443"/>
        <w:spacing w:after="0" w:line="236" w:lineRule="auto"/>
        <w:rPr>
          <w:sz w:val="20"/>
          <w:szCs w:val="20"/>
          <w:color w:val="auto"/>
        </w:rPr>
      </w:pPr>
      <w:r>
        <w:rPr>
          <w:rFonts w:ascii="Times New Roman" w:cs="Times New Roman" w:eastAsia="Times New Roman" w:hAnsi="Times New Roman"/>
          <w:sz w:val="18"/>
          <w:szCs w:val="18"/>
          <w:color w:val="auto"/>
        </w:rPr>
        <w:t>The Company operates in a single operating and reportable segment. Through August 12, 2025, the Company’s two Global Co-Chief Executive Officers (“Global Co-CEOs”), acting jointly serving as Co-Chief Operating Decision Makers (“CODMs”), and regularly evaluated the Company’s financial performance using consolidated financial information at the total-company level including consolidated loss from operations, cash flows, liquidity, and strategic initiatives. Effective August 13, 2025, in connection with temporary governance adjustments approved by the Board, Mr. Matthias Aydt serves as the Company’s sole CODM for purposes of ASC 280 (see Note 16).</w:t>
      </w:r>
    </w:p>
    <w:p>
      <w:pPr>
        <w:spacing w:after="0" w:line="117" w:lineRule="exact"/>
        <w:rPr>
          <w:sz w:val="20"/>
          <w:szCs w:val="20"/>
          <w:color w:val="auto"/>
        </w:rPr>
      </w:pPr>
    </w:p>
    <w:p>
      <w:pPr>
        <w:jc w:val="both"/>
        <w:ind w:firstLine="475"/>
        <w:spacing w:after="0" w:line="294" w:lineRule="auto"/>
        <w:rPr>
          <w:sz w:val="20"/>
          <w:szCs w:val="20"/>
          <w:color w:val="auto"/>
        </w:rPr>
      </w:pPr>
      <w:r>
        <w:rPr>
          <w:rFonts w:ascii="Times New Roman" w:cs="Times New Roman" w:eastAsia="Times New Roman" w:hAnsi="Times New Roman"/>
          <w:sz w:val="16"/>
          <w:szCs w:val="16"/>
          <w:color w:val="auto"/>
        </w:rPr>
        <w:t>Management has identified Loss from operations, as presented in the Company's Unaudited Condensed Consolidated Statements of Operations and Comprehensive Loss, as the primary measure used by the CODMs to evaluate the performance of the business and allocate resources. This measure is critical for a going concern that must carefully manage its cash outflows, particularly given that the timing of its cash inflows is influenced by external investor decisions. The Company defines “significant segment expense” as controllable operating costs that are regularly provided to and reviewed by management,</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0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which include the expenses presented in the Unaudited Condensed Consolidated Statements of Operations and Comprehensive Loss as Cost of revenue, Research and development, Sales and marketing, and General and administrative.</w:t>
      </w:r>
    </w:p>
    <w:p>
      <w:pPr>
        <w:spacing w:after="0" w:line="65" w:lineRule="exact"/>
        <w:rPr>
          <w:sz w:val="20"/>
          <w:szCs w:val="20"/>
          <w:color w:val="auto"/>
        </w:rPr>
      </w:pPr>
    </w:p>
    <w:p>
      <w:pPr>
        <w:jc w:val="both"/>
        <w:ind w:firstLine="475"/>
        <w:spacing w:after="0" w:line="220" w:lineRule="exact"/>
        <w:rPr>
          <w:sz w:val="20"/>
          <w:szCs w:val="20"/>
          <w:color w:val="auto"/>
        </w:rPr>
      </w:pPr>
      <w:r>
        <w:rPr>
          <w:rFonts w:ascii="Times New Roman" w:cs="Times New Roman" w:eastAsia="Times New Roman" w:hAnsi="Times New Roman"/>
          <w:sz w:val="18"/>
          <w:szCs w:val="18"/>
          <w:color w:val="auto"/>
        </w:rPr>
        <w:t>Management closely tracks its expenditure on these key expense categories through regular reviews of cash balances, near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cash flow projections, monthly management reports, and project management reports. The CODMs, work in close collaboration with the Company’s business leaders to establish critical operational targets, set project timelines, and adjust spending plans. These leaders are responsible for implementing its strategic plans and revising targets and deadlines based on continuous internal communications and review meetings, thereby ensuring that any deviations from target spending or project timelines are promptly addressed. This rigorous oversight supports the Company’s strategic objectives to focus business activities on production, sales, and leasing of its FF 91 vehicles, and the planned launch of the FX Series vehicles.</w:t>
      </w:r>
    </w:p>
    <w:p>
      <w:pPr>
        <w:spacing w:after="0" w:line="117" w:lineRule="exact"/>
        <w:rPr>
          <w:sz w:val="20"/>
          <w:szCs w:val="20"/>
          <w:color w:val="auto"/>
        </w:rPr>
      </w:pPr>
    </w:p>
    <w:p>
      <w:pPr>
        <w:jc w:val="both"/>
        <w:ind w:firstLine="475"/>
        <w:spacing w:after="0" w:line="214" w:lineRule="exact"/>
        <w:rPr>
          <w:sz w:val="20"/>
          <w:szCs w:val="20"/>
          <w:color w:val="auto"/>
        </w:rPr>
      </w:pPr>
      <w:r>
        <w:rPr>
          <w:rFonts w:ascii="Times New Roman" w:cs="Times New Roman" w:eastAsia="Times New Roman" w:hAnsi="Times New Roman"/>
          <w:sz w:val="18"/>
          <w:szCs w:val="18"/>
          <w:color w:val="auto"/>
        </w:rPr>
        <w:t>In addition, the Company defines “other segment items” as other operating expense adjustments that arise from lease or other impairments, gains and losses on the sale or disposition of its fixed assets, or other market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driven factors that impact Loss from operations presented in the Unaudited Condensed Consolidated Statements of Operations and Comprehensive Loss and are not part of the Company’s recurring and controllable operating costs. By segregating these “Other Segment Items” from “Loss from operations,” the Company provides investors with a clear view of the expenses that management can directly influence versus those driven by external factors.</w:t>
      </w:r>
    </w:p>
    <w:p>
      <w:pPr>
        <w:spacing w:after="0" w:line="131"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Other potentially reportable items, such as separate automotive sales and leasing revenues (currently immaterial), geographic information, depreciation expense, interest expense, or other segment-specific activities, are not separately reviewed by the CODMs. Accordingly, these detailed segment components do not influence the CODMs’ decision-making or resource allocation processes and thus are not separately disclosed.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138" w:lineRule="exact"/>
        <w:rPr>
          <w:sz w:val="20"/>
          <w:szCs w:val="20"/>
          <w:color w:val="auto"/>
        </w:rPr>
      </w:pPr>
    </w:p>
    <w:p>
      <w:pPr>
        <w:jc w:val="both"/>
        <w:ind w:firstLine="475"/>
        <w:spacing w:after="0" w:line="250" w:lineRule="auto"/>
        <w:rPr>
          <w:sz w:val="20"/>
          <w:szCs w:val="20"/>
          <w:color w:val="auto"/>
        </w:rPr>
      </w:pPr>
      <w:r>
        <w:rPr>
          <w:rFonts w:ascii="Times New Roman" w:cs="Times New Roman" w:eastAsia="Times New Roman" w:hAnsi="Times New Roman"/>
          <w:sz w:val="18"/>
          <w:szCs w:val="18"/>
          <w:color w:val="auto"/>
        </w:rPr>
        <w:t>Inventory is stated at the lower of cost or net realizable value and consists of raw materials, work in progress, and finished goods. The Company primarily computes cost using standard cost, which approximates cost on the first-in, first-out basis. Net realizable value is the estimated selling price of inventory in the ordinary course of business, less reasonably predictable costs of completion, disposal, and transportation. The Company assesses the valuation of inventory and periodically adjusts its value for estimated excess and obsolete inventory based upon expectations of future demand and market conditions, as well as damaged or otherwise impaired goods.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Plant and Equipment, Net</w:t>
      </w:r>
    </w:p>
    <w:p>
      <w:pPr>
        <w:spacing w:after="0" w:line="164"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Property, plant and equipment are stated at cost less accumulated depreciation and amortization. Expenditures for major renewals and betterments are capitalized, while minor replacements, maintenance and repairs, which do not extend the assets lives, are charged to operating expense as incurred. Upon sale or disposition, the cost and related accumulated depreciation or amortization are removed from the Unaudited Condensed Consolidated Balance Sheets and any gain or loss is included in the Unaudited Condensed Consolidated Statements of Operations and Comprehensive Loss.</w:t>
      </w:r>
    </w:p>
    <w:p>
      <w:pPr>
        <w:spacing w:after="0" w:line="130" w:lineRule="exact"/>
        <w:rPr>
          <w:sz w:val="20"/>
          <w:szCs w:val="20"/>
          <w:color w:val="auto"/>
        </w:rPr>
      </w:pPr>
    </w:p>
    <w:p>
      <w:pPr>
        <w:jc w:val="both"/>
        <w:ind w:firstLine="475"/>
        <w:spacing w:after="0" w:line="269" w:lineRule="auto"/>
        <w:rPr>
          <w:sz w:val="20"/>
          <w:szCs w:val="20"/>
          <w:color w:val="auto"/>
        </w:rPr>
      </w:pPr>
      <w:r>
        <w:rPr>
          <w:rFonts w:ascii="Times New Roman" w:cs="Times New Roman" w:eastAsia="Times New Roman" w:hAnsi="Times New Roman"/>
          <w:sz w:val="18"/>
          <w:szCs w:val="18"/>
          <w:color w:val="auto"/>
        </w:rPr>
        <w:t>Depreciation and amortization on property and equipment is calculated using the straight-line method over the estimated useful lives of the assets and for leasehold improvements, over the term of the lease, if shorter.</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9160" w:type="dxa"/>
            <w:vAlign w:val="bottom"/>
          </w:tcPr>
          <w:p>
            <w:pPr>
              <w:spacing w:after="0"/>
              <w:rPr>
                <w:sz w:val="17"/>
                <w:szCs w:val="17"/>
                <w:color w:val="auto"/>
              </w:rPr>
            </w:pPr>
          </w:p>
        </w:tc>
        <w:tc>
          <w:tcPr>
            <w:tcW w:w="2080" w:type="dxa"/>
            <w:vAlign w:val="bottom"/>
          </w:tcPr>
          <w:p>
            <w:pPr>
              <w:ind w:left="640"/>
              <w:spacing w:after="0"/>
              <w:rPr>
                <w:sz w:val="20"/>
                <w:szCs w:val="20"/>
                <w:color w:val="auto"/>
              </w:rPr>
            </w:pPr>
            <w:r>
              <w:rPr>
                <w:rFonts w:ascii="Times New Roman" w:cs="Times New Roman" w:eastAsia="Times New Roman" w:hAnsi="Times New Roman"/>
                <w:sz w:val="16"/>
                <w:szCs w:val="16"/>
                <w:b w:val="1"/>
                <w:bCs w:val="1"/>
                <w:color w:val="auto"/>
              </w:rPr>
              <w:t>Useful Life</w:t>
            </w:r>
          </w:p>
        </w:tc>
      </w:tr>
      <w:tr>
        <w:trPr>
          <w:trHeight w:val="220"/>
        </w:trPr>
        <w:tc>
          <w:tcPr>
            <w:tcW w:w="9160" w:type="dxa"/>
            <w:vAlign w:val="bottom"/>
            <w:tcBorders>
              <w:bottom w:val="single" w:sz="8" w:color="CCEEFF"/>
            </w:tcBorders>
          </w:tcPr>
          <w:p>
            <w:pPr>
              <w:spacing w:after="0"/>
              <w:rPr>
                <w:sz w:val="19"/>
                <w:szCs w:val="19"/>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years)</w:t>
            </w:r>
          </w:p>
        </w:tc>
      </w:tr>
      <w:tr>
        <w:trPr>
          <w:trHeight w:val="237"/>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Buildings</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39</w:t>
            </w:r>
          </w:p>
        </w:tc>
      </w:tr>
      <w:tr>
        <w:trPr>
          <w:trHeight w:val="228"/>
        </w:trPr>
        <w:tc>
          <w:tcPr>
            <w:tcW w:w="9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Building improvements</w:t>
            </w: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w:t>
            </w:r>
          </w:p>
        </w:tc>
      </w:tr>
      <w:tr>
        <w:trPr>
          <w:trHeight w:val="246"/>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 hardware</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w:t>
            </w:r>
          </w:p>
        </w:tc>
      </w:tr>
      <w:tr>
        <w:trPr>
          <w:trHeight w:val="228"/>
        </w:trPr>
        <w:tc>
          <w:tcPr>
            <w:tcW w:w="9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Tooling, machinery, and equipment</w:t>
            </w: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5 to 10</w:t>
            </w:r>
          </w:p>
        </w:tc>
      </w:tr>
      <w:tr>
        <w:trPr>
          <w:trHeight w:val="246"/>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Vehicles</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w:t>
            </w:r>
          </w:p>
        </w:tc>
      </w:tr>
      <w:tr>
        <w:trPr>
          <w:trHeight w:val="228"/>
        </w:trPr>
        <w:tc>
          <w:tcPr>
            <w:tcW w:w="9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 vehicles</w:t>
            </w: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w:t>
            </w:r>
          </w:p>
        </w:tc>
      </w:tr>
      <w:tr>
        <w:trPr>
          <w:trHeight w:val="246"/>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 software</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w:t>
            </w:r>
          </w:p>
        </w:tc>
      </w:tr>
      <w:tr>
        <w:trPr>
          <w:trHeight w:val="210"/>
        </w:trPr>
        <w:tc>
          <w:tcPr>
            <w:tcW w:w="9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Shorter of 15 years or</w:t>
            </w:r>
          </w:p>
        </w:tc>
      </w:tr>
      <w:tr>
        <w:trPr>
          <w:trHeight w:val="207"/>
        </w:trPr>
        <w:tc>
          <w:tcPr>
            <w:tcW w:w="916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term of the lease</w:t>
            </w:r>
          </w:p>
        </w:tc>
      </w:tr>
    </w:tbl>
    <w:p>
      <w:pPr>
        <w:spacing w:after="0" w:line="237" w:lineRule="exact"/>
        <w:rPr>
          <w:sz w:val="20"/>
          <w:szCs w:val="20"/>
          <w:color w:val="auto"/>
        </w:rPr>
      </w:pPr>
    </w:p>
    <w:p>
      <w:pPr>
        <w:jc w:val="both"/>
        <w:ind w:firstLine="475"/>
        <w:spacing w:after="0" w:line="269" w:lineRule="auto"/>
        <w:rPr>
          <w:sz w:val="20"/>
          <w:szCs w:val="20"/>
          <w:color w:val="auto"/>
        </w:rPr>
      </w:pPr>
      <w:r>
        <w:rPr>
          <w:rFonts w:ascii="Times New Roman" w:cs="Times New Roman" w:eastAsia="Times New Roman" w:hAnsi="Times New Roman"/>
          <w:sz w:val="18"/>
          <w:szCs w:val="18"/>
          <w:color w:val="auto"/>
        </w:rPr>
        <w:t>Construction in process (“CIP”) consists of the construction activities related to the FF ieFactory California production facility in plant and tooling, machinery and equipment being built to serve the manufacturing of production vehicles. These assets are depreciated once put into service.</w:t>
      </w:r>
    </w:p>
    <w:p>
      <w:pPr>
        <w:spacing w:after="0" w:line="90"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The amounts capitalized in CIP that are held at vendor sites relate to the completed portion of work-in-progress of tooling, machinery and equipment built based on the Company’s specific needs. The Company may incur storage fees or interest fees related to CIP which are expensed as incurred. CIP is presented within Property, Plant, and Equipment, Net in the Unaudited Condensed Consolidated Balance Sheets.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151" w:lineRule="exact"/>
        <w:rPr>
          <w:sz w:val="20"/>
          <w:szCs w:val="20"/>
          <w:color w:val="auto"/>
        </w:rPr>
      </w:pPr>
    </w:p>
    <w:p>
      <w:pPr>
        <w:jc w:val="both"/>
        <w:ind w:firstLine="475"/>
        <w:spacing w:after="0" w:line="248" w:lineRule="auto"/>
        <w:rPr>
          <w:sz w:val="20"/>
          <w:szCs w:val="20"/>
          <w:color w:val="auto"/>
        </w:rPr>
      </w:pPr>
      <w:r>
        <w:rPr>
          <w:rFonts w:ascii="Times New Roman" w:cs="Times New Roman" w:eastAsia="Times New Roman" w:hAnsi="Times New Roman"/>
          <w:sz w:val="18"/>
          <w:szCs w:val="18"/>
          <w:color w:val="auto"/>
        </w:rPr>
        <w:t>The Company reviews its long-lived assets, consisting primarily of property and equipment and right-of-use assets (“ROU”), for impairment whenever events or changes in circumstances indicate that the carrying amount of an asset (or asset groups) may not be recoverable. The Company performs impairment testing at the asset group level that represents the lowest level for which identifiable cash flows are largely independent of the cash flows of other assets and liabilities. Recoverability of these assets is determined by comparing the forecasted undiscounted cash flows attributable to such assets, including any cash flows upon their eventual disposition, to the assets carrying values. If the carrying value of the assets exceeds the forecasted undiscounted cash flows, then the assets are written down to their fair value. Assets classified as held for sale are also assessed for impairment and such amounts are determined at the lower of the carrying amount or fair value, less costs to sell the asset.</w:t>
      </w:r>
    </w:p>
    <w:p>
      <w:pPr>
        <w:spacing w:after="0" w:line="110" w:lineRule="exact"/>
        <w:rPr>
          <w:sz w:val="20"/>
          <w:szCs w:val="20"/>
          <w:color w:val="auto"/>
        </w:rPr>
      </w:pPr>
    </w:p>
    <w:p>
      <w:pPr>
        <w:jc w:val="both"/>
        <w:ind w:firstLine="475"/>
        <w:spacing w:after="0" w:line="272" w:lineRule="auto"/>
        <w:rPr>
          <w:sz w:val="20"/>
          <w:szCs w:val="20"/>
          <w:color w:val="auto"/>
        </w:rPr>
      </w:pPr>
      <w:r>
        <w:rPr>
          <w:rFonts w:ascii="Times New Roman" w:cs="Times New Roman" w:eastAsia="Times New Roman" w:hAnsi="Times New Roman"/>
          <w:sz w:val="18"/>
          <w:szCs w:val="18"/>
          <w:color w:val="auto"/>
        </w:rPr>
        <w:t xml:space="preserve">During 2024, the Company recorded an impairment charge related to its right-of-use assets. See Note 10,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for further details. No other impairment charges for long-lived assets were recorded during the six months ended June 30, 2025.</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5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disaggregates our revenue by major source: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5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6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Six Months Ended June 30,</w:t>
            </w:r>
          </w:p>
        </w:tc>
        <w:tc>
          <w:tcPr>
            <w:tcW w:w="1220" w:type="dxa"/>
            <w:vAlign w:val="bottom"/>
            <w:tcBorders>
              <w:bottom w:val="single" w:sz="8" w:color="auto"/>
            </w:tcBorders>
          </w:tcPr>
          <w:p>
            <w:pPr>
              <w:spacing w:after="0"/>
              <w:rPr>
                <w:sz w:val="19"/>
                <w:szCs w:val="19"/>
                <w:color w:val="auto"/>
              </w:rPr>
            </w:pPr>
          </w:p>
        </w:tc>
      </w:tr>
      <w:tr>
        <w:trPr>
          <w:trHeight w:val="231"/>
        </w:trPr>
        <w:tc>
          <w:tcPr>
            <w:tcW w:w="2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821"/>
              <w:spacing w:after="0"/>
              <w:rPr>
                <w:sz w:val="20"/>
                <w:szCs w:val="20"/>
                <w:color w:val="auto"/>
              </w:rPr>
            </w:pPr>
            <w:r>
              <w:rPr>
                <w:rFonts w:ascii="Times New Roman" w:cs="Times New Roman" w:eastAsia="Times New Roman" w:hAnsi="Times New Roman"/>
                <w:sz w:val="16"/>
                <w:szCs w:val="16"/>
                <w:b w:val="1"/>
                <w:bCs w:val="1"/>
                <w:color w:val="auto"/>
                <w:w w:val="93"/>
              </w:rPr>
              <w:t>2024</w:t>
            </w:r>
          </w:p>
        </w:tc>
      </w:tr>
      <w:tr>
        <w:trPr>
          <w:trHeight w:val="237"/>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Automotive sales</w:t>
            </w:r>
          </w:p>
        </w:tc>
        <w:tc>
          <w:tcPr>
            <w:tcW w:w="48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ind w:right="132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312</w:t>
            </w: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04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72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w:t>
            </w:r>
          </w:p>
        </w:tc>
      </w:tr>
      <w:tr>
        <w:trPr>
          <w:trHeight w:val="228"/>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Automotive leasing - Sales type</w:t>
            </w:r>
          </w:p>
        </w:tc>
        <w:tc>
          <w:tcPr>
            <w:tcW w:w="480" w:type="dxa"/>
            <w:vAlign w:val="bottom"/>
          </w:tcPr>
          <w:p>
            <w:pPr>
              <w:spacing w:after="0"/>
              <w:rPr>
                <w:sz w:val="19"/>
                <w:szCs w:val="19"/>
                <w:color w:val="auto"/>
              </w:rPr>
            </w:pPr>
          </w:p>
        </w:tc>
        <w:tc>
          <w:tcPr>
            <w:tcW w:w="1720" w:type="dxa"/>
            <w:vAlign w:val="bottom"/>
            <w:gridSpan w:val="2"/>
          </w:tcPr>
          <w:p>
            <w:pPr>
              <w:ind w:left="140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Automotive leasing - Operating type</w:t>
            </w:r>
          </w:p>
        </w:tc>
        <w:tc>
          <w:tcPr>
            <w:tcW w:w="48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ind w:left="1440"/>
              <w:spacing w:after="0"/>
              <w:rPr>
                <w:sz w:val="20"/>
                <w:szCs w:val="20"/>
                <w:color w:val="auto"/>
              </w:rPr>
            </w:pPr>
            <w:r>
              <w:rPr>
                <w:rFonts w:ascii="Times New Roman" w:cs="Times New Roman" w:eastAsia="Times New Roman" w:hAnsi="Times New Roman"/>
                <w:sz w:val="16"/>
                <w:szCs w:val="16"/>
                <w:color w:val="auto"/>
                <w:w w:val="99"/>
              </w:rPr>
              <w:t>54</w:t>
            </w:r>
          </w:p>
        </w:tc>
        <w:tc>
          <w:tcPr>
            <w:tcW w:w="100" w:type="dxa"/>
            <w:vAlign w:val="bottom"/>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31"/>
        </w:trPr>
        <w:tc>
          <w:tcPr>
            <w:tcW w:w="2560" w:type="dxa"/>
            <w:vAlign w:val="bottom"/>
          </w:tcPr>
          <w:p>
            <w:pPr>
              <w:spacing w:after="0"/>
              <w:rPr>
                <w:sz w:val="20"/>
                <w:szCs w:val="20"/>
                <w:color w:val="auto"/>
              </w:rPr>
            </w:pPr>
          </w:p>
        </w:tc>
        <w:tc>
          <w:tcPr>
            <w:tcW w:w="48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20"/>
                <w:szCs w:val="20"/>
                <w:color w:val="auto"/>
              </w:rPr>
            </w:pPr>
          </w:p>
        </w:tc>
        <w:tc>
          <w:tcPr>
            <w:tcW w:w="1500" w:type="dxa"/>
            <w:vAlign w:val="bottom"/>
            <w:tcBorders>
              <w:bottom w:val="single" w:sz="8" w:color="auto"/>
            </w:tcBorders>
          </w:tcPr>
          <w:p>
            <w:pPr>
              <w:jc w:val="right"/>
              <w:ind w:right="132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293</w:t>
            </w:r>
          </w:p>
        </w:tc>
        <w:tc>
          <w:tcPr>
            <w:tcW w:w="80" w:type="dxa"/>
            <w:vAlign w:val="bottom"/>
          </w:tcPr>
          <w:p>
            <w:pPr>
              <w:spacing w:after="0"/>
              <w:rPr>
                <w:sz w:val="20"/>
                <w:szCs w:val="20"/>
                <w:color w:val="auto"/>
              </w:rPr>
            </w:pPr>
          </w:p>
        </w:tc>
        <w:tc>
          <w:tcPr>
            <w:tcW w:w="1220" w:type="dxa"/>
            <w:vAlign w:val="bottom"/>
            <w:tcBorders>
              <w:bottom w:val="single" w:sz="8" w:color="auto"/>
            </w:tcBorders>
          </w:tcPr>
          <w:p>
            <w:pPr>
              <w:jc w:val="right"/>
              <w:ind w:right="104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100" w:type="dxa"/>
            <w:vAlign w:val="bottom"/>
          </w:tcPr>
          <w:p>
            <w:pPr>
              <w:spacing w:after="0"/>
              <w:rPr>
                <w:sz w:val="20"/>
                <w:szCs w:val="20"/>
                <w:color w:val="auto"/>
              </w:rPr>
            </w:pPr>
          </w:p>
        </w:tc>
        <w:tc>
          <w:tcPr>
            <w:tcW w:w="880" w:type="dxa"/>
            <w:vAlign w:val="bottom"/>
            <w:tcBorders>
              <w:bottom w:val="single" w:sz="8" w:color="auto"/>
            </w:tcBorders>
          </w:tcPr>
          <w:p>
            <w:pPr>
              <w:jc w:val="right"/>
              <w:ind w:right="72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w:t>
            </w: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Automotive Sales Revenue</w:t>
      </w:r>
    </w:p>
    <w:p>
      <w:pPr>
        <w:spacing w:after="0" w:line="149"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 xml:space="preserve">The Company recognizes automotive sales revenue in accordance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Automotive sales revenue includes cash deliveries of new vehicles, and specific other features and services including home charger, charger installation, twenty-four-seven roadside assistance, over-the-air (“OTA”) software updates, internet connectivity and destination fees that meet the definition of a performance obligation under ASC 606.</w:t>
      </w:r>
    </w:p>
    <w:p>
      <w:pPr>
        <w:spacing w:after="0" w:line="118" w:lineRule="exact"/>
        <w:rPr>
          <w:sz w:val="20"/>
          <w:szCs w:val="20"/>
          <w:color w:val="auto"/>
        </w:rPr>
      </w:pPr>
    </w:p>
    <w:p>
      <w:pPr>
        <w:jc w:val="both"/>
        <w:ind w:firstLine="475"/>
        <w:spacing w:after="0" w:line="294" w:lineRule="auto"/>
        <w:rPr>
          <w:sz w:val="20"/>
          <w:szCs w:val="20"/>
          <w:color w:val="auto"/>
        </w:rPr>
      </w:pPr>
      <w:r>
        <w:rPr>
          <w:rFonts w:ascii="Times New Roman" w:cs="Times New Roman" w:eastAsia="Times New Roman" w:hAnsi="Times New Roman"/>
          <w:sz w:val="16"/>
          <w:szCs w:val="16"/>
          <w:color w:val="auto"/>
        </w:rPr>
        <w:t>As part of the first step in applying ASC 606, the Company assesses whether multiple contracts entered into with the same customer—such as a vehicle sale and a co-creation agreement—should be combined. When these contracts are negotiated together and are economically interdependent, they are accounted for as a single arrangement. This evaluation ensures that the revenue recognition reflects the substance of the transaction. Refer to the subsequent section of this note for a detailed discussion of the co-creation arrangements with customers and their impact on revenue recognition under ASC 606.</w:t>
      </w:r>
    </w:p>
    <w:p>
      <w:pPr>
        <w:spacing w:after="0" w:line="74" w:lineRule="exact"/>
        <w:rPr>
          <w:sz w:val="20"/>
          <w:szCs w:val="20"/>
          <w:color w:val="auto"/>
        </w:rPr>
      </w:pPr>
    </w:p>
    <w:p>
      <w:pPr>
        <w:jc w:val="both"/>
        <w:ind w:firstLine="475"/>
        <w:spacing w:after="0" w:line="250" w:lineRule="auto"/>
        <w:rPr>
          <w:sz w:val="20"/>
          <w:szCs w:val="20"/>
          <w:color w:val="auto"/>
        </w:rPr>
      </w:pPr>
      <w:r>
        <w:rPr>
          <w:rFonts w:ascii="Times New Roman" w:cs="Times New Roman" w:eastAsia="Times New Roman" w:hAnsi="Times New Roman"/>
          <w:sz w:val="18"/>
          <w:szCs w:val="18"/>
          <w:color w:val="auto"/>
        </w:rPr>
        <w:t>Revenue is recognized when control of the vehicle transfers upon delivery to the customer. Payments are typically received at the point control transfers or according to payment terms customary to the business as specified in the sales contract. Vehicle contracts do not contain a significant financing component. For obligations related to automotive sales, transaction prices are allocated among performance obligations based on relative standalone selling prices, determined using market prices, estimated internal costs, and comparable third-party offerings. The transaction price is allocated among the performance obligations in proportion to the standalone selling price of its performance obligations.</w:t>
      </w:r>
    </w:p>
    <w:p>
      <w:pPr>
        <w:spacing w:after="0" w:line="122" w:lineRule="exact"/>
        <w:rPr>
          <w:sz w:val="20"/>
          <w:szCs w:val="20"/>
          <w:color w:val="auto"/>
        </w:rPr>
      </w:pPr>
    </w:p>
    <w:p>
      <w:pPr>
        <w:jc w:val="both"/>
        <w:ind w:firstLine="475"/>
        <w:spacing w:after="0" w:line="304" w:lineRule="auto"/>
        <w:rPr>
          <w:sz w:val="20"/>
          <w:szCs w:val="20"/>
          <w:color w:val="auto"/>
        </w:rPr>
      </w:pPr>
      <w:r>
        <w:rPr>
          <w:rFonts w:ascii="Times New Roman" w:cs="Times New Roman" w:eastAsia="Times New Roman" w:hAnsi="Times New Roman"/>
          <w:sz w:val="16"/>
          <w:szCs w:val="16"/>
          <w:color w:val="auto"/>
        </w:rPr>
        <w:t>Other features and services as discussed above are provisioned upon transfer of control of the vehicle and are required to be recognized on a straight-line basis over the performance period, as the Company has a stand-ready obligation to deliver such services to the customer. However, due to immateriality, revenue from other features and services are combined with the vehicle performance obligation and recognized upon the transfer of the vehicle.</w:t>
      </w:r>
    </w:p>
    <w:p>
      <w:pPr>
        <w:spacing w:after="0" w:line="79" w:lineRule="exact"/>
        <w:rPr>
          <w:sz w:val="20"/>
          <w:szCs w:val="20"/>
          <w:color w:val="auto"/>
        </w:rPr>
      </w:pPr>
    </w:p>
    <w:p>
      <w:pPr>
        <w:jc w:val="both"/>
        <w:ind w:firstLine="475"/>
        <w:spacing w:after="0" w:line="269" w:lineRule="auto"/>
        <w:rPr>
          <w:sz w:val="20"/>
          <w:szCs w:val="20"/>
          <w:color w:val="auto"/>
        </w:rPr>
      </w:pPr>
      <w:r>
        <w:rPr>
          <w:rFonts w:ascii="Times New Roman" w:cs="Times New Roman" w:eastAsia="Times New Roman" w:hAnsi="Times New Roman"/>
          <w:sz w:val="18"/>
          <w:szCs w:val="18"/>
          <w:color w:val="auto"/>
        </w:rPr>
        <w:t>The Company provides certain customers with a residual value guarantee which may or may not be exercised in the future. Residual value guarantees provided to customers had an immaterial impact on revenue for the three and six months ended June 30, 2025 and 2024.</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Automotive Leasing Revenue</w:t>
      </w:r>
    </w:p>
    <w:p>
      <w:pPr>
        <w:spacing w:after="0" w:line="14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 xml:space="preserve">The Company accounts for its automotive leasing revenue program under ASC 606 and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w:t>
      </w:r>
    </w:p>
    <w:p>
      <w:pPr>
        <w:spacing w:after="0" w:line="151" w:lineRule="exact"/>
        <w:rPr>
          <w:sz w:val="20"/>
          <w:szCs w:val="20"/>
          <w:color w:val="auto"/>
        </w:rPr>
      </w:pPr>
    </w:p>
    <w:p>
      <w:pPr>
        <w:jc w:val="both"/>
        <w:ind w:firstLine="475"/>
        <w:spacing w:after="0" w:line="247" w:lineRule="auto"/>
        <w:rPr>
          <w:sz w:val="20"/>
          <w:szCs w:val="20"/>
          <w:color w:val="auto"/>
        </w:rPr>
      </w:pPr>
      <w:r>
        <w:rPr>
          <w:rFonts w:ascii="Times New Roman" w:cs="Times New Roman" w:eastAsia="Times New Roman" w:hAnsi="Times New Roman"/>
          <w:sz w:val="18"/>
          <w:szCs w:val="18"/>
          <w:u w:val="single" w:color="auto"/>
          <w:color w:val="auto"/>
        </w:rPr>
        <w:t>Operating Leasing Program</w:t>
      </w:r>
      <w:r>
        <w:rPr>
          <w:rFonts w:ascii="Times New Roman" w:cs="Times New Roman" w:eastAsia="Times New Roman" w:hAnsi="Times New Roman"/>
          <w:sz w:val="18"/>
          <w:szCs w:val="18"/>
          <w:color w:val="auto"/>
        </w:rPr>
        <w:t>: The Company offers a vehicle operating leasing program in the U.S., allowing qualifying customers to lease a vehicle directly from the Company for a lease term of up to 36 months. At the end of the lease term, customers are generally required to return the vehicle to the Company, at which point the Company may either sell or re-lease the returned vehicle. Leasing revenue from operating leases is recognized on a straight-line basis over the lease term, as long as collectability is probable in accordance with ASC 842. If collectability of lease payments is not probable at lease commencement, lease income is recognized on a cash basis, meaning payments received are recorded as revenue only when collected. Depreciation expense related to leased vehicles is recorded in cost of automotive leasing revenue on a straight-line basis over the lease term, reflecting the expected residual value of the vehicles at lease termination. Upfront payments related to lease agreements are deferred and recognized as revenue on a straight-line basis over the respective lease term. Taxes collected from customers in connection with automotive leasing transactions are excluded from the transaction price and reported separately in accordance with ASC 606.</w:t>
      </w:r>
    </w:p>
    <w:p>
      <w:pPr>
        <w:spacing w:after="0" w:line="114" w:lineRule="exact"/>
        <w:rPr>
          <w:sz w:val="20"/>
          <w:szCs w:val="20"/>
          <w:color w:val="auto"/>
        </w:rPr>
      </w:pPr>
    </w:p>
    <w:p>
      <w:pPr>
        <w:jc w:val="both"/>
        <w:ind w:firstLine="475"/>
        <w:spacing w:after="0" w:line="269" w:lineRule="auto"/>
        <w:rPr>
          <w:sz w:val="20"/>
          <w:szCs w:val="20"/>
          <w:color w:val="auto"/>
        </w:rPr>
      </w:pPr>
      <w:r>
        <w:rPr>
          <w:rFonts w:ascii="Times New Roman" w:cs="Times New Roman" w:eastAsia="Times New Roman" w:hAnsi="Times New Roman"/>
          <w:sz w:val="18"/>
          <w:szCs w:val="18"/>
          <w:color w:val="auto"/>
        </w:rPr>
        <w:t>As part of the revenue recognition process, the Company evaluates whether a lease contract should be combined with other agreements—such as co-creation arrangements—under ASC 606 when the contracts are negotiated together and are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0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economically interdependent. Refer to the subsequent section of this note for a detailed discussion of the co-creation arrangements with customers and their impact on revenue recognition under ASC 606.</w:t>
      </w:r>
    </w:p>
    <w:p>
      <w:pPr>
        <w:spacing w:after="0" w:line="103" w:lineRule="exact"/>
        <w:rPr>
          <w:sz w:val="20"/>
          <w:szCs w:val="20"/>
          <w:color w:val="auto"/>
        </w:rPr>
      </w:pPr>
    </w:p>
    <w:p>
      <w:pPr>
        <w:jc w:val="both"/>
        <w:ind w:firstLine="475"/>
        <w:spacing w:after="0" w:line="250" w:lineRule="auto"/>
        <w:rPr>
          <w:sz w:val="20"/>
          <w:szCs w:val="20"/>
          <w:color w:val="auto"/>
        </w:rPr>
      </w:pPr>
      <w:r>
        <w:rPr>
          <w:rFonts w:ascii="Times New Roman" w:cs="Times New Roman" w:eastAsia="Times New Roman" w:hAnsi="Times New Roman"/>
          <w:sz w:val="18"/>
          <w:szCs w:val="18"/>
          <w:u w:val="single" w:color="auto"/>
          <w:color w:val="auto"/>
        </w:rPr>
        <w:t>Sales-Type Leasing Program</w:t>
      </w:r>
      <w:r>
        <w:rPr>
          <w:rFonts w:ascii="Times New Roman" w:cs="Times New Roman" w:eastAsia="Times New Roman" w:hAnsi="Times New Roman"/>
          <w:sz w:val="18"/>
          <w:szCs w:val="18"/>
          <w:color w:val="auto"/>
        </w:rPr>
        <w:t>: The Company enters into sales-type lease arrangements in accordance with ASC 842, under which customers generally have the option to purchase the leased vehicle at the end of the lease term, which is typically 36 months. The lease is classified as a sales-type lease when the Company concludes that the customer is reasonably certain to exercise the purchase option and, as a result, the Company expects the customer to obtain title to the vehicle upon completion of all contractual payments. At lease commencement, if collectability of the lease payments is probable, the Company derecognizes the leased vehicle and recognizes:</w:t>
      </w:r>
    </w:p>
    <w:p>
      <w:pPr>
        <w:spacing w:after="0" w:line="109" w:lineRule="exact"/>
        <w:rPr>
          <w:sz w:val="20"/>
          <w:szCs w:val="20"/>
          <w:color w:val="auto"/>
        </w:rPr>
      </w:pPr>
    </w:p>
    <w:p>
      <w:pPr>
        <w:ind w:left="640" w:hanging="318"/>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Automotive leasing revenue for the present value of lease payments and any guaranteed residual value; and</w:t>
      </w:r>
    </w:p>
    <w:p>
      <w:pPr>
        <w:spacing w:after="0" w:line="43"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Automotive leasing cost of revenue for the carrying value of the leased vehicle.</w:t>
      </w:r>
    </w:p>
    <w:p>
      <w:pPr>
        <w:spacing w:after="0" w:line="136" w:lineRule="exact"/>
        <w:rPr>
          <w:sz w:val="20"/>
          <w:szCs w:val="20"/>
          <w:color w:val="auto"/>
        </w:rPr>
      </w:pPr>
    </w:p>
    <w:p>
      <w:pPr>
        <w:jc w:val="both"/>
        <w:ind w:firstLine="475"/>
        <w:spacing w:after="0" w:line="333" w:lineRule="auto"/>
        <w:rPr>
          <w:sz w:val="20"/>
          <w:szCs w:val="20"/>
          <w:color w:val="auto"/>
        </w:rPr>
      </w:pPr>
      <w:r>
        <w:rPr>
          <w:rFonts w:ascii="Times New Roman" w:cs="Times New Roman" w:eastAsia="Times New Roman" w:hAnsi="Times New Roman"/>
          <w:sz w:val="16"/>
          <w:szCs w:val="16"/>
          <w:color w:val="auto"/>
        </w:rPr>
        <w:t>If collectability is not deemed probable at lease commencement, revenue recognition is deferred, and lease payments received are recorded as a deposit liability. The leased vehicle remains on the Company’s balance sheet until collectability becomes probable, at which point revenue recognition is triggered.</w:t>
      </w:r>
    </w:p>
    <w:p>
      <w:pPr>
        <w:spacing w:after="0" w:line="57" w:lineRule="exact"/>
        <w:rPr>
          <w:sz w:val="20"/>
          <w:szCs w:val="20"/>
          <w:color w:val="auto"/>
        </w:rPr>
      </w:pPr>
    </w:p>
    <w:p>
      <w:pPr>
        <w:jc w:val="both"/>
        <w:ind w:firstLine="475"/>
        <w:spacing w:after="0" w:line="250" w:lineRule="auto"/>
        <w:rPr>
          <w:sz w:val="20"/>
          <w:szCs w:val="20"/>
          <w:color w:val="auto"/>
        </w:rPr>
      </w:pPr>
      <w:r>
        <w:rPr>
          <w:rFonts w:ascii="Times New Roman" w:cs="Times New Roman" w:eastAsia="Times New Roman" w:hAnsi="Times New Roman"/>
          <w:sz w:val="18"/>
          <w:szCs w:val="18"/>
          <w:color w:val="auto"/>
        </w:rPr>
        <w:t>The Company recognizes a net investment in sales-type leases, which includes both the lease receivable and the unguaranteed residual asset. The unguaranteed residual asset represents the estimated fair value of the leased vehicle at the end of the lease term that is not guaranteed by the lessee or any third party. As of June 30, 2025, the carrying amount of unguaranteed residual assets included in the net investment in sales-type leases, and presented within accounts receivable, was approximately $0.3 million. The estimate of unguaranteed residual value reflects management’s judgment, informed by historical residual value experience, current market conditions, and the anticipated future utility of the leased assets.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Co-creation Arrangements</w:t>
      </w:r>
    </w:p>
    <w:p>
      <w:pPr>
        <w:spacing w:after="0" w:line="138" w:lineRule="exact"/>
        <w:rPr>
          <w:sz w:val="20"/>
          <w:szCs w:val="20"/>
          <w:color w:val="auto"/>
        </w:rPr>
      </w:pPr>
    </w:p>
    <w:p>
      <w:pPr>
        <w:jc w:val="both"/>
        <w:ind w:firstLine="475"/>
        <w:spacing w:after="0" w:line="250" w:lineRule="auto"/>
        <w:rPr>
          <w:sz w:val="20"/>
          <w:szCs w:val="20"/>
          <w:color w:val="auto"/>
        </w:rPr>
      </w:pPr>
      <w:r>
        <w:rPr>
          <w:rFonts w:ascii="Times New Roman" w:cs="Times New Roman" w:eastAsia="Times New Roman" w:hAnsi="Times New Roman"/>
          <w:sz w:val="18"/>
          <w:szCs w:val="18"/>
          <w:color w:val="auto"/>
        </w:rPr>
        <w:t>As part of the Company’s Futurist Product Officers (“FPO”) Co-Creation Delivery program, which began in August 2023, the Company has entered into co-creation agreements with certain customers. This arrangement leverages select sales and leasing customers to provide valuable driving data, insights, marketing, and brand awareness for the FF 91 vehicle. In exchange for these services, the Company compensates customers through a one-time consulting fee, consulting fees paid in installments or a discount on their lease payments. The services provided are considered distinct and could be purchased separately from a third party.</w:t>
      </w:r>
    </w:p>
    <w:p>
      <w:pPr>
        <w:spacing w:after="0" w:line="122" w:lineRule="exact"/>
        <w:rPr>
          <w:sz w:val="20"/>
          <w:szCs w:val="20"/>
          <w:color w:val="auto"/>
        </w:rPr>
      </w:pPr>
    </w:p>
    <w:p>
      <w:pPr>
        <w:jc w:val="both"/>
        <w:ind w:firstLine="475"/>
        <w:spacing w:after="0" w:line="250" w:lineRule="auto"/>
        <w:rPr>
          <w:sz w:val="20"/>
          <w:szCs w:val="20"/>
          <w:color w:val="auto"/>
        </w:rPr>
      </w:pPr>
      <w:r>
        <w:rPr>
          <w:rFonts w:ascii="Times New Roman" w:cs="Times New Roman" w:eastAsia="Times New Roman" w:hAnsi="Times New Roman"/>
          <w:sz w:val="18"/>
          <w:szCs w:val="18"/>
          <w:color w:val="auto"/>
        </w:rPr>
        <w:t>The Company evaluates the economic substance of both the vehicle sale or lease contract and the co-creation agreement to determine whether they should be combined under the contract combination guidance in ASC 606. When the contracts are economically linked, the Company accounts for them as a single arrangement. Under this approach, the cash inflows from the customer and the cash outflows from the Company are netted and treated as a single transaction. The resulting net amount is recorded as marketing expense. In situations where the net amount is less than the vehicle’s sale price or the contractual lease payment, the difference between the net amount and the sale price or lease payment is recognized as revenue.</w:t>
      </w:r>
    </w:p>
    <w:p>
      <w:pPr>
        <w:spacing w:after="0" w:line="122" w:lineRule="exact"/>
        <w:rPr>
          <w:sz w:val="20"/>
          <w:szCs w:val="20"/>
          <w:color w:val="auto"/>
        </w:rPr>
      </w:pPr>
    </w:p>
    <w:p>
      <w:pPr>
        <w:jc w:val="both"/>
        <w:ind w:firstLine="475"/>
        <w:spacing w:after="0" w:line="250" w:lineRule="auto"/>
        <w:rPr>
          <w:sz w:val="20"/>
          <w:szCs w:val="20"/>
          <w:color w:val="auto"/>
        </w:rPr>
      </w:pPr>
      <w:r>
        <w:rPr>
          <w:rFonts w:ascii="Times New Roman" w:cs="Times New Roman" w:eastAsia="Times New Roman" w:hAnsi="Times New Roman"/>
          <w:sz w:val="18"/>
          <w:szCs w:val="18"/>
          <w:color w:val="auto"/>
        </w:rPr>
        <w:t>For the three months ended June 30, 2025 and 2024, the Company recognized $0.2 million and $0.2 million, respectively, in co-creation fees as marketing expenses for the same periods. For the six months ended June 30, 2025 and 2024, the Company recognized $0.3 million and $0.3 million, respectively, in co-creation fees as marketing expenses for the same periods. Co-creation fees related to R&amp;D were considered insignificant and included in Sales and marketing expenses. All co-creation fees are presented in the Unaudited Condensed Consolidated Statements of Operations and Comprehensive Loss.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Customer Deposits</w:t>
      </w:r>
    </w:p>
    <w:p>
      <w:pPr>
        <w:spacing w:after="0" w:line="151" w:lineRule="exact"/>
        <w:rPr>
          <w:sz w:val="20"/>
          <w:szCs w:val="20"/>
          <w:color w:val="auto"/>
        </w:rPr>
      </w:pPr>
    </w:p>
    <w:p>
      <w:pPr>
        <w:jc w:val="both"/>
        <w:ind w:firstLine="475"/>
        <w:spacing w:after="0" w:line="267" w:lineRule="auto"/>
        <w:rPr>
          <w:sz w:val="20"/>
          <w:szCs w:val="20"/>
          <w:color w:val="auto"/>
        </w:rPr>
      </w:pPr>
      <w:r>
        <w:rPr>
          <w:rFonts w:ascii="Arial" w:cs="Arial" w:eastAsia="Arial" w:hAnsi="Arial"/>
          <w:sz w:val="18"/>
          <w:szCs w:val="18"/>
          <w:color w:val="auto"/>
        </w:rPr>
        <w:t>As o</w:t>
      </w:r>
      <w:r>
        <w:rPr>
          <w:rFonts w:ascii="Times New Roman" w:cs="Times New Roman" w:eastAsia="Times New Roman" w:hAnsi="Times New Roman"/>
          <w:sz w:val="18"/>
          <w:szCs w:val="18"/>
          <w:color w:val="auto"/>
        </w:rPr>
        <w:t>f June 30, 2025, the Company held approximately $3.2 million in customer deposits, compared to $3.0 million as of December 31, 2024. These</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deposits relate to vehicle reservations under both business and consumer programs.</w:t>
      </w:r>
    </w:p>
    <w:p>
      <w:pPr>
        <w:spacing w:after="0" w:line="105"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Business-to-business (B2B) reservations are made through non-binding pre-order deposits agreements and require fixed, non-refundable deposits that may be applied toward the purchase of a limited number of vehicles. These programs are designed to incentivize volume interest by allowing the deposits to be applied toward the purchase of a limited number of vehicles under future purchase agreements. Business-to-consumer (B2C) reservations are typically submitted on a one-to-one basis with a specific vehicle and involve refundable or promotional deposits.</w:t>
      </w:r>
    </w:p>
    <w:p>
      <w:pPr>
        <w:spacing w:after="0" w:line="103" w:lineRule="exact"/>
        <w:rPr>
          <w:sz w:val="20"/>
          <w:szCs w:val="20"/>
          <w:color w:val="auto"/>
        </w:rPr>
      </w:pPr>
    </w:p>
    <w:p>
      <w:pPr>
        <w:jc w:val="both"/>
        <w:ind w:firstLine="475"/>
        <w:spacing w:after="0" w:line="269" w:lineRule="auto"/>
        <w:rPr>
          <w:sz w:val="20"/>
          <w:szCs w:val="20"/>
          <w:color w:val="auto"/>
        </w:rPr>
      </w:pPr>
      <w:r>
        <w:rPr>
          <w:rFonts w:ascii="Times New Roman" w:cs="Times New Roman" w:eastAsia="Times New Roman" w:hAnsi="Times New Roman"/>
          <w:sz w:val="18"/>
          <w:szCs w:val="18"/>
          <w:color w:val="auto"/>
        </w:rPr>
        <w:t>Customer deposits are recorded in Accrued expenses and other current liabilities on the Company’s Unaudited Condensed Consolidated Balance Sheets and will be recognized as revenue upon delivery of the vehicle or resolution of the reservation in accordance with the applicable terms.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Deferred Revenue</w:t>
      </w:r>
    </w:p>
    <w:p>
      <w:pPr>
        <w:spacing w:after="0" w:line="151" w:lineRule="exact"/>
        <w:rPr>
          <w:sz w:val="20"/>
          <w:szCs w:val="20"/>
          <w:color w:val="auto"/>
        </w:rPr>
      </w:pPr>
    </w:p>
    <w:p>
      <w:pPr>
        <w:jc w:val="both"/>
        <w:ind w:firstLine="475"/>
        <w:spacing w:after="0" w:line="249" w:lineRule="auto"/>
        <w:rPr>
          <w:sz w:val="20"/>
          <w:szCs w:val="20"/>
          <w:color w:val="auto"/>
        </w:rPr>
      </w:pPr>
      <w:r>
        <w:rPr>
          <w:rFonts w:ascii="Times New Roman" w:cs="Times New Roman" w:eastAsia="Times New Roman" w:hAnsi="Times New Roman"/>
          <w:sz w:val="18"/>
          <w:szCs w:val="18"/>
          <w:color w:val="auto"/>
        </w:rPr>
        <w:t>When vehicle purchase agreements are executed, the consideration for the vehicle and any accompanying products and services must be paid in advance before the transfer of products or services by the Company. Unlike customer deposits, which are refundable, these advance payments are non-refundable. The Company recognizes revenue when control of the vehicle or related services transfers to the customer and defers revenue only when payments are received for undelivered products or services. Deferred revenue represents the total transaction price allocated to performance obligations that remain unsatisfied or partially unsatisfied as of the balance sheet date. As of June 30, 2025 and December 31, 2024 deferred revenue related to products and services totaled $0.3 million and an insignificant amount,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Automotive Sales Revenue</w:t>
      </w:r>
    </w:p>
    <w:p>
      <w:pPr>
        <w:spacing w:after="0" w:line="138"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Cost of automotive sales revenue includes direct and indirect materials, labor costs, manufacturing overhead, including depreciation costs of tooling and machinery, shipping and logistic costs, vehicle connectivity costs, and reserves for estimated warranty expenses. Cost of automotive sales revenues also includes adjustments to warranty expense.</w:t>
      </w:r>
    </w:p>
    <w:p>
      <w:pPr>
        <w:spacing w:after="0" w:line="113"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Cost of services and other revenue includes costs associated with providing non-warranty after-sales services, costs for retail merchandise, and costs to provide vehicle insurance. Cost of services and other revenue also includes direct parts and material. Cost of services and other revenue was insignificant for the three and six months ended June 30, 2025 and 2024.</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Automotive Leasing Program</w:t>
      </w:r>
    </w:p>
    <w:p>
      <w:pPr>
        <w:spacing w:after="0" w:line="138" w:lineRule="exact"/>
        <w:rPr>
          <w:sz w:val="20"/>
          <w:szCs w:val="20"/>
          <w:color w:val="auto"/>
        </w:rPr>
      </w:pPr>
    </w:p>
    <w:p>
      <w:pPr>
        <w:ind w:right="120" w:firstLine="475"/>
        <w:spacing w:after="0" w:line="269" w:lineRule="auto"/>
        <w:rPr>
          <w:sz w:val="20"/>
          <w:szCs w:val="20"/>
          <w:color w:val="auto"/>
        </w:rPr>
      </w:pPr>
      <w:r>
        <w:rPr>
          <w:rFonts w:ascii="Times New Roman" w:cs="Times New Roman" w:eastAsia="Times New Roman" w:hAnsi="Times New Roman"/>
          <w:sz w:val="18"/>
          <w:szCs w:val="18"/>
          <w:color w:val="auto"/>
        </w:rPr>
        <w:t>Cost of automotive leasing revenue includes the depreciation of operating lease vehicles, cost of goods sold associated with direct sales-type leases and warranty expenses related to leased vehicles.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Warranties</w:t>
      </w:r>
    </w:p>
    <w:p>
      <w:pPr>
        <w:spacing w:after="0" w:line="151"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The Company provides a manufacturer’s warranty on all vehicles sold. The warranty covers the rectification of reported defects via repair, replacement, or adjustment of faulty parts or components. The warranty does not cover any item that fails due to normal wear and tear. This assurance-type warranty does not create a performance obligation separate from the vehicle. Management tracks warranty claims by vehicle ID, owner, and date. As the Company continues to manufacture and sell more vehicles it will reassess and evaluate its warranty claims for purposes of its warranty accrual.</w:t>
      </w:r>
    </w:p>
    <w:p>
      <w:pPr>
        <w:spacing w:after="0" w:line="53" w:lineRule="exact"/>
        <w:rPr>
          <w:sz w:val="20"/>
          <w:szCs w:val="20"/>
          <w:color w:val="auto"/>
        </w:rPr>
      </w:pPr>
    </w:p>
    <w:p>
      <w:pPr>
        <w:ind w:left="8840"/>
        <w:spacing w:after="0"/>
        <w:rPr>
          <w:sz w:val="20"/>
          <w:szCs w:val="20"/>
          <w:color w:val="auto"/>
        </w:rPr>
      </w:pPr>
      <w:r>
        <w:rPr>
          <w:rFonts w:ascii="Times New Roman" w:cs="Times New Roman" w:eastAsia="Times New Roman" w:hAnsi="Times New Roman"/>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5262880</wp:posOffset>
            </wp:positionH>
            <wp:positionV relativeFrom="paragraph">
              <wp:posOffset>27305</wp:posOffset>
            </wp:positionV>
            <wp:extent cx="18757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7"/>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warranty- beginning of period</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545</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w:t>
            </w:r>
          </w:p>
        </w:tc>
      </w:tr>
      <w:tr>
        <w:trPr>
          <w:trHeight w:val="228"/>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warranty</w:t>
            </w:r>
          </w:p>
        </w:tc>
        <w:tc>
          <w:tcPr>
            <w:tcW w:w="340" w:type="dxa"/>
            <w:vAlign w:val="bottom"/>
          </w:tcPr>
          <w:p>
            <w:pPr>
              <w:spacing w:after="0"/>
              <w:rPr>
                <w:sz w:val="19"/>
                <w:szCs w:val="19"/>
                <w:color w:val="auto"/>
              </w:rPr>
            </w:pPr>
          </w:p>
        </w:tc>
        <w:tc>
          <w:tcPr>
            <w:tcW w:w="110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24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Warranty costs incurred</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(96)</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r>
      <w:tr>
        <w:trPr>
          <w:trHeight w:val="237"/>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warranty- end of period</w:t>
            </w: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436</w:t>
            </w: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638</w:t>
            </w:r>
          </w:p>
        </w:tc>
      </w:tr>
      <w:tr>
        <w:trPr>
          <w:trHeight w:val="20"/>
        </w:trPr>
        <w:tc>
          <w:tcPr>
            <w:tcW w:w="8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38"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under which deferred tax assets and liabilities are recognized for temporary differences between the financial reporting and income tax bases of assets and liabilities. Deferred tax assets and liabilities are measured using enacted tax rates expected to apply in the years when those temporary differences are anticipated to reverse.</w:t>
      </w:r>
    </w:p>
    <w:p>
      <w:pPr>
        <w:spacing w:after="0" w:line="113" w:lineRule="exact"/>
        <w:rPr>
          <w:sz w:val="20"/>
          <w:szCs w:val="20"/>
          <w:color w:val="auto"/>
        </w:rPr>
      </w:pPr>
    </w:p>
    <w:p>
      <w:pPr>
        <w:jc w:val="both"/>
        <w:ind w:firstLine="475"/>
        <w:spacing w:after="0" w:line="304" w:lineRule="auto"/>
        <w:rPr>
          <w:sz w:val="20"/>
          <w:szCs w:val="20"/>
          <w:color w:val="auto"/>
        </w:rPr>
      </w:pPr>
      <w:r>
        <w:rPr>
          <w:rFonts w:ascii="Times New Roman" w:cs="Times New Roman" w:eastAsia="Times New Roman" w:hAnsi="Times New Roman"/>
          <w:sz w:val="16"/>
          <w:szCs w:val="16"/>
          <w:color w:val="auto"/>
        </w:rPr>
        <w:t>A valuation allowance is established if it is more likely than not that some or all of the deferred tax assets will not be realized. The carrying value of deferred tax assets is adjusted to reflect the amount that is more likely than not to be realized. As of March 31, 2025 and December 31, 2024, the Company maintained a full valuation allowance against its net deferred tax assets, based on the conclusion that it is more likely than not the assets will not be realized.</w:t>
      </w:r>
    </w:p>
    <w:p>
      <w:pPr>
        <w:spacing w:after="0" w:line="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 xml:space="preserve">The Company applies the guidance in ASC 740-10, </w:t>
      </w: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to account for uncertain tax positions. This guidance requires a two-step approach:</w:t>
      </w:r>
    </w:p>
    <w:p>
      <w:pPr>
        <w:spacing w:after="0" w:line="47" w:lineRule="exact"/>
        <w:rPr>
          <w:sz w:val="20"/>
          <w:szCs w:val="20"/>
          <w:color w:val="auto"/>
        </w:rPr>
      </w:pPr>
    </w:p>
    <w:p>
      <w:pPr>
        <w:jc w:val="both"/>
        <w:ind w:firstLine="6"/>
        <w:spacing w:after="0" w:line="247" w:lineRule="auto"/>
        <w:tabs>
          <w:tab w:leader="none" w:pos="25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whether it is more likely than not that a tax position will be sustained upon examination, including resolution of any related appeals or litigation; and (2) measure the tax benefit as the largest amount that is more likely than not to be realized upon settlement. The Company evaluates its tax positions based on a number of factors and may update its assessments as facts and circumstances change.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03" w:lineRule="exact"/>
        <w:rPr>
          <w:sz w:val="20"/>
          <w:szCs w:val="20"/>
          <w:color w:val="auto"/>
        </w:rPr>
      </w:pPr>
    </w:p>
    <w:p>
      <w:pPr>
        <w:jc w:val="both"/>
        <w:ind w:firstLine="475"/>
        <w:spacing w:after="0" w:line="269" w:lineRule="auto"/>
        <w:rPr>
          <w:sz w:val="20"/>
          <w:szCs w:val="20"/>
          <w:color w:val="auto"/>
        </w:rPr>
      </w:pPr>
      <w:r>
        <w:rPr>
          <w:rFonts w:ascii="Times New Roman" w:cs="Times New Roman" w:eastAsia="Times New Roman" w:hAnsi="Times New Roman"/>
          <w:sz w:val="18"/>
          <w:szCs w:val="18"/>
          <w:color w:val="auto"/>
        </w:rPr>
        <w:t>The Company is subject to taxation in the U.S. federal jurisdiction, the state of California, and China. The income tax provision for each period represents the aggregate estimated tax expense or benefit for these jurisdictions.</w:t>
      </w:r>
    </w:p>
    <w:p>
      <w:pPr>
        <w:spacing w:after="0" w:line="103"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The income tax provision did not impact the Unaudited Condensed Consolidated Statements of Operations and Comprehensive Loss for the three months ended June 30, 2025 and 2024, and by $0.0 million and $0.0 million, respectively, for the six months ended June 30, 2025 and 2024. The Company recognizes interest and penalties on unrecognized tax benefits as a component of income tax expense. There were no material interest or penalties for the three and six months ended June 30, 2025 and 2024.</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53"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In early 2025, the Financial Accounting Standards Board (“FASB”) issued several ASUs to enhance financial reporting and provide clearer guidance on various accounting topics. As a December 31 year-end filer and a Smaller Reporting Company (“SRC”), the Company is required to adopt these ASUs in accordance with the effective dates applicable to SRCs. The Company is currently evaluating the impact of these ASUs on the Company’s financial statements and related disclosures. Below is a summary of these ASUs: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149"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In December 2023, the FASB issued ASU 2023-09, I</w:t>
      </w:r>
      <w:r>
        <w:rPr>
          <w:rFonts w:ascii="Times New Roman" w:cs="Times New Roman" w:eastAsia="Times New Roman" w:hAnsi="Times New Roman"/>
          <w:sz w:val="18"/>
          <w:szCs w:val="18"/>
          <w:i w:val="1"/>
          <w:iCs w:val="1"/>
          <w:color w:val="auto"/>
        </w:rPr>
        <w:t>ncome Taxes (Topic 740): Improvements to Income Tax Disclosures</w:t>
      </w:r>
      <w:r>
        <w:rPr>
          <w:rFonts w:ascii="Times New Roman" w:cs="Times New Roman" w:eastAsia="Times New Roman" w:hAnsi="Times New Roman"/>
          <w:sz w:val="18"/>
          <w:szCs w:val="18"/>
          <w:color w:val="auto"/>
        </w:rPr>
        <w:t>. This ASU enhances the transparency of income tax disclosures by requiring more detailed information about the rate reconciliation and income taxes paid, disaggregated by jurisdiction. This update is effective for the Company beginning January 1, 2025 and will first apply to the Company’s December 31, 2025 Form 10-K (as a public business entity, including SRCs). Early adoption is permitted.</w:t>
      </w:r>
    </w:p>
    <w:p>
      <w:pPr>
        <w:spacing w:after="0" w:line="116" w:lineRule="exact"/>
        <w:rPr>
          <w:sz w:val="20"/>
          <w:szCs w:val="20"/>
          <w:color w:val="auto"/>
        </w:rPr>
      </w:pPr>
    </w:p>
    <w:p>
      <w:pPr>
        <w:jc w:val="both"/>
        <w:ind w:firstLine="475"/>
        <w:spacing w:after="0" w:line="250" w:lineRule="auto"/>
        <w:rPr>
          <w:sz w:val="20"/>
          <w:szCs w:val="20"/>
          <w:color w:val="auto"/>
        </w:rPr>
      </w:pPr>
      <w:r>
        <w:rPr>
          <w:rFonts w:ascii="Times New Roman" w:cs="Times New Roman" w:eastAsia="Times New Roman" w:hAnsi="Times New Roman"/>
          <w:sz w:val="18"/>
          <w:szCs w:val="18"/>
          <w:color w:val="auto"/>
        </w:rPr>
        <w:t xml:space="preserve">In December 2024, the FASB issued ASU 2024-04, </w:t>
      </w:r>
      <w:r>
        <w:rPr>
          <w:rFonts w:ascii="Times New Roman" w:cs="Times New Roman" w:eastAsia="Times New Roman" w:hAnsi="Times New Roman"/>
          <w:sz w:val="18"/>
          <w:szCs w:val="18"/>
          <w:i w:val="1"/>
          <w:iCs w:val="1"/>
          <w:color w:val="auto"/>
        </w:rPr>
        <w:t>Debt—Debt with Conversion and Other Options (Subtopic 470-20): Induced Conversions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Convertible Debt Instruments</w:t>
      </w:r>
      <w:r>
        <w:rPr>
          <w:rFonts w:ascii="Times New Roman" w:cs="Times New Roman" w:eastAsia="Times New Roman" w:hAnsi="Times New Roman"/>
          <w:sz w:val="18"/>
          <w:szCs w:val="18"/>
          <w:color w:val="auto"/>
        </w:rPr>
        <w:t>. This ASU clarifies when a settlement of a convertible debt instrument should be accounted for as an induced conversion rather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a debt extinguishment. Key provisions include (a) applying a pre-existing-contract approach to assess whether the form and amount of consideration are preserved; and (b) expanding the guidance to cover certain convertible debt instruments not previously convertible. This update is effective for the Company beginning January 1, 2026 (fiscal year and interim periods beginning after December 15, 2025) and will first apply to the Company’s December 31, 2026 Form 10-K. Early adoption is permitted, provided ASU 2020-06 has been adopted.</w:t>
      </w:r>
    </w:p>
    <w:p>
      <w:pPr>
        <w:spacing w:after="0" w:line="104" w:lineRule="exact"/>
        <w:rPr>
          <w:sz w:val="20"/>
          <w:szCs w:val="20"/>
          <w:color w:val="auto"/>
        </w:rPr>
      </w:pPr>
    </w:p>
    <w:p>
      <w:pPr>
        <w:jc w:val="both"/>
        <w:ind w:firstLine="475"/>
        <w:spacing w:after="0" w:line="251" w:lineRule="auto"/>
        <w:rPr>
          <w:sz w:val="20"/>
          <w:szCs w:val="20"/>
          <w:color w:val="auto"/>
        </w:rPr>
      </w:pPr>
      <w:r>
        <w:rPr>
          <w:rFonts w:ascii="Times New Roman" w:cs="Times New Roman" w:eastAsia="Times New Roman" w:hAnsi="Times New Roman"/>
          <w:sz w:val="18"/>
          <w:szCs w:val="18"/>
          <w:color w:val="auto"/>
        </w:rPr>
        <w:t xml:space="preserve">In December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w:t>
      </w:r>
      <w:r>
        <w:rPr>
          <w:rFonts w:ascii="Times New Roman" w:cs="Times New Roman" w:eastAsia="Times New Roman" w:hAnsi="Times New Roman"/>
          <w:sz w:val="18"/>
          <w:szCs w:val="18"/>
          <w:color w:val="auto"/>
        </w:rPr>
        <w:t>). This ASU requires public business entities to disclose additional details about certain expenses in the notes to financial statements,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inventory purchases, employee compensation, depreciation, and intangible asset amortization. This update is effective for the Company beginning January 1, 2027 (fiscal year and interim periods beginning after December 15, 2026) and will first apply to the Company’s December 31, 2027 Form 10-K (as a public business entity, including SRCs). Early adoption is permitted.</w:t>
      </w:r>
    </w:p>
    <w:p>
      <w:pPr>
        <w:spacing w:after="0" w:line="118" w:lineRule="exact"/>
        <w:rPr>
          <w:sz w:val="20"/>
          <w:szCs w:val="20"/>
          <w:color w:val="auto"/>
        </w:rPr>
      </w:pPr>
    </w:p>
    <w:p>
      <w:pPr>
        <w:jc w:val="both"/>
        <w:ind w:firstLine="475"/>
        <w:spacing w:after="0" w:line="250" w:lineRule="auto"/>
        <w:rPr>
          <w:sz w:val="20"/>
          <w:szCs w:val="20"/>
          <w:color w:val="auto"/>
        </w:rPr>
      </w:pPr>
      <w:r>
        <w:rPr>
          <w:rFonts w:ascii="Times New Roman" w:cs="Times New Roman" w:eastAsia="Times New Roman" w:hAnsi="Times New Roman"/>
          <w:sz w:val="18"/>
          <w:szCs w:val="18"/>
          <w:color w:val="auto"/>
        </w:rPr>
        <w:t xml:space="preserve">In May 2025, the FASB issued ASU 2025-04, </w:t>
      </w:r>
      <w:r>
        <w:rPr>
          <w:rFonts w:ascii="Times New Roman" w:cs="Times New Roman" w:eastAsia="Times New Roman" w:hAnsi="Times New Roman"/>
          <w:sz w:val="18"/>
          <w:szCs w:val="18"/>
          <w:i w:val="1"/>
          <w:iCs w:val="1"/>
          <w:color w:val="auto"/>
        </w:rPr>
        <w:t>Compensation—Stock Compensation (Topic 718) and Revenue from Contracts with Customers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606): Clarifications to Share-Based Consideration Payable to a Customer</w:t>
      </w:r>
      <w:r>
        <w:rPr>
          <w:rFonts w:ascii="Times New Roman" w:cs="Times New Roman" w:eastAsia="Times New Roman" w:hAnsi="Times New Roman"/>
          <w:sz w:val="18"/>
          <w:szCs w:val="18"/>
          <w:color w:val="auto"/>
        </w:rPr>
        <w:t>. This ASU (a) revises the master-glossary definition of ‘performance condition’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customer-based targets; (b) eliminates the forfeiture-policy election for awards granted to customers unless exchanged for a distinct good or service; and (c) clarifies that the variable-consideration constraint in ASC 606 does not apply to share-based consideration payable to a customer. This update is effective for the Company beginning January 1, 2027 (fiscal year and interim periods beginning after December 15, 2026) and will first apply to the Company’s December 31, 2027 Form 10-K (as a public business entity, including SRCs). Early adoption is permitted.</w:t>
      </w:r>
    </w:p>
    <w:p>
      <w:pPr>
        <w:spacing w:after="0" w:line="118" w:lineRule="exact"/>
        <w:rPr>
          <w:sz w:val="20"/>
          <w:szCs w:val="20"/>
          <w:color w:val="auto"/>
        </w:rPr>
      </w:pPr>
    </w:p>
    <w:p>
      <w:pPr>
        <w:ind w:left="480" w:hanging="474"/>
        <w:spacing w:after="0"/>
        <w:tabs>
          <w:tab w:leader="none" w:pos="4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Liquidity and Capital Resources and Going Concern</w:t>
      </w:r>
    </w:p>
    <w:p>
      <w:pPr>
        <w:spacing w:after="0" w:line="138" w:lineRule="exact"/>
        <w:rPr>
          <w:sz w:val="20"/>
          <w:szCs w:val="20"/>
          <w:color w:val="auto"/>
        </w:rPr>
      </w:pPr>
    </w:p>
    <w:p>
      <w:pPr>
        <w:jc w:val="both"/>
        <w:ind w:firstLine="475"/>
        <w:spacing w:after="0" w:line="250" w:lineRule="auto"/>
        <w:rPr>
          <w:sz w:val="20"/>
          <w:szCs w:val="20"/>
          <w:color w:val="auto"/>
        </w:rPr>
      </w:pPr>
      <w:r>
        <w:rPr>
          <w:rFonts w:ascii="Times New Roman" w:cs="Times New Roman" w:eastAsia="Times New Roman" w:hAnsi="Times New Roman"/>
          <w:sz w:val="18"/>
          <w:szCs w:val="18"/>
          <w:color w:val="auto"/>
        </w:rPr>
        <w:t>The Company has evaluated whether there are certain conditions and events, considered in the aggregate, that raise substantial doubt about the Company’s ability to continue as a going concern within one year after the date that the Unaudited Condensed Consolidated Financial Statements are issued. Based on its recurring losses from operations since inception and continued cash outflows from operating activities (all as described below), the Company has concluded that there is substantial doubt about its ability to continue as a going concern for a period of one year from the date that these Unaudited Condensed Consolidated Financial Statements were issued.</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Preparation of Financial statements</w:t>
      </w:r>
    </w:p>
    <w:p>
      <w:pPr>
        <w:spacing w:after="0" w:line="153"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The Unaudited Condensed Consolidated Financial Statements do not include any adjustments that might result from the outcome of this uncertainty. Accordingly, the Unaudited Condensed Consolidated Financial Statements have been prepared on a basis that assumes the Company will continue as a going concern and which contemplates the realization of assets and satisfaction of liabilities and commitments in the ordinary course of business.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Investment, SPA Portfolio Debt, and Future Equity Plans</w:t>
      </w:r>
    </w:p>
    <w:p>
      <w:pPr>
        <w:spacing w:after="0" w:line="153" w:lineRule="exact"/>
        <w:rPr>
          <w:sz w:val="20"/>
          <w:szCs w:val="20"/>
          <w:color w:val="auto"/>
        </w:rPr>
      </w:pPr>
    </w:p>
    <w:p>
      <w:pPr>
        <w:jc w:val="both"/>
        <w:ind w:firstLine="475"/>
        <w:spacing w:after="0" w:line="294" w:lineRule="auto"/>
        <w:rPr>
          <w:sz w:val="20"/>
          <w:szCs w:val="20"/>
          <w:color w:val="auto"/>
        </w:rPr>
      </w:pPr>
      <w:r>
        <w:rPr>
          <w:rFonts w:ascii="Times New Roman" w:cs="Times New Roman" w:eastAsia="Times New Roman" w:hAnsi="Times New Roman"/>
          <w:sz w:val="16"/>
          <w:szCs w:val="16"/>
          <w:color w:val="auto"/>
        </w:rPr>
        <w:t>The Company has and will continue to devote substantial effort and, to the extent available, capital resources, to strategic planning, engineering, design, and development of its electric vehicle platform, development of vehicle models, finalizing the build out of the FF ieFactory California manufacturing facility, and capital raising. The Company incurred cumulative losses from operations, negative cash flows from operating activities, and has an accumulated deficit of $4,449.3 million, an unrestricted cash balance of $13.2 million and a negative working capital position of $146.0 million as of June 30, 2025.</w:t>
      </w:r>
    </w:p>
    <w:p>
      <w:pPr>
        <w:spacing w:after="0" w:line="74" w:lineRule="exact"/>
        <w:rPr>
          <w:sz w:val="20"/>
          <w:szCs w:val="20"/>
          <w:color w:val="auto"/>
        </w:rPr>
      </w:pPr>
    </w:p>
    <w:p>
      <w:pPr>
        <w:jc w:val="both"/>
        <w:ind w:firstLine="475"/>
        <w:spacing w:after="0" w:line="250" w:lineRule="auto"/>
        <w:rPr>
          <w:sz w:val="20"/>
          <w:szCs w:val="20"/>
          <w:color w:val="auto"/>
        </w:rPr>
      </w:pPr>
      <w:r>
        <w:rPr>
          <w:rFonts w:ascii="Times New Roman" w:cs="Times New Roman" w:eastAsia="Times New Roman" w:hAnsi="Times New Roman"/>
          <w:sz w:val="18"/>
          <w:szCs w:val="18"/>
          <w:color w:val="auto"/>
        </w:rPr>
        <w:t>During 2023, the Company commenced deliveries of the FF Series, specifically the FF 91 model, to customers. The Company is currently manufacturing the FF 91 with plans to manufacture FF 92 models within the FF Series. The Company has launched the FX Series, beginning with the SuperOne model, and is accepting pre-orders. The Company is preparing to initiate full-scale, series production of the FX Series, including the SuperOne, for commercial sale, as distinct from prototype builds or validation units. The Company expects to continue to incur significant operating losses for the foreseeable future.</w:t>
      </w:r>
    </w:p>
    <w:p>
      <w:pPr>
        <w:spacing w:after="0" w:line="122"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 xml:space="preserve">The Company has funded its operations and capital needs primarily through the issuance of notes payable and related party notes payable convertible notes (see Note 7, </w:t>
      </w:r>
      <w:r>
        <w:rPr>
          <w:rFonts w:ascii="Times New Roman" w:cs="Times New Roman" w:eastAsia="Times New Roman" w:hAnsi="Times New Roman"/>
          <w:sz w:val="18"/>
          <w:szCs w:val="18"/>
          <w:i w:val="1"/>
          <w:iCs w:val="1"/>
          <w:color w:val="auto"/>
        </w:rPr>
        <w:t>Notes Payable</w:t>
      </w:r>
      <w:r>
        <w:rPr>
          <w:rFonts w:ascii="Times New Roman" w:cs="Times New Roman" w:eastAsia="Times New Roman" w:hAnsi="Times New Roman"/>
          <w:sz w:val="18"/>
          <w:szCs w:val="18"/>
          <w:color w:val="auto"/>
        </w:rPr>
        <w:t xml:space="preserve"> and Note 8,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xml:space="preserve">), and the sale of common stock. Substantial doubt exists about the Company’s ability to continue as a going concern; however, management plans to continue funding operations through these means. </w:t>
      </w:r>
      <w:r>
        <w:rPr>
          <w:rFonts w:ascii="Times New Roman" w:cs="Times New Roman" w:eastAsia="Times New Roman" w:hAnsi="Times New Roman"/>
          <w:sz w:val="18"/>
          <w:szCs w:val="18"/>
          <w:i w:val="1"/>
          <w:iCs w:val="1"/>
          <w:color w:val="auto"/>
        </w:rPr>
        <w:t>Debt Commitments under SPA Portfolio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Notes and Other Notes</w:t>
      </w:r>
    </w:p>
    <w:p>
      <w:pPr>
        <w:spacing w:after="0" w:line="209"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u w:val="single" w:color="auto"/>
          <w:color w:val="auto"/>
        </w:rPr>
        <w:t>SPA Portfolio Notes</w:t>
      </w:r>
      <w:r>
        <w:rPr>
          <w:rFonts w:ascii="Times New Roman" w:cs="Times New Roman" w:eastAsia="Times New Roman" w:hAnsi="Times New Roman"/>
          <w:sz w:val="18"/>
          <w:szCs w:val="18"/>
          <w:color w:val="auto"/>
        </w:rPr>
        <w:t>: The Company has issued various financing arrangements collectively known as the SPA Portfolio Notes. These are categorized as follows: (i) Secured SPA Notes (defined below); (ii) 2023 Unsecured SPA Notes (defined below); (iii) Junior Secured SPA Notes (defined below); (iv) 2024 Unsecured SPA Notes (defined below) and (v) 2025 March Unsecured SPA Notes (defined below). As of June 30, 2025, the SPA Portfolio Notes were in good standing.</w:t>
      </w:r>
    </w:p>
    <w:p>
      <w:pPr>
        <w:spacing w:after="0" w:line="114" w:lineRule="exact"/>
        <w:rPr>
          <w:sz w:val="20"/>
          <w:szCs w:val="20"/>
          <w:color w:val="auto"/>
        </w:rPr>
      </w:pPr>
    </w:p>
    <w:p>
      <w:pPr>
        <w:jc w:val="both"/>
        <w:ind w:firstLine="475"/>
        <w:spacing w:after="0" w:line="248" w:lineRule="auto"/>
        <w:rPr>
          <w:sz w:val="20"/>
          <w:szCs w:val="20"/>
          <w:color w:val="auto"/>
        </w:rPr>
      </w:pPr>
      <w:r>
        <w:rPr>
          <w:rFonts w:ascii="Times New Roman" w:cs="Times New Roman" w:eastAsia="Times New Roman" w:hAnsi="Times New Roman"/>
          <w:sz w:val="18"/>
          <w:szCs w:val="18"/>
          <w:color w:val="auto"/>
        </w:rPr>
        <w:t xml:space="preserve">Pursuant to the SPA Portfolio Notes commitments (collectively the “SPA Commitments”) (see Note 7, </w:t>
      </w:r>
      <w:r>
        <w:rPr>
          <w:rFonts w:ascii="Times New Roman" w:cs="Times New Roman" w:eastAsia="Times New Roman" w:hAnsi="Times New Roman"/>
          <w:sz w:val="18"/>
          <w:szCs w:val="18"/>
          <w:i w:val="1"/>
          <w:iCs w:val="1"/>
          <w:color w:val="auto"/>
        </w:rPr>
        <w:t>Notes Payable</w:t>
      </w:r>
      <w:r>
        <w:rPr>
          <w:rFonts w:ascii="Times New Roman" w:cs="Times New Roman" w:eastAsia="Times New Roman" w:hAnsi="Times New Roman"/>
          <w:sz w:val="18"/>
          <w:szCs w:val="18"/>
          <w:color w:val="auto"/>
        </w:rPr>
        <w:t xml:space="preserve"> and Note 8, </w:t>
      </w:r>
      <w:r>
        <w:rPr>
          <w:rFonts w:ascii="Times New Roman" w:cs="Times New Roman" w:eastAsia="Times New Roman" w:hAnsi="Times New Roman"/>
          <w:sz w:val="18"/>
          <w:szCs w:val="18"/>
          <w:i w:val="1"/>
          <w:iCs w:val="1"/>
          <w:color w:val="auto"/>
        </w:rPr>
        <w:t>Related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w:t>
      </w:r>
      <w:r>
        <w:rPr>
          <w:rFonts w:ascii="Times New Roman" w:cs="Times New Roman" w:eastAsia="Times New Roman" w:hAnsi="Times New Roman"/>
          <w:sz w:val="18"/>
          <w:szCs w:val="18"/>
          <w:color w:val="auto"/>
        </w:rPr>
        <w:t>), the Company obtained commitments from several investors. As of June 30, 2025, the SPA Commitments totaled $655.5 million, of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$449.3 million was funded, $206.2 million remained to be funded, and $33.3 million in principal was outstanding. On June 30, 2025, Optional Commitments (including incremental warrants) under the SPA Commitments totaled $467.0 million, of which $60.9 million was funded, $406.1 million remained to be funded, and $10.0 million was outstanding. Of these amounts, $189.2 million of SPA Commitments and $305.1 million of Optional Commitments expired unfunded after June 30, 2025, but prior to issuance of these financial statements. The remaining amounts to be funded as of June 30, 2025, are subject to the achievement of delivery milestones, satisfaction of closing conditions, certain of which include minimum share price requirements, resolving disputes with investors, and satisfaction or waiver of other conditions, including for a portion of such financing an effective registration statement for the shares underlying the applicable notes.</w:t>
      </w:r>
    </w:p>
    <w:p>
      <w:pPr>
        <w:spacing w:after="0" w:line="108"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Subsequent to June 30, 2025, the Company entered into an $82.0 million financing agreement and raised approximately $45.7 million in gross proceeds from SPA Portfolio Notes financings and $1.4 million from warrant exercises (see Note 16 Subsequent Events) for details. While these transactions partially address our short-term liquidity needs, substantial doubt continues to exist regarding our ability to continue as a going concern.</w:t>
      </w:r>
    </w:p>
    <w:p>
      <w:pPr>
        <w:spacing w:after="0" w:line="111" w:lineRule="exact"/>
        <w:rPr>
          <w:sz w:val="20"/>
          <w:szCs w:val="20"/>
          <w:color w:val="auto"/>
        </w:rPr>
      </w:pPr>
    </w:p>
    <w:p>
      <w:pPr>
        <w:jc w:val="both"/>
        <w:ind w:firstLine="475"/>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Other Financing Arrangements and Related Party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highlight w:val="white"/>
        </w:rPr>
        <w:t>Additional financing is provided via convertible debt instruments, equipment financing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arrangements, and related party notes that support the Company’s operations and capital expenditures. As of June 30, 2025, the Company was in good standing on all of its other financing arrangements and Related Party Notes.</w:t>
      </w:r>
    </w:p>
    <w:p>
      <w:pPr>
        <w:spacing w:after="0" w:line="113" w:lineRule="exact"/>
        <w:rPr>
          <w:sz w:val="20"/>
          <w:szCs w:val="20"/>
          <w:color w:val="auto"/>
        </w:rPr>
      </w:pPr>
    </w:p>
    <w:p>
      <w:pPr>
        <w:jc w:val="both"/>
        <w:ind w:right="20" w:firstLine="475"/>
        <w:spacing w:after="0" w:line="269" w:lineRule="auto"/>
        <w:rPr>
          <w:sz w:val="20"/>
          <w:szCs w:val="20"/>
          <w:color w:val="auto"/>
        </w:rPr>
      </w:pPr>
      <w:r>
        <w:rPr>
          <w:rFonts w:ascii="Times New Roman" w:cs="Times New Roman" w:eastAsia="Times New Roman" w:hAnsi="Times New Roman"/>
          <w:sz w:val="18"/>
          <w:szCs w:val="18"/>
          <w:color w:val="auto"/>
        </w:rPr>
        <w:t>The Company may be unable to satisfy the closing conditions under the SPA Commitments or obtain additional incremental investors under the SPA Commitments or other debt or equity financing in a timely manner, on acceptable terms, or at all.</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Standby Equity Purchase Agreement, At-The-Market Offerin</w:t>
      </w: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8"/>
          <w:szCs w:val="18"/>
          <w:b w:val="1"/>
          <w:bCs w:val="1"/>
          <w:i w:val="1"/>
          <w:iCs w:val="1"/>
          <w:color w:val="auto"/>
        </w:rPr>
        <w:t>, and Equity Issuance Constraints</w:t>
      </w:r>
    </w:p>
    <w:p>
      <w:pPr>
        <w:spacing w:after="0" w:line="153" w:lineRule="exact"/>
        <w:rPr>
          <w:sz w:val="20"/>
          <w:szCs w:val="20"/>
          <w:color w:val="auto"/>
        </w:rPr>
      </w:pPr>
    </w:p>
    <w:p>
      <w:pPr>
        <w:jc w:val="both"/>
        <w:ind w:right="20" w:firstLine="475"/>
        <w:spacing w:after="0" w:line="269" w:lineRule="auto"/>
        <w:rPr>
          <w:sz w:val="20"/>
          <w:szCs w:val="20"/>
          <w:color w:val="auto"/>
        </w:rPr>
      </w:pPr>
      <w:r>
        <w:rPr>
          <w:rFonts w:ascii="Times New Roman" w:cs="Times New Roman" w:eastAsia="Times New Roman" w:hAnsi="Times New Roman"/>
          <w:sz w:val="18"/>
          <w:szCs w:val="18"/>
          <w:color w:val="auto"/>
        </w:rPr>
        <w:t>The Company has implemented a series of financing arrangements, including a Standby Equity Purchase Agreement with Yorkville and an At-The-Market offering. These initiatives are accompanied by equity issuance constraints, such as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0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limitations imposed by authorized share counts and the impact of convertible securities and related provisions. Together, these elements define the Company’s approach to capital raising and its management of associated regulatory and contractual obligations</w:t>
      </w:r>
      <w:r>
        <w:rPr>
          <w:rFonts w:ascii="Times New Roman" w:cs="Times New Roman" w:eastAsia="Times New Roman" w:hAnsi="Times New Roman"/>
          <w:sz w:val="18"/>
          <w:szCs w:val="18"/>
          <w:i w:val="1"/>
          <w:iCs w:val="1"/>
          <w:color w:val="auto"/>
        </w:rPr>
        <w: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Standby Equity Purchase Agreement (“SEPA”)</w:t>
      </w:r>
    </w:p>
    <w:p>
      <w:pPr>
        <w:spacing w:after="0" w:line="151"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On November 11, 2022, the Company entered into the SEPA, which expires in November 2025. Under the terms of the SEPA, the Company may, at its option, issue and sell from time to time up to $200.0 million (which can be increased up to $350.0 million in the aggregate under the Company’s option) of Class A Common Stock to YA II PN Ltd. (“Yorkville”), subject to certain limitations. As of June 30, 2025, the Company had the right to issue and sell up to an additional $192.5 million, or $342.5 million if the Company exercises its option under the SEPA.</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At-The-Market Offerin</w:t>
      </w:r>
      <w:r>
        <w:rPr>
          <w:rFonts w:ascii="Times New Roman" w:cs="Times New Roman" w:eastAsia="Times New Roman" w:hAnsi="Times New Roman"/>
          <w:sz w:val="18"/>
          <w:szCs w:val="18"/>
          <w:color w:val="auto"/>
        </w:rPr>
        <w:t>g</w:t>
      </w:r>
    </w:p>
    <w:p>
      <w:pPr>
        <w:spacing w:after="0" w:line="151" w:lineRule="exact"/>
        <w:rPr>
          <w:sz w:val="20"/>
          <w:szCs w:val="20"/>
          <w:color w:val="auto"/>
        </w:rPr>
      </w:pPr>
    </w:p>
    <w:p>
      <w:pPr>
        <w:jc w:val="both"/>
        <w:ind w:firstLine="475"/>
        <w:spacing w:after="0" w:line="249" w:lineRule="auto"/>
        <w:rPr>
          <w:sz w:val="20"/>
          <w:szCs w:val="20"/>
          <w:color w:val="auto"/>
        </w:rPr>
      </w:pPr>
      <w:r>
        <w:rPr>
          <w:rFonts w:ascii="Times New Roman" w:cs="Times New Roman" w:eastAsia="Times New Roman" w:hAnsi="Times New Roman"/>
          <w:sz w:val="18"/>
          <w:szCs w:val="18"/>
          <w:color w:val="auto"/>
        </w:rPr>
        <w:t>On September 26, 2023, the Company entered into a sales agreement with Stifel, Nicolaus &amp; Company, Incorporated, B. Riley Securities, Inc., A.G.P./Alliance Global Partners, Wedbush Securities Inc. and Maxim Group LLC, as sales agents, to sell shares of Class A Common Stock, from time to time, with aggregate gross sales proceeds of up to $90.0 million pursuant to the Registration Statement as an “at-the-market” offering under the Securities Act (the “ATM Program”). Under applicable SEC rules and regulations, because the Company failed to timely file its Form 10-K for the year ended December 31, 2023, as well as its Form 10-Qs for the quarters ended March 31, 2024 and June 30, 2024, the Company was previously ineligible to access the ATM Program. However, as of August 1, 2025, the Company regained eligibility to access the ATM Program.</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Issuance Constraints</w:t>
      </w:r>
    </w:p>
    <w:p>
      <w:pPr>
        <w:spacing w:after="0" w:line="151" w:lineRule="exact"/>
        <w:rPr>
          <w:sz w:val="20"/>
          <w:szCs w:val="20"/>
          <w:color w:val="auto"/>
        </w:rPr>
      </w:pPr>
    </w:p>
    <w:p>
      <w:pPr>
        <w:jc w:val="both"/>
        <w:ind w:firstLine="475"/>
        <w:spacing w:after="0" w:line="250" w:lineRule="auto"/>
        <w:rPr>
          <w:sz w:val="20"/>
          <w:szCs w:val="20"/>
          <w:color w:val="auto"/>
        </w:rPr>
      </w:pPr>
      <w:r>
        <w:rPr>
          <w:rFonts w:ascii="Times New Roman" w:cs="Times New Roman" w:eastAsia="Times New Roman" w:hAnsi="Times New Roman"/>
          <w:sz w:val="18"/>
          <w:szCs w:val="18"/>
          <w:color w:val="auto"/>
        </w:rPr>
        <w:t>The Company’s ability to issue and sell additional shares of Common Stock or warrants to support ongoing capital needs is further constrained by the number of authorized shares. In addition to outstanding shares, the Company must also consider shares reserved for issuance under convertible debt, warrants or other obligations with equity rights. In addition, equity issuances can potentially trigger various anti-dilution features in the Company’s debt and equity instruments that increase the number of shares to be issued and/or reduce the exercise price. This could result in the Company having inadequate authorized shares to meet its outstanding commitments.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Needs, FX Series Production, and Bankruptcy Risk</w:t>
      </w:r>
    </w:p>
    <w:p>
      <w:pPr>
        <w:spacing w:after="0" w:line="140" w:lineRule="exact"/>
        <w:rPr>
          <w:sz w:val="20"/>
          <w:szCs w:val="20"/>
          <w:color w:val="auto"/>
        </w:rPr>
      </w:pPr>
    </w:p>
    <w:p>
      <w:pPr>
        <w:jc w:val="both"/>
        <w:ind w:firstLine="475"/>
        <w:spacing w:after="0" w:line="249" w:lineRule="auto"/>
        <w:rPr>
          <w:sz w:val="20"/>
          <w:szCs w:val="20"/>
          <w:color w:val="auto"/>
        </w:rPr>
      </w:pPr>
      <w:r>
        <w:rPr>
          <w:rFonts w:ascii="Times New Roman" w:cs="Times New Roman" w:eastAsia="Times New Roman" w:hAnsi="Times New Roman"/>
          <w:sz w:val="18"/>
          <w:szCs w:val="18"/>
          <w:color w:val="auto"/>
        </w:rPr>
        <w:t>The Company projects that it will require substantial additional funds to continue operations and support production of the FF 91, and it also plans to initiate production of its FX Series of vehicles. If additional capital is not secured, the Company will not have sufficient resources to meet its obligations and continue operations, which could result in bankruptcy protection and asset liquidation, with equity holders receiving little to no recovery. The anticipated start of FX Series production is expected to generate new revenue streams and enhance operational performance, partially mitigating near-term cash flow pressures; however, if additional capital is not secured, the Company will not have sufficient resources to meet its obligations or continue operations, potentially resulting in bankruptcy protection, asset liquidation, and minimal or no recovery for equity holders.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Alternatives and Risks</w:t>
      </w:r>
    </w:p>
    <w:p>
      <w:pPr>
        <w:spacing w:after="0" w:line="153" w:lineRule="exact"/>
        <w:rPr>
          <w:sz w:val="20"/>
          <w:szCs w:val="20"/>
          <w:color w:val="auto"/>
        </w:rPr>
      </w:pPr>
    </w:p>
    <w:p>
      <w:pPr>
        <w:jc w:val="both"/>
        <w:ind w:firstLine="475"/>
        <w:spacing w:after="0" w:line="246" w:lineRule="auto"/>
        <w:rPr>
          <w:sz w:val="20"/>
          <w:szCs w:val="20"/>
          <w:color w:val="auto"/>
        </w:rPr>
      </w:pPr>
      <w:r>
        <w:rPr>
          <w:rFonts w:ascii="Times New Roman" w:cs="Times New Roman" w:eastAsia="Times New Roman" w:hAnsi="Times New Roman"/>
          <w:sz w:val="18"/>
          <w:szCs w:val="18"/>
          <w:color w:val="auto"/>
        </w:rPr>
        <w:t>The Company continues to explore various funding and financing alternatives to fund its ongoing operations and to ramp up production. The particular funding and financing mechanisms, terms, timing, and amounts depend on the Company’s assessment of opportunities available in the marketplace and the circumstances of the business at the relevant time. However, there have been delays in securing additional funding commitments, which have exacerbated supply chain pressures, among other things. If the Company’s ongoing capital raising efforts are unsuccessful or significantly delayed, or if the Company experiences prolonged material adverse trends in its business, production will be delayed or decreased, and actual use of cash, production volume and revenue for 2025 will vary from the Company’s previously disclosed forecasts, and such variances may be material. While the Company is actively engaged in negotiations with potential financing sources, it may be unable to raise additional capital on terms acceptable to it or at all. In addition to the risk that the Company’s assumptions and analyses may prove incorrect, the projections may underestimate the professional fees and other costs to be incurred related to the pursuit of various financing options currently being considered and ongoing legal risks. Capital needed to fund the development of the Company’s remaining product portfolio will largely depend on market success and profitability of the FF 91 and the launch of the FX series, and the Company’s ability to accurately estimate and control costs. Apart from the FF 91 series and FX series, substantial additional capital would be required to fund operations, research, development, and design efforts for future vehicles.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03"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In addition, elevated U.S. import tariffs on electric vehicle components sourced from China could increase the Company's future manufacturing costs as production of the FX Series and other future vehicle models are introduced. While tariffs did not materially impact cost of goods sold for the three and six months ended June 30, 2025, due to limited production volume, continued reliance on China-based suppliers may contribute to higher input costs, pressure gross margins, and increase the Company's future funding needs.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 and Future Capital Strategy</w:t>
      </w:r>
    </w:p>
    <w:p>
      <w:pPr>
        <w:spacing w:after="0" w:line="140"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Despite the Company’s diversified financing structure – including its SPA Portfolio Notes, convertible debt instruments, and equipment financing, and targeted inflows from new debt, and anticipated equity, the Company’s recurring operating losses and continuing negative cash flows from operations continue to raise substantial doubt about the Company’s ability to continue as a going concern.</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Inventory, net</w:t>
            </w:r>
          </w:p>
        </w:tc>
        <w:tc>
          <w:tcPr>
            <w:tcW w:w="3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343"/>
        </w:trPr>
        <w:tc>
          <w:tcPr>
            <w:tcW w:w="300" w:type="dxa"/>
            <w:vAlign w:val="bottom"/>
          </w:tcPr>
          <w:p>
            <w:pPr>
              <w:spacing w:after="0"/>
              <w:rPr>
                <w:sz w:val="24"/>
                <w:szCs w:val="24"/>
                <w:color w:val="auto"/>
              </w:rPr>
            </w:pPr>
          </w:p>
        </w:tc>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 net, consists of the following as of:</w:t>
            </w: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58"/>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Pr>
          <w:p>
            <w:pPr>
              <w:spacing w:after="0"/>
              <w:rPr>
                <w:sz w:val="22"/>
                <w:szCs w:val="22"/>
                <w:color w:val="auto"/>
              </w:rPr>
            </w:pPr>
          </w:p>
        </w:tc>
        <w:tc>
          <w:tcPr>
            <w:tcW w:w="180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60" w:type="dxa"/>
            <w:vAlign w:val="bottom"/>
          </w:tcPr>
          <w:p>
            <w:pPr>
              <w:spacing w:after="0"/>
              <w:rPr>
                <w:sz w:val="22"/>
                <w:szCs w:val="22"/>
                <w:color w:val="auto"/>
              </w:rPr>
            </w:pPr>
          </w:p>
        </w:tc>
        <w:tc>
          <w:tcPr>
            <w:tcW w:w="1800" w:type="dxa"/>
            <w:vAlign w:val="bottom"/>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44"/>
        </w:trPr>
        <w:tc>
          <w:tcPr>
            <w:tcW w:w="70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(net of reserves)</w:t>
            </w:r>
          </w:p>
        </w:tc>
        <w:tc>
          <w:tcPr>
            <w:tcW w:w="340" w:type="dxa"/>
            <w:vAlign w:val="bottom"/>
            <w:tcBorders>
              <w:top w:val="single" w:sz="8" w:color="auto"/>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27,440</w:t>
            </w:r>
          </w:p>
        </w:tc>
      </w:tr>
      <w:tr>
        <w:trPr>
          <w:trHeight w:val="237"/>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3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7"/>
        </w:trPr>
        <w:tc>
          <w:tcPr>
            <w:tcW w:w="70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64"/>
        </w:trPr>
        <w:tc>
          <w:tcPr>
            <w:tcW w:w="7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4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00" w:type="dxa"/>
            <w:vAlign w:val="bottom"/>
          </w:tcPr>
          <w:p>
            <w:pPr>
              <w:spacing w:after="0"/>
              <w:rPr>
                <w:sz w:val="19"/>
                <w:szCs w:val="19"/>
                <w:color w:val="auto"/>
              </w:rPr>
            </w:pPr>
          </w:p>
        </w:tc>
        <w:tc>
          <w:tcPr>
            <w:tcW w:w="6740" w:type="dxa"/>
            <w:vAlign w:val="bottom"/>
          </w:tcPr>
          <w:p>
            <w:pPr>
              <w:spacing w:after="0"/>
              <w:rPr>
                <w:sz w:val="19"/>
                <w:szCs w:val="19"/>
                <w:color w:val="auto"/>
              </w:rPr>
            </w:pPr>
          </w:p>
        </w:tc>
        <w:tc>
          <w:tcPr>
            <w:tcW w:w="34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23,103</w:t>
            </w:r>
          </w:p>
        </w:tc>
        <w:tc>
          <w:tcPr>
            <w:tcW w:w="80" w:type="dxa"/>
            <w:vAlign w:val="bottom"/>
          </w:tcPr>
          <w:p>
            <w:pPr>
              <w:spacing w:after="0"/>
              <w:rPr>
                <w:sz w:val="19"/>
                <w:szCs w:val="19"/>
                <w:color w:val="auto"/>
              </w:rPr>
            </w:pPr>
          </w:p>
        </w:tc>
        <w:tc>
          <w:tcPr>
            <w:tcW w:w="26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27,486</w:t>
            </w:r>
          </w:p>
        </w:tc>
      </w:tr>
      <w:tr>
        <w:trPr>
          <w:trHeight w:val="27"/>
        </w:trPr>
        <w:tc>
          <w:tcPr>
            <w:tcW w:w="300" w:type="dxa"/>
            <w:vAlign w:val="bottom"/>
          </w:tcPr>
          <w:p>
            <w:pPr>
              <w:spacing w:after="0"/>
              <w:rPr>
                <w:sz w:val="2"/>
                <w:szCs w:val="2"/>
                <w:color w:val="auto"/>
              </w:rPr>
            </w:pPr>
          </w:p>
        </w:tc>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
        </w:trPr>
        <w:tc>
          <w:tcPr>
            <w:tcW w:w="30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inventory reserve was $7.1 million and $3.3 million as of June 30, 2025 and December 31, 2024, respectively.</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Deposits and Other Current Assets</w:t>
            </w:r>
          </w:p>
        </w:tc>
        <w:tc>
          <w:tcPr>
            <w:tcW w:w="3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43"/>
        </w:trPr>
        <w:tc>
          <w:tcPr>
            <w:tcW w:w="300" w:type="dxa"/>
            <w:vAlign w:val="bottom"/>
          </w:tcPr>
          <w:p>
            <w:pPr>
              <w:spacing w:after="0"/>
              <w:rPr>
                <w:sz w:val="24"/>
                <w:szCs w:val="24"/>
                <w:color w:val="auto"/>
              </w:rPr>
            </w:pPr>
          </w:p>
        </w:tc>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Deposits and other current assets consist of the following as of:</w:t>
            </w:r>
          </w:p>
        </w:tc>
        <w:tc>
          <w:tcPr>
            <w:tcW w:w="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403"/>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Pr>
          <w:p>
            <w:pPr>
              <w:spacing w:after="0"/>
              <w:rPr>
                <w:sz w:val="24"/>
                <w:szCs w:val="24"/>
                <w:color w:val="auto"/>
              </w:rPr>
            </w:pPr>
          </w:p>
        </w:tc>
        <w:tc>
          <w:tcPr>
            <w:tcW w:w="184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60" w:type="dxa"/>
            <w:vAlign w:val="bottom"/>
          </w:tcPr>
          <w:p>
            <w:pPr>
              <w:spacing w:after="0"/>
              <w:rPr>
                <w:sz w:val="24"/>
                <w:szCs w:val="24"/>
                <w:color w:val="auto"/>
              </w:rPr>
            </w:pPr>
          </w:p>
        </w:tc>
        <w:tc>
          <w:tcPr>
            <w:tcW w:w="182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31"/>
        </w:trPr>
        <w:tc>
          <w:tcPr>
            <w:tcW w:w="69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Deposits</w:t>
            </w: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7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8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37"/>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Deposits for research and development, prototype and production parts, and other</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31,748</w:t>
            </w:r>
          </w:p>
        </w:tc>
        <w:tc>
          <w:tcPr>
            <w:tcW w:w="10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29,318</w:t>
            </w:r>
          </w:p>
        </w:tc>
      </w:tr>
      <w:tr>
        <w:trPr>
          <w:trHeight w:val="27"/>
        </w:trPr>
        <w:tc>
          <w:tcPr>
            <w:tcW w:w="69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64"/>
        </w:trPr>
        <w:tc>
          <w:tcPr>
            <w:tcW w:w="6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 for goods and services yet to be received (“Future Work”)</w:t>
            </w:r>
          </w:p>
        </w:tc>
        <w:tc>
          <w:tcPr>
            <w:tcW w:w="34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w:t>
            </w:r>
          </w:p>
        </w:tc>
      </w:tr>
      <w:tr>
        <w:trPr>
          <w:trHeight w:val="230"/>
        </w:trPr>
        <w:tc>
          <w:tcPr>
            <w:tcW w:w="300" w:type="dxa"/>
            <w:vAlign w:val="bottom"/>
          </w:tcPr>
          <w:p>
            <w:pPr>
              <w:spacing w:after="0"/>
              <w:rPr>
                <w:sz w:val="19"/>
                <w:szCs w:val="19"/>
                <w:color w:val="auto"/>
              </w:rPr>
            </w:pPr>
          </w:p>
        </w:tc>
        <w:tc>
          <w:tcPr>
            <w:tcW w:w="6680" w:type="dxa"/>
            <w:vAlign w:val="bottom"/>
          </w:tcPr>
          <w:p>
            <w:pPr>
              <w:spacing w:after="0"/>
              <w:rPr>
                <w:sz w:val="19"/>
                <w:szCs w:val="19"/>
                <w:color w:val="auto"/>
              </w:rPr>
            </w:pPr>
          </w:p>
        </w:tc>
        <w:tc>
          <w:tcPr>
            <w:tcW w:w="34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33,424</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31,094</w:t>
            </w:r>
          </w:p>
        </w:tc>
      </w:tr>
      <w:tr>
        <w:trPr>
          <w:trHeight w:val="27"/>
        </w:trPr>
        <w:tc>
          <w:tcPr>
            <w:tcW w:w="698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0"/>
        </w:trPr>
        <w:tc>
          <w:tcPr>
            <w:tcW w:w="300" w:type="dxa"/>
            <w:vAlign w:val="bottom"/>
            <w:tcBorders>
              <w:bottom w:val="single" w:sz="8" w:color="CCEEFF"/>
            </w:tcBorders>
          </w:tcPr>
          <w:p>
            <w:pPr>
              <w:spacing w:after="0" w:line="20" w:lineRule="exact"/>
              <w:rPr>
                <w:sz w:val="1"/>
                <w:szCs w:val="1"/>
                <w:color w:val="auto"/>
              </w:rPr>
            </w:pPr>
          </w:p>
        </w:tc>
        <w:tc>
          <w:tcPr>
            <w:tcW w:w="66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30"/>
        </w:trPr>
        <w:tc>
          <w:tcPr>
            <w:tcW w:w="300" w:type="dxa"/>
            <w:vAlign w:val="bottom"/>
            <w:shd w:val="clear" w:color="auto" w:fill="CCEEFF"/>
          </w:tcPr>
          <w:p>
            <w:pPr>
              <w:spacing w:after="0"/>
              <w:rPr>
                <w:sz w:val="20"/>
                <w:szCs w:val="20"/>
                <w:color w:val="auto"/>
              </w:rPr>
            </w:pPr>
          </w:p>
        </w:tc>
        <w:tc>
          <w:tcPr>
            <w:tcW w:w="66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r>
      <w:tr>
        <w:trPr>
          <w:trHeight w:val="257"/>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current assets</w:t>
            </w:r>
          </w:p>
        </w:tc>
        <w:tc>
          <w:tcPr>
            <w:tcW w:w="340" w:type="dxa"/>
            <w:vAlign w:val="bottom"/>
          </w:tcPr>
          <w:p>
            <w:pPr>
              <w:spacing w:after="0"/>
              <w:rPr>
                <w:sz w:val="22"/>
                <w:szCs w:val="22"/>
                <w:color w:val="auto"/>
              </w:rPr>
            </w:pPr>
          </w:p>
        </w:tc>
        <w:tc>
          <w:tcPr>
            <w:tcW w:w="184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60" w:type="dxa"/>
            <w:vAlign w:val="bottom"/>
          </w:tcPr>
          <w:p>
            <w:pPr>
              <w:spacing w:after="0"/>
              <w:rPr>
                <w:sz w:val="22"/>
                <w:szCs w:val="22"/>
                <w:color w:val="auto"/>
              </w:rPr>
            </w:pPr>
          </w:p>
        </w:tc>
        <w:tc>
          <w:tcPr>
            <w:tcW w:w="182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44"/>
        </w:trPr>
        <w:tc>
          <w:tcPr>
            <w:tcW w:w="69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340" w:type="dxa"/>
            <w:vAlign w:val="bottom"/>
            <w:tcBorders>
              <w:top w:val="single" w:sz="8" w:color="auto"/>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4,832</w:t>
            </w:r>
          </w:p>
        </w:tc>
      </w:tr>
      <w:tr>
        <w:trPr>
          <w:trHeight w:val="237"/>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0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w:t>
            </w:r>
          </w:p>
        </w:tc>
      </w:tr>
      <w:tr>
        <w:trPr>
          <w:trHeight w:val="27"/>
        </w:trPr>
        <w:tc>
          <w:tcPr>
            <w:tcW w:w="300" w:type="dxa"/>
            <w:vAlign w:val="bottom"/>
            <w:tcBorders>
              <w:bottom w:val="single" w:sz="8" w:color="CCEEFF"/>
            </w:tcBorders>
          </w:tcPr>
          <w:p>
            <w:pPr>
              <w:spacing w:after="0"/>
              <w:rPr>
                <w:sz w:val="2"/>
                <w:szCs w:val="2"/>
                <w:color w:val="auto"/>
              </w:rPr>
            </w:pPr>
          </w:p>
        </w:tc>
        <w:tc>
          <w:tcPr>
            <w:tcW w:w="66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82"/>
        </w:trPr>
        <w:tc>
          <w:tcPr>
            <w:tcW w:w="300" w:type="dxa"/>
            <w:vAlign w:val="bottom"/>
            <w:tcBorders>
              <w:bottom w:val="single" w:sz="8" w:color="CCEEFF"/>
            </w:tcBorders>
            <w:shd w:val="clear" w:color="auto" w:fill="CCEEFF"/>
          </w:tcPr>
          <w:p>
            <w:pPr>
              <w:spacing w:after="0"/>
              <w:rPr>
                <w:sz w:val="24"/>
                <w:szCs w:val="24"/>
                <w:color w:val="auto"/>
              </w:rPr>
            </w:pPr>
          </w:p>
        </w:tc>
        <w:tc>
          <w:tcPr>
            <w:tcW w:w="66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6,141</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6,127</w:t>
            </w:r>
          </w:p>
        </w:tc>
      </w:tr>
      <w:tr>
        <w:trPr>
          <w:trHeight w:val="20"/>
        </w:trPr>
        <w:tc>
          <w:tcPr>
            <w:tcW w:w="300" w:type="dxa"/>
            <w:vAlign w:val="bottom"/>
            <w:tcBorders>
              <w:top w:val="single" w:sz="8" w:color="CCEEFF"/>
            </w:tcBorders>
          </w:tcPr>
          <w:p>
            <w:pPr>
              <w:spacing w:after="0" w:line="20" w:lineRule="exact"/>
              <w:rPr>
                <w:sz w:val="1"/>
                <w:szCs w:val="1"/>
                <w:color w:val="auto"/>
              </w:rPr>
            </w:pPr>
          </w:p>
        </w:tc>
        <w:tc>
          <w:tcPr>
            <w:tcW w:w="6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Deposits for R&amp;D, prototype and production parts, and other related items are recognized and reported as R&amp;D expenses in the Unaudited Condensed Consolidated Statements of Operations and Comprehensive Loss when services are provided or as prototype parts are received. In addition, during the three and six months ended June 30, 2025 and 2024, the Company made deposits for inventory and property and equipment items which are classified as Deposits for goods and services yet to be received (“Future Work”).</w:t>
      </w:r>
    </w:p>
    <w:p>
      <w:pPr>
        <w:spacing w:after="0" w:line="13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Prepaid expenses primarily consist of software subscriptions and insurance, and Other current assets includes certain deferred expenses.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01" w:lineRule="exact"/>
        <w:rPr>
          <w:sz w:val="20"/>
          <w:szCs w:val="20"/>
          <w:color w:val="auto"/>
        </w:rPr>
      </w:pPr>
    </w:p>
    <w:p>
      <w:pPr>
        <w:ind w:left="480" w:hanging="474"/>
        <w:spacing w:after="0"/>
        <w:tabs>
          <w:tab w:leader="none" w:pos="4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 Net</w:t>
      </w:r>
    </w:p>
    <w:p>
      <w:pPr>
        <w:spacing w:after="0" w:line="151" w:lineRule="exact"/>
        <w:rPr>
          <w:rFonts w:ascii="Times New Roman" w:cs="Times New Roman" w:eastAsia="Times New Roman" w:hAnsi="Times New Roman"/>
          <w:sz w:val="18"/>
          <w:szCs w:val="18"/>
          <w:b w:val="1"/>
          <w:bCs w:val="1"/>
          <w:color w:val="auto"/>
        </w:rPr>
      </w:pPr>
    </w:p>
    <w:p>
      <w:pPr>
        <w:ind w:left="4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plant, and equipment, net, consists of the following as of:</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Pr>
          <w:p>
            <w:pPr>
              <w:spacing w:after="0"/>
              <w:rPr>
                <w:sz w:val="19"/>
                <w:szCs w:val="19"/>
                <w:color w:val="auto"/>
              </w:rPr>
            </w:pPr>
          </w:p>
        </w:tc>
        <w:tc>
          <w:tcPr>
            <w:tcW w:w="184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60" w:type="dxa"/>
            <w:vAlign w:val="bottom"/>
          </w:tcPr>
          <w:p>
            <w:pPr>
              <w:spacing w:after="0"/>
              <w:rPr>
                <w:sz w:val="19"/>
                <w:szCs w:val="19"/>
                <w:color w:val="auto"/>
              </w:rPr>
            </w:pPr>
          </w:p>
        </w:tc>
        <w:tc>
          <w:tcPr>
            <w:tcW w:w="182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44"/>
        </w:trPr>
        <w:tc>
          <w:tcPr>
            <w:tcW w:w="6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buildings and leasehold improvements</w:t>
            </w:r>
          </w:p>
        </w:tc>
        <w:tc>
          <w:tcPr>
            <w:tcW w:w="340" w:type="dxa"/>
            <w:vAlign w:val="bottom"/>
            <w:tcBorders>
              <w:top w:val="single" w:sz="8" w:color="auto"/>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111,443</w:t>
            </w:r>
          </w:p>
        </w:tc>
      </w:tr>
      <w:tr>
        <w:trPr>
          <w:trHeight w:val="237"/>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hardware</w:t>
            </w:r>
          </w:p>
        </w:tc>
        <w:tc>
          <w:tcPr>
            <w:tcW w:w="3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w:t>
            </w:r>
          </w:p>
        </w:tc>
      </w:tr>
      <w:tr>
        <w:trPr>
          <w:trHeight w:val="27"/>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Tooling, machinery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319,313</w:t>
            </w:r>
          </w:p>
        </w:tc>
      </w:tr>
      <w:tr>
        <w:trPr>
          <w:trHeight w:val="237"/>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3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7"/>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vehicles</w:t>
            </w:r>
          </w:p>
        </w:tc>
        <w:tc>
          <w:tcPr>
            <w:tcW w:w="3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w:t>
            </w:r>
          </w:p>
        </w:tc>
      </w:tr>
      <w:tr>
        <w:trPr>
          <w:trHeight w:val="237"/>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software</w:t>
            </w:r>
          </w:p>
        </w:tc>
        <w:tc>
          <w:tcPr>
            <w:tcW w:w="3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4,339</w:t>
            </w:r>
          </w:p>
        </w:tc>
      </w:tr>
      <w:tr>
        <w:trPr>
          <w:trHeight w:val="27"/>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64"/>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process</w:t>
            </w:r>
          </w:p>
        </w:tc>
        <w:tc>
          <w:tcPr>
            <w:tcW w:w="34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27,563</w:t>
            </w:r>
          </w:p>
        </w:tc>
      </w:tr>
      <w:tr>
        <w:trPr>
          <w:trHeight w:val="230"/>
        </w:trPr>
        <w:tc>
          <w:tcPr>
            <w:tcW w:w="69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471,701</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468,421</w:t>
            </w:r>
          </w:p>
        </w:tc>
      </w:tr>
      <w:tr>
        <w:trPr>
          <w:trHeight w:val="27"/>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64"/>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4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(156,717)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(119,834)</w:t>
            </w:r>
          </w:p>
        </w:tc>
      </w:tr>
      <w:tr>
        <w:trPr>
          <w:trHeight w:val="230"/>
        </w:trPr>
        <w:tc>
          <w:tcPr>
            <w:tcW w:w="6980" w:type="dxa"/>
            <w:vAlign w:val="bottom"/>
          </w:tcPr>
          <w:p>
            <w:pPr>
              <w:spacing w:after="0"/>
              <w:rPr>
                <w:sz w:val="19"/>
                <w:szCs w:val="19"/>
                <w:color w:val="auto"/>
              </w:rPr>
            </w:pPr>
          </w:p>
        </w:tc>
        <w:tc>
          <w:tcPr>
            <w:tcW w:w="34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314,984</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348,587</w:t>
            </w:r>
          </w:p>
        </w:tc>
      </w:tr>
      <w:tr>
        <w:trPr>
          <w:trHeight w:val="27"/>
        </w:trPr>
        <w:tc>
          <w:tcPr>
            <w:tcW w:w="6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0"/>
        </w:trPr>
        <w:tc>
          <w:tcPr>
            <w:tcW w:w="6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The Company’s CIP is primarily related to the construction of tooling, machinery and equipment for the FF ieFactory California. Tooling, machinery, and equipment are either held at Company facilities, primarily the FF ieFactory California, or at the vendor’s location until the tooling, machinery and equipment is completed.</w:t>
      </w:r>
    </w:p>
    <w:p>
      <w:pPr>
        <w:spacing w:after="0" w:line="113"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Depreciation and amortization expense totaled $19.8 million and $18.1 million for the three months ended June 30, 2025 and 2024, respectively and $37.3 million and $35.8 million for the six months ended June 30, 2025 and 2024. For the six months ended June 30, 2025, the Company disposed of property, plant, and equipment, which included the derecognition of approximately $0.3 million in accumulated depreciation.</w:t>
      </w:r>
    </w:p>
    <w:p>
      <w:pPr>
        <w:spacing w:after="0" w:line="177" w:lineRule="exact"/>
        <w:rPr>
          <w:sz w:val="20"/>
          <w:szCs w:val="20"/>
          <w:color w:val="auto"/>
        </w:rPr>
      </w:pPr>
    </w:p>
    <w:p>
      <w:pPr>
        <w:ind w:left="560" w:hanging="475"/>
        <w:spacing w:after="0"/>
        <w:tabs>
          <w:tab w:leader="none" w:pos="5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15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Accrued expenses and other current liabilities—which include both third-party and related-party balances—comprise the following items as of:</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640" w:type="dxa"/>
            <w:vAlign w:val="bottom"/>
          </w:tcPr>
          <w:p>
            <w:pPr>
              <w:ind w:left="6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19"/>
                <w:szCs w:val="19"/>
                <w:color w:val="auto"/>
              </w:rPr>
            </w:pPr>
          </w:p>
        </w:tc>
        <w:tc>
          <w:tcPr>
            <w:tcW w:w="15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80" w:type="dxa"/>
            <w:vAlign w:val="bottom"/>
          </w:tcPr>
          <w:p>
            <w:pPr>
              <w:spacing w:after="0"/>
              <w:rPr>
                <w:sz w:val="19"/>
                <w:szCs w:val="19"/>
                <w:color w:val="auto"/>
              </w:rPr>
            </w:pPr>
          </w:p>
        </w:tc>
        <w:tc>
          <w:tcPr>
            <w:tcW w:w="158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44"/>
        </w:trPr>
        <w:tc>
          <w:tcPr>
            <w:tcW w:w="7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payroll and benefits</w:t>
            </w:r>
          </w:p>
        </w:tc>
        <w:tc>
          <w:tcPr>
            <w:tcW w:w="26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27,713</w:t>
            </w:r>
          </w:p>
        </w:tc>
      </w:tr>
      <w:tr>
        <w:trPr>
          <w:trHeight w:val="237"/>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legal contingencies</w:t>
            </w:r>
          </w:p>
        </w:tc>
        <w:tc>
          <w:tcPr>
            <w:tcW w:w="2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9,091</w:t>
            </w:r>
          </w:p>
        </w:tc>
      </w:tr>
      <w:tr>
        <w:trPr>
          <w:trHeight w:val="27"/>
        </w:trPr>
        <w:tc>
          <w:tcPr>
            <w:tcW w:w="7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4"/>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deposits</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w:t>
            </w:r>
          </w:p>
        </w:tc>
      </w:tr>
      <w:tr>
        <w:trPr>
          <w:trHeight w:val="237"/>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liabilities with related parties</w:t>
            </w:r>
          </w:p>
        </w:tc>
        <w:tc>
          <w:tcPr>
            <w:tcW w:w="2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11,077</w:t>
            </w:r>
          </w:p>
        </w:tc>
      </w:tr>
      <w:tr>
        <w:trPr>
          <w:trHeight w:val="27"/>
        </w:trPr>
        <w:tc>
          <w:tcPr>
            <w:tcW w:w="7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64"/>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10,606</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5,846</w:t>
            </w:r>
          </w:p>
        </w:tc>
      </w:tr>
      <w:tr>
        <w:trPr>
          <w:trHeight w:val="230"/>
        </w:trPr>
        <w:tc>
          <w:tcPr>
            <w:tcW w:w="7640" w:type="dxa"/>
            <w:vAlign w:val="bottom"/>
          </w:tcPr>
          <w:p>
            <w:pPr>
              <w:spacing w:after="0"/>
              <w:rPr>
                <w:sz w:val="19"/>
                <w:szCs w:val="19"/>
                <w:color w:val="auto"/>
              </w:rPr>
            </w:pPr>
          </w:p>
        </w:tc>
        <w:tc>
          <w:tcPr>
            <w:tcW w:w="26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65,692</w:t>
            </w: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56,754</w:t>
            </w:r>
          </w:p>
        </w:tc>
      </w:tr>
      <w:tr>
        <w:trPr>
          <w:trHeight w:val="27"/>
        </w:trPr>
        <w:tc>
          <w:tcPr>
            <w:tcW w:w="7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7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Retirement Obligation</w:t>
      </w:r>
    </w:p>
    <w:p>
      <w:pPr>
        <w:spacing w:after="0" w:line="140"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Due to the build out of the FF ieFactory California, the Company has an asset retirement obligation (“ARO”) totaling $0.8 million and $0.8 million as of June 30, 2025 and December 31, 2024, respectively. The ARO is recorded in Other liabilities with a corresponding ARO asset within Land, buildings and leasehold improvements and Tooling, machinery, and equipment. The ARO asset is depreciated to operating expense over the remaining term of the lease through December 2027.</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80" w:hanging="474"/>
        <w:spacing w:after="0"/>
        <w:tabs>
          <w:tab w:leader="none" w:pos="4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Notes Payable</w:t>
      </w:r>
    </w:p>
    <w:p>
      <w:pPr>
        <w:spacing w:after="0" w:line="164"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The Company has entered into notes payable agreements with third parties. The tables below summarize these agreements as of June 30, 2025 and December 31, 2024, providing details on contractual maturity dates, contractual interest rates, unpaid principal balances, fair value adjustments, original issue discounts, including proceeds allocated to warrants, and net carrying values.</w:t>
      </w:r>
    </w:p>
    <w:p>
      <w:pPr>
        <w:spacing w:after="0" w:line="126" w:lineRule="exact"/>
        <w:rPr>
          <w:sz w:val="20"/>
          <w:szCs w:val="20"/>
          <w:color w:val="auto"/>
        </w:rPr>
      </w:pPr>
    </w:p>
    <w:p>
      <w:pPr>
        <w:jc w:val="both"/>
        <w:ind w:firstLine="475"/>
        <w:spacing w:after="0" w:line="248" w:lineRule="auto"/>
        <w:rPr>
          <w:sz w:val="20"/>
          <w:szCs w:val="20"/>
          <w:color w:val="auto"/>
        </w:rPr>
      </w:pPr>
      <w:r>
        <w:rPr>
          <w:rFonts w:ascii="Times New Roman" w:cs="Times New Roman" w:eastAsia="Times New Roman" w:hAnsi="Times New Roman"/>
          <w:sz w:val="18"/>
          <w:szCs w:val="18"/>
          <w:color w:val="auto"/>
        </w:rPr>
        <w:t xml:space="preserve">Most of the Company’s notes payable are accounted for under the fair value option in accordance with ASC 825, with changes in fair value recorded in the Unaudited Condensed Consolidated Statements of Operations and Comprehensive Loss. For instruments measured at fair value, no effective interest rate is presented, as changes in fair value capture all economic returns associated with these debt instruments. Although the stated interest rates on the SPA Portfolio Notes are </w:t>
      </w:r>
      <w:r>
        <w:rPr>
          <w:rFonts w:ascii="Times New Roman" w:cs="Times New Roman" w:eastAsia="Times New Roman" w:hAnsi="Times New Roman"/>
          <w:sz w:val="18"/>
          <w:szCs w:val="18"/>
          <w:u w:val="single" w:color="auto"/>
          <w:color w:val="auto"/>
        </w:rPr>
        <w:t>10%</w:t>
      </w:r>
      <w:r>
        <w:rPr>
          <w:rFonts w:ascii="Times New Roman" w:cs="Times New Roman" w:eastAsia="Times New Roman" w:hAnsi="Times New Roman"/>
          <w:sz w:val="18"/>
          <w:szCs w:val="18"/>
          <w:color w:val="auto"/>
        </w:rPr>
        <w:t xml:space="preserve"> or 15%, the Company’s effective cost of capital is substantially higher. Each SPA Portfolio Note permits the holder to settle in shares at a value exceeding the stated principal and accrued interest. In addition, each noteholder receives an SPA Portfolio Warrant, and certain holders receive an Incremental Warrant. These settlement features and additional instruments have significant value and materially increase the effective cost of capital above the stated rates. The financial impact of the SPA Portfolio Notes is reflected in the change in fair value and loss on extinguishment line items in the Unaudited Condensed Consolidated Statements of Operations and Comprehensive Loss.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33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320" w:type="dxa"/>
            <w:vAlign w:val="bottom"/>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33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Original Issue</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Discount and</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20" w:type="dxa"/>
            <w:vAlign w:val="bottom"/>
          </w:tcPr>
          <w:p>
            <w:pPr>
              <w:spacing w:after="0"/>
              <w:rPr>
                <w:sz w:val="14"/>
                <w:szCs w:val="14"/>
                <w:color w:val="auto"/>
              </w:rPr>
            </w:pPr>
          </w:p>
        </w:tc>
        <w:tc>
          <w:tcPr>
            <w:tcW w:w="1620" w:type="dxa"/>
            <w:vAlign w:val="bottom"/>
            <w:vMerge w:val="restart"/>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Contractual</w:t>
            </w:r>
          </w:p>
        </w:tc>
        <w:tc>
          <w:tcPr>
            <w:tcW w:w="1620" w:type="dxa"/>
            <w:vAlign w:val="bottom"/>
            <w:gridSpan w:val="3"/>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Unpaid</w:t>
            </w:r>
          </w:p>
        </w:tc>
        <w:tc>
          <w:tcPr>
            <w:tcW w:w="16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Proceeds</w:t>
            </w:r>
          </w:p>
        </w:tc>
        <w:tc>
          <w:tcPr>
            <w:tcW w:w="220" w:type="dxa"/>
            <w:vAlign w:val="bottom"/>
          </w:tcPr>
          <w:p>
            <w:pPr>
              <w:spacing w:after="0"/>
              <w:rPr>
                <w:sz w:val="14"/>
                <w:szCs w:val="14"/>
                <w:color w:val="auto"/>
              </w:rPr>
            </w:pPr>
          </w:p>
        </w:tc>
        <w:tc>
          <w:tcPr>
            <w:tcW w:w="98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58"/>
        </w:trPr>
        <w:tc>
          <w:tcPr>
            <w:tcW w:w="3320" w:type="dxa"/>
            <w:vAlign w:val="bottom"/>
          </w:tcPr>
          <w:p>
            <w:pPr>
              <w:spacing w:after="0"/>
              <w:rPr>
                <w:sz w:val="13"/>
                <w:szCs w:val="13"/>
                <w:color w:val="auto"/>
              </w:rPr>
            </w:pPr>
          </w:p>
        </w:tc>
        <w:tc>
          <w:tcPr>
            <w:tcW w:w="1620" w:type="dxa"/>
            <w:vAlign w:val="bottom"/>
            <w:vMerge w:val="continue"/>
          </w:tcPr>
          <w:p>
            <w:pPr>
              <w:spacing w:after="0"/>
              <w:rPr>
                <w:sz w:val="13"/>
                <w:szCs w:val="13"/>
                <w:color w:val="auto"/>
              </w:rPr>
            </w:pPr>
          </w:p>
        </w:tc>
        <w:tc>
          <w:tcPr>
            <w:tcW w:w="1620" w:type="dxa"/>
            <w:vAlign w:val="bottom"/>
            <w:gridSpan w:val="3"/>
          </w:tcPr>
          <w:p>
            <w:pPr>
              <w:jc w:val="center"/>
              <w:ind w:right="192"/>
              <w:spacing w:after="0" w:line="158" w:lineRule="exact"/>
              <w:rPr>
                <w:sz w:val="20"/>
                <w:szCs w:val="20"/>
                <w:color w:val="auto"/>
              </w:rPr>
            </w:pPr>
            <w:r>
              <w:rPr>
                <w:rFonts w:ascii="Times New Roman" w:cs="Times New Roman" w:eastAsia="Times New Roman" w:hAnsi="Times New Roman"/>
                <w:sz w:val="14"/>
                <w:szCs w:val="14"/>
                <w:b w:val="1"/>
                <w:bCs w:val="1"/>
                <w:color w:val="auto"/>
                <w:w w:val="98"/>
              </w:rPr>
              <w:t>Interest</w:t>
            </w:r>
          </w:p>
        </w:tc>
        <w:tc>
          <w:tcPr>
            <w:tcW w:w="92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160" w:type="dxa"/>
            <w:vAlign w:val="bottom"/>
          </w:tcPr>
          <w:p>
            <w:pPr>
              <w:spacing w:after="0"/>
              <w:rPr>
                <w:sz w:val="13"/>
                <w:szCs w:val="13"/>
                <w:color w:val="auto"/>
              </w:rPr>
            </w:pPr>
          </w:p>
        </w:tc>
        <w:tc>
          <w:tcPr>
            <w:tcW w:w="112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4"/>
                <w:szCs w:val="14"/>
                <w:b w:val="1"/>
                <w:bCs w:val="1"/>
                <w:color w:val="auto"/>
                <w:w w:val="99"/>
              </w:rPr>
              <w:t>Measurement</w:t>
            </w:r>
          </w:p>
        </w:tc>
        <w:tc>
          <w:tcPr>
            <w:tcW w:w="100" w:type="dxa"/>
            <w:vAlign w:val="bottom"/>
          </w:tcPr>
          <w:p>
            <w:pPr>
              <w:spacing w:after="0"/>
              <w:rPr>
                <w:sz w:val="13"/>
                <w:szCs w:val="13"/>
                <w:color w:val="auto"/>
              </w:rPr>
            </w:pPr>
          </w:p>
        </w:tc>
        <w:tc>
          <w:tcPr>
            <w:tcW w:w="1060" w:type="dxa"/>
            <w:vAlign w:val="bottom"/>
            <w:gridSpan w:val="2"/>
          </w:tcPr>
          <w:p>
            <w:pPr>
              <w:jc w:val="center"/>
              <w:ind w:right="180"/>
              <w:spacing w:after="0" w:line="158" w:lineRule="exact"/>
              <w:rPr>
                <w:sz w:val="20"/>
                <w:szCs w:val="20"/>
                <w:color w:val="auto"/>
              </w:rPr>
            </w:pPr>
            <w:r>
              <w:rPr>
                <w:rFonts w:ascii="Times New Roman" w:cs="Times New Roman" w:eastAsia="Times New Roman" w:hAnsi="Times New Roman"/>
                <w:sz w:val="14"/>
                <w:szCs w:val="14"/>
                <w:b w:val="1"/>
                <w:bCs w:val="1"/>
                <w:color w:val="auto"/>
              </w:rPr>
              <w:t>Allocated to</w:t>
            </w:r>
          </w:p>
        </w:tc>
        <w:tc>
          <w:tcPr>
            <w:tcW w:w="220" w:type="dxa"/>
            <w:vAlign w:val="bottom"/>
          </w:tcPr>
          <w:p>
            <w:pPr>
              <w:spacing w:after="0"/>
              <w:rPr>
                <w:sz w:val="13"/>
                <w:szCs w:val="13"/>
                <w:color w:val="auto"/>
              </w:rPr>
            </w:pPr>
          </w:p>
        </w:tc>
        <w:tc>
          <w:tcPr>
            <w:tcW w:w="980" w:type="dxa"/>
            <w:vAlign w:val="bottom"/>
          </w:tcPr>
          <w:p>
            <w:pPr>
              <w:jc w:val="center"/>
              <w:ind w:right="117"/>
              <w:spacing w:after="0" w:line="158"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0" w:type="dxa"/>
            <w:vAlign w:val="bottom"/>
          </w:tcPr>
          <w:p>
            <w:pPr>
              <w:spacing w:after="0"/>
              <w:rPr>
                <w:sz w:val="1"/>
                <w:szCs w:val="1"/>
                <w:color w:val="auto"/>
              </w:rPr>
            </w:pPr>
          </w:p>
        </w:tc>
      </w:tr>
      <w:tr>
        <w:trPr>
          <w:trHeight w:val="198"/>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620" w:type="dxa"/>
            <w:vAlign w:val="bottom"/>
            <w:gridSpan w:val="3"/>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Rates</w:t>
            </w: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6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Pr>
          <w:p>
            <w:pPr>
              <w:spacing w:after="0"/>
              <w:rPr>
                <w:sz w:val="17"/>
                <w:szCs w:val="17"/>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220" w:type="dxa"/>
            <w:vAlign w:val="bottom"/>
          </w:tcPr>
          <w:p>
            <w:pPr>
              <w:spacing w:after="0"/>
              <w:rPr>
                <w:sz w:val="17"/>
                <w:szCs w:val="17"/>
                <w:color w:val="auto"/>
              </w:rPr>
            </w:pPr>
          </w:p>
        </w:tc>
        <w:tc>
          <w:tcPr>
            <w:tcW w:w="98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4"/>
        </w:trPr>
        <w:tc>
          <w:tcPr>
            <w:tcW w:w="33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 Unsecured SPA Notes</w:t>
            </w:r>
          </w:p>
        </w:tc>
        <w:tc>
          <w:tcPr>
            <w:tcW w:w="1620" w:type="dxa"/>
            <w:vAlign w:val="bottom"/>
            <w:shd w:val="clear" w:color="auto" w:fill="CCEEFF"/>
          </w:tcPr>
          <w:p>
            <w:pPr>
              <w:jc w:val="center"/>
              <w:ind w:right="16"/>
              <w:spacing w:after="0"/>
              <w:rPr>
                <w:sz w:val="20"/>
                <w:szCs w:val="20"/>
                <w:color w:val="auto"/>
              </w:rPr>
            </w:pPr>
            <w:r>
              <w:rPr>
                <w:rFonts w:ascii="Times New Roman" w:cs="Times New Roman" w:eastAsia="Times New Roman" w:hAnsi="Times New Roman"/>
                <w:sz w:val="18"/>
                <w:szCs w:val="18"/>
                <w:color w:val="auto"/>
                <w:w w:val="97"/>
              </w:rPr>
              <w:t>June 2032</w:t>
            </w:r>
          </w:p>
        </w:tc>
        <w:tc>
          <w:tcPr>
            <w:tcW w:w="1620" w:type="dxa"/>
            <w:vAlign w:val="bottom"/>
            <w:gridSpan w:val="3"/>
            <w:shd w:val="clear" w:color="auto" w:fill="CCEEFF"/>
          </w:tcPr>
          <w:p>
            <w:pPr>
              <w:jc w:val="right"/>
              <w:spacing w:after="0" w:line="257" w:lineRule="exact"/>
              <w:rPr>
                <w:sz w:val="20"/>
                <w:szCs w:val="20"/>
                <w:color w:val="auto"/>
              </w:rPr>
            </w:pPr>
            <w:r>
              <w:rPr>
                <w:rFonts w:ascii="Times New Roman" w:cs="Times New Roman" w:eastAsia="Times New Roman" w:hAnsi="Times New Roman"/>
                <w:sz w:val="18"/>
                <w:szCs w:val="18"/>
                <w:color w:val="auto"/>
              </w:rPr>
              <w:t xml:space="preserve">10 % </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xml:space="preserve"> 15%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4,539</w:t>
            </w:r>
          </w:p>
        </w:tc>
        <w:tc>
          <w:tcPr>
            <w:tcW w:w="0" w:type="dxa"/>
            <w:vAlign w:val="bottom"/>
          </w:tcPr>
          <w:p>
            <w:pPr>
              <w:spacing w:after="0"/>
              <w:rPr>
                <w:sz w:val="1"/>
                <w:szCs w:val="1"/>
                <w:color w:val="auto"/>
              </w:rPr>
            </w:pPr>
          </w:p>
        </w:tc>
      </w:tr>
      <w:tr>
        <w:trPr>
          <w:trHeight w:val="237"/>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Junior Secured SPA Notes</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September 2029</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33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Unsecured SPA Notes</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Various through</w:t>
            </w:r>
          </w:p>
        </w:tc>
        <w:tc>
          <w:tcPr>
            <w:tcW w:w="13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10,009</w:t>
            </w:r>
          </w:p>
        </w:tc>
        <w:tc>
          <w:tcPr>
            <w:tcW w:w="0" w:type="dxa"/>
            <w:vAlign w:val="bottom"/>
          </w:tcPr>
          <w:p>
            <w:pPr>
              <w:spacing w:after="0"/>
              <w:rPr>
                <w:sz w:val="1"/>
                <w:szCs w:val="1"/>
                <w:color w:val="auto"/>
              </w:rPr>
            </w:pPr>
          </w:p>
        </w:tc>
      </w:tr>
      <w:tr>
        <w:trPr>
          <w:trHeight w:val="123"/>
        </w:trPr>
        <w:tc>
          <w:tcPr>
            <w:tcW w:w="3320" w:type="dxa"/>
            <w:vAlign w:val="bottom"/>
            <w:vMerge w:val="continue"/>
            <w:shd w:val="clear" w:color="auto" w:fill="CCEEFF"/>
          </w:tcPr>
          <w:p>
            <w:pPr>
              <w:spacing w:after="0"/>
              <w:rPr>
                <w:sz w:val="10"/>
                <w:szCs w:val="10"/>
                <w:color w:val="auto"/>
              </w:rPr>
            </w:pPr>
          </w:p>
        </w:tc>
        <w:tc>
          <w:tcPr>
            <w:tcW w:w="16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January 2030</w:t>
            </w:r>
          </w:p>
        </w:tc>
        <w:tc>
          <w:tcPr>
            <w:tcW w:w="138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3320" w:type="dxa"/>
            <w:vAlign w:val="bottom"/>
            <w:tcBorders>
              <w:bottom w:val="single" w:sz="8" w:color="CCEEFF"/>
            </w:tcBorders>
            <w:shd w:val="clear" w:color="auto" w:fill="CCEEFF"/>
          </w:tcPr>
          <w:p>
            <w:pPr>
              <w:spacing w:after="0"/>
              <w:rPr>
                <w:sz w:val="9"/>
                <w:szCs w:val="9"/>
                <w:color w:val="auto"/>
              </w:rPr>
            </w:pPr>
          </w:p>
        </w:tc>
        <w:tc>
          <w:tcPr>
            <w:tcW w:w="1620" w:type="dxa"/>
            <w:vAlign w:val="bottom"/>
            <w:tcBorders>
              <w:bottom w:val="single" w:sz="8" w:color="CCEEFF"/>
            </w:tcBorders>
            <w:vMerge w:val="continue"/>
            <w:shd w:val="clear" w:color="auto" w:fill="CCEEFF"/>
          </w:tcPr>
          <w:p>
            <w:pPr>
              <w:spacing w:after="0"/>
              <w:rPr>
                <w:sz w:val="9"/>
                <w:szCs w:val="9"/>
                <w:color w:val="auto"/>
              </w:rPr>
            </w:pPr>
          </w:p>
        </w:tc>
        <w:tc>
          <w:tcPr>
            <w:tcW w:w="138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82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102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98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98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9"/>
        </w:trPr>
        <w:tc>
          <w:tcPr>
            <w:tcW w:w="3320" w:type="dxa"/>
            <w:vAlign w:val="bottom"/>
          </w:tcPr>
          <w:p>
            <w:pPr>
              <w:spacing w:after="0"/>
              <w:rPr>
                <w:sz w:val="19"/>
                <w:szCs w:val="19"/>
                <w:color w:val="auto"/>
              </w:rPr>
            </w:pPr>
          </w:p>
        </w:tc>
        <w:tc>
          <w:tcPr>
            <w:tcW w:w="1620" w:type="dxa"/>
            <w:vAlign w:val="bottom"/>
          </w:tcPr>
          <w:p>
            <w:pPr>
              <w:jc w:val="center"/>
              <w:ind w:right="16"/>
              <w:spacing w:after="0"/>
              <w:rPr>
                <w:sz w:val="20"/>
                <w:szCs w:val="20"/>
                <w:color w:val="auto"/>
              </w:rPr>
            </w:pPr>
            <w:r>
              <w:rPr>
                <w:rFonts w:ascii="Times New Roman" w:cs="Times New Roman" w:eastAsia="Times New Roman" w:hAnsi="Times New Roman"/>
                <w:sz w:val="18"/>
                <w:szCs w:val="18"/>
                <w:color w:val="auto"/>
                <w:w w:val="95"/>
              </w:rPr>
              <w:t>Various dates in</w:t>
            </w: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17,320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(10,893)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9,297</w:t>
            </w:r>
          </w:p>
        </w:tc>
        <w:tc>
          <w:tcPr>
            <w:tcW w:w="0" w:type="dxa"/>
            <w:vAlign w:val="bottom"/>
          </w:tcPr>
          <w:p>
            <w:pPr>
              <w:spacing w:after="0"/>
              <w:rPr>
                <w:sz w:val="1"/>
                <w:szCs w:val="1"/>
                <w:color w:val="auto"/>
              </w:rPr>
            </w:pPr>
          </w:p>
        </w:tc>
      </w:tr>
      <w:tr>
        <w:trPr>
          <w:trHeight w:val="123"/>
        </w:trPr>
        <w:tc>
          <w:tcPr>
            <w:tcW w:w="3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2025 March Unsecured SPA Notes</w:t>
            </w: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4"/>
              </w:rPr>
              <w:t>2030</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332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payable – China other</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Due on Demand</w:t>
            </w:r>
          </w:p>
        </w:tc>
        <w:tc>
          <w:tcPr>
            <w:tcW w:w="14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4,188</w:t>
            </w: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60" w:type="dxa"/>
            <w:vAlign w:val="bottom"/>
            <w:gridSpan w:val="2"/>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44,807</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11,592</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(28,366)</w:t>
            </w:r>
          </w:p>
        </w:tc>
        <w:tc>
          <w:tcPr>
            <w:tcW w:w="8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28,033</w:t>
            </w:r>
          </w:p>
        </w:tc>
        <w:tc>
          <w:tcPr>
            <w:tcW w:w="0" w:type="dxa"/>
            <w:vAlign w:val="bottom"/>
          </w:tcPr>
          <w:p>
            <w:pPr>
              <w:spacing w:after="0"/>
              <w:rPr>
                <w:sz w:val="1"/>
                <w:szCs w:val="1"/>
                <w:color w:val="auto"/>
              </w:rPr>
            </w:pPr>
          </w:p>
        </w:tc>
      </w:tr>
      <w:tr>
        <w:trPr>
          <w:trHeight w:val="20"/>
        </w:trPr>
        <w:tc>
          <w:tcPr>
            <w:tcW w:w="332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payable, current portion</w:t>
            </w:r>
          </w:p>
        </w:tc>
        <w:tc>
          <w:tcPr>
            <w:tcW w:w="16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4,188</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payable, long-term portion</w:t>
            </w:r>
          </w:p>
        </w:tc>
        <w:tc>
          <w:tcPr>
            <w:tcW w:w="16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23,845</w:t>
            </w:r>
          </w:p>
        </w:tc>
        <w:tc>
          <w:tcPr>
            <w:tcW w:w="0" w:type="dxa"/>
            <w:vAlign w:val="bottom"/>
          </w:tcPr>
          <w:p>
            <w:pPr>
              <w:spacing w:after="0"/>
              <w:rPr>
                <w:sz w:val="1"/>
                <w:szCs w:val="1"/>
                <w:color w:val="auto"/>
              </w:rPr>
            </w:pPr>
          </w:p>
        </w:tc>
      </w:tr>
      <w:tr>
        <w:trPr>
          <w:trHeight w:val="27"/>
        </w:trPr>
        <w:tc>
          <w:tcPr>
            <w:tcW w:w="33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December 31, 2024</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Original Issue</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Discount and</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Contractual</w:t>
            </w:r>
          </w:p>
        </w:tc>
        <w:tc>
          <w:tcPr>
            <w:tcW w:w="15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Contractual</w:t>
            </w: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Unpaid</w:t>
            </w:r>
          </w:p>
        </w:tc>
        <w:tc>
          <w:tcPr>
            <w:tcW w:w="20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0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Proceeds</w:t>
            </w:r>
          </w:p>
        </w:tc>
        <w:tc>
          <w:tcPr>
            <w:tcW w:w="160" w:type="dxa"/>
            <w:vAlign w:val="bottom"/>
          </w:tcPr>
          <w:p>
            <w:pPr>
              <w:spacing w:after="0"/>
              <w:rPr>
                <w:sz w:val="14"/>
                <w:szCs w:val="14"/>
                <w:color w:val="auto"/>
              </w:rPr>
            </w:pPr>
          </w:p>
        </w:tc>
        <w:tc>
          <w:tcPr>
            <w:tcW w:w="82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58"/>
        </w:trPr>
        <w:tc>
          <w:tcPr>
            <w:tcW w:w="3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gridSpan w:val="2"/>
            <w:vMerge w:val="continue"/>
          </w:tcPr>
          <w:p>
            <w:pPr>
              <w:spacing w:after="0"/>
              <w:rPr>
                <w:sz w:val="13"/>
                <w:szCs w:val="13"/>
                <w:color w:val="auto"/>
              </w:rPr>
            </w:pPr>
          </w:p>
        </w:tc>
        <w:tc>
          <w:tcPr>
            <w:tcW w:w="1540" w:type="dxa"/>
            <w:vAlign w:val="bottom"/>
            <w:gridSpan w:val="3"/>
          </w:tcPr>
          <w:p>
            <w:pPr>
              <w:jc w:val="center"/>
              <w:ind w:right="240"/>
              <w:spacing w:after="0" w:line="158" w:lineRule="exact"/>
              <w:rPr>
                <w:sz w:val="20"/>
                <w:szCs w:val="20"/>
                <w:color w:val="auto"/>
              </w:rPr>
            </w:pPr>
            <w:r>
              <w:rPr>
                <w:rFonts w:ascii="Times New Roman" w:cs="Times New Roman" w:eastAsia="Times New Roman" w:hAnsi="Times New Roman"/>
                <w:sz w:val="14"/>
                <w:szCs w:val="14"/>
                <w:b w:val="1"/>
                <w:bCs w:val="1"/>
                <w:color w:val="auto"/>
                <w:w w:val="98"/>
              </w:rPr>
              <w:t>Interest</w:t>
            </w:r>
          </w:p>
        </w:tc>
        <w:tc>
          <w:tcPr>
            <w:tcW w:w="96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200" w:type="dxa"/>
            <w:vAlign w:val="bottom"/>
          </w:tcPr>
          <w:p>
            <w:pPr>
              <w:spacing w:after="0"/>
              <w:rPr>
                <w:sz w:val="13"/>
                <w:szCs w:val="13"/>
                <w:color w:val="auto"/>
              </w:rPr>
            </w:pPr>
          </w:p>
        </w:tc>
        <w:tc>
          <w:tcPr>
            <w:tcW w:w="112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4"/>
                <w:szCs w:val="14"/>
                <w:b w:val="1"/>
                <w:bCs w:val="1"/>
                <w:color w:val="auto"/>
                <w:w w:val="99"/>
              </w:rPr>
              <w:t>Measurement</w:t>
            </w:r>
          </w:p>
        </w:tc>
        <w:tc>
          <w:tcPr>
            <w:tcW w:w="100" w:type="dxa"/>
            <w:vAlign w:val="bottom"/>
          </w:tcPr>
          <w:p>
            <w:pPr>
              <w:spacing w:after="0"/>
              <w:rPr>
                <w:sz w:val="13"/>
                <w:szCs w:val="13"/>
                <w:color w:val="auto"/>
              </w:rPr>
            </w:pPr>
          </w:p>
        </w:tc>
        <w:tc>
          <w:tcPr>
            <w:tcW w:w="104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4"/>
                <w:szCs w:val="14"/>
                <w:b w:val="1"/>
                <w:bCs w:val="1"/>
                <w:color w:val="auto"/>
              </w:rPr>
              <w:t>Allocated to</w:t>
            </w:r>
          </w:p>
        </w:tc>
        <w:tc>
          <w:tcPr>
            <w:tcW w:w="160" w:type="dxa"/>
            <w:vAlign w:val="bottom"/>
          </w:tcPr>
          <w:p>
            <w:pPr>
              <w:spacing w:after="0"/>
              <w:rPr>
                <w:sz w:val="13"/>
                <w:szCs w:val="13"/>
                <w:color w:val="auto"/>
              </w:rPr>
            </w:pPr>
          </w:p>
        </w:tc>
        <w:tc>
          <w:tcPr>
            <w:tcW w:w="820" w:type="dxa"/>
            <w:vAlign w:val="bottom"/>
          </w:tcPr>
          <w:p>
            <w:pPr>
              <w:jc w:val="center"/>
              <w:ind w:right="56"/>
              <w:spacing w:after="0" w:line="158"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8"/>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5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0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100" w:type="dxa"/>
            <w:vAlign w:val="bottom"/>
          </w:tcPr>
          <w:p>
            <w:pPr>
              <w:spacing w:after="0"/>
              <w:rPr>
                <w:sz w:val="17"/>
                <w:szCs w:val="17"/>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160" w:type="dxa"/>
            <w:vAlign w:val="bottom"/>
          </w:tcPr>
          <w:p>
            <w:pPr>
              <w:spacing w:after="0"/>
              <w:rPr>
                <w:sz w:val="17"/>
                <w:szCs w:val="17"/>
                <w:color w:val="auto"/>
              </w:rPr>
            </w:pPr>
          </w:p>
        </w:tc>
        <w:tc>
          <w:tcPr>
            <w:tcW w:w="82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4"/>
        </w:trPr>
        <w:tc>
          <w:tcPr>
            <w:tcW w:w="3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SPA Notes</w:t>
            </w:r>
          </w:p>
        </w:tc>
        <w:tc>
          <w:tcPr>
            <w:tcW w:w="17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4"/>
              </w:rPr>
              <w:t>Various</w:t>
            </w:r>
          </w:p>
        </w:tc>
        <w:tc>
          <w:tcPr>
            <w:tcW w:w="15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10 %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15%   $</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5,457</w:t>
            </w:r>
          </w:p>
        </w:tc>
        <w:tc>
          <w:tcPr>
            <w:tcW w:w="0" w:type="dxa"/>
            <w:vAlign w:val="bottom"/>
          </w:tcPr>
          <w:p>
            <w:pPr>
              <w:spacing w:after="0"/>
              <w:rPr>
                <w:sz w:val="1"/>
                <w:szCs w:val="1"/>
                <w:color w:val="auto"/>
              </w:rPr>
            </w:pPr>
          </w:p>
        </w:tc>
      </w:tr>
      <w:tr>
        <w:trPr>
          <w:trHeight w:val="264"/>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2023 Unsecured SPA Notes</w:t>
            </w:r>
          </w:p>
        </w:tc>
        <w:tc>
          <w:tcPr>
            <w:tcW w:w="1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Various dates in 2029</w:t>
            </w:r>
          </w:p>
        </w:tc>
        <w:tc>
          <w:tcPr>
            <w:tcW w:w="1340" w:type="dxa"/>
            <w:vAlign w:val="bottom"/>
          </w:tcPr>
          <w:p>
            <w:pPr>
              <w:jc w:val="right"/>
              <w:ind w:right="57"/>
              <w:spacing w:after="0" w:line="263" w:lineRule="exact"/>
              <w:rPr>
                <w:sz w:val="20"/>
                <w:szCs w:val="20"/>
                <w:color w:val="auto"/>
              </w:rPr>
            </w:pPr>
            <w:r>
              <w:rPr>
                <w:rFonts w:ascii="Times New Roman" w:cs="Times New Roman" w:eastAsia="Times New Roman" w:hAnsi="Times New Roman"/>
                <w:sz w:val="18"/>
                <w:szCs w:val="18"/>
                <w:color w:val="auto"/>
              </w:rPr>
              <w:t xml:space="preserve">10 % </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xml:space="preserve"> 15%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6,716</w:t>
            </w:r>
          </w:p>
        </w:tc>
        <w:tc>
          <w:tcPr>
            <w:tcW w:w="0" w:type="dxa"/>
            <w:vAlign w:val="bottom"/>
          </w:tcPr>
          <w:p>
            <w:pPr>
              <w:spacing w:after="0"/>
              <w:rPr>
                <w:sz w:val="1"/>
                <w:szCs w:val="1"/>
                <w:color w:val="auto"/>
              </w:rPr>
            </w:pPr>
          </w:p>
        </w:tc>
      </w:tr>
      <w:tr>
        <w:trPr>
          <w:trHeight w:val="244"/>
        </w:trPr>
        <w:tc>
          <w:tcPr>
            <w:tcW w:w="3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Junior Secured SPA Notes</w:t>
            </w:r>
          </w:p>
        </w:tc>
        <w:tc>
          <w:tcPr>
            <w:tcW w:w="17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September 2029</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26,059</w:t>
            </w:r>
          </w:p>
        </w:tc>
        <w:tc>
          <w:tcPr>
            <w:tcW w:w="0" w:type="dxa"/>
            <w:vAlign w:val="bottom"/>
          </w:tcPr>
          <w:p>
            <w:pPr>
              <w:spacing w:after="0"/>
              <w:rPr>
                <w:sz w:val="1"/>
                <w:szCs w:val="1"/>
                <w:color w:val="auto"/>
              </w:rPr>
            </w:pPr>
          </w:p>
        </w:tc>
      </w:tr>
      <w:tr>
        <w:trPr>
          <w:trHeight w:val="237"/>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2024 Unsecured SPA Notes</w:t>
            </w:r>
          </w:p>
        </w:tc>
        <w:tc>
          <w:tcPr>
            <w:tcW w:w="1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December 2029</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7,032</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3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payable – China other</w:t>
            </w:r>
          </w:p>
        </w:tc>
        <w:tc>
          <w:tcPr>
            <w:tcW w:w="17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Due on Demand</w:t>
            </w:r>
          </w:p>
        </w:tc>
        <w:tc>
          <w:tcPr>
            <w:tcW w:w="1540" w:type="dxa"/>
            <w:vAlign w:val="bottom"/>
            <w:tcBorders>
              <w:bottom w:val="single" w:sz="8" w:color="CCEEFF"/>
            </w:tcBorders>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6"/>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w:t>
            </w:r>
          </w:p>
        </w:tc>
        <w:tc>
          <w:tcPr>
            <w:tcW w:w="0" w:type="dxa"/>
            <w:vAlign w:val="bottom"/>
          </w:tcPr>
          <w:p>
            <w:pPr>
              <w:spacing w:after="0"/>
              <w:rPr>
                <w:sz w:val="1"/>
                <w:szCs w:val="1"/>
                <w:color w:val="auto"/>
              </w:rPr>
            </w:pPr>
          </w:p>
        </w:tc>
      </w:tr>
      <w:tr>
        <w:trPr>
          <w:trHeight w:val="237"/>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Auto loans</w:t>
            </w:r>
          </w:p>
        </w:tc>
        <w:tc>
          <w:tcPr>
            <w:tcW w:w="1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October 2026</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7"/>
        </w:trPr>
        <w:tc>
          <w:tcPr>
            <w:tcW w:w="3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34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50,577</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27,399</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(28,488)</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49,488</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payable, current portion</w:t>
            </w:r>
          </w:p>
        </w:tc>
        <w:tc>
          <w:tcPr>
            <w:tcW w:w="1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4,224</w:t>
            </w:r>
          </w:p>
        </w:tc>
        <w:tc>
          <w:tcPr>
            <w:tcW w:w="0" w:type="dxa"/>
            <w:vAlign w:val="bottom"/>
          </w:tcPr>
          <w:p>
            <w:pPr>
              <w:spacing w:after="0"/>
              <w:rPr>
                <w:sz w:val="1"/>
                <w:szCs w:val="1"/>
                <w:color w:val="auto"/>
              </w:rPr>
            </w:pPr>
          </w:p>
        </w:tc>
      </w:tr>
      <w:tr>
        <w:trPr>
          <w:trHeight w:val="237"/>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Notes payable, long-term portion</w:t>
            </w: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45,264</w:t>
            </w:r>
          </w:p>
        </w:tc>
        <w:tc>
          <w:tcPr>
            <w:tcW w:w="0" w:type="dxa"/>
            <w:vAlign w:val="bottom"/>
          </w:tcPr>
          <w:p>
            <w:pPr>
              <w:spacing w:after="0"/>
              <w:rPr>
                <w:sz w:val="1"/>
                <w:szCs w:val="1"/>
                <w:color w:val="auto"/>
              </w:rPr>
            </w:pPr>
          </w:p>
        </w:tc>
      </w:tr>
    </w:tbl>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Roll Forward of the Fair Value of Notes payable by Transaction Type</w:t>
      </w:r>
    </w:p>
    <w:p>
      <w:pPr>
        <w:spacing w:after="0" w:line="153"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The following table presents a roll forward of the Company’s Notes payable balances from March 31, 2025 to June 30, 2025 with third parties. The table summarizes beginning and ending balances by debt category and details changes during the period, including repayments, conversions, reclassifications, fair value adjustments, and other significant transactions.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Categories of Debt</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2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4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Notes</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Secured</w:t>
            </w:r>
          </w:p>
        </w:tc>
        <w:tc>
          <w:tcPr>
            <w:tcW w:w="100" w:type="dxa"/>
            <w:vAlign w:val="bottom"/>
          </w:tcPr>
          <w:p>
            <w:pPr>
              <w:spacing w:after="0"/>
              <w:rPr>
                <w:sz w:val="14"/>
                <w:szCs w:val="14"/>
                <w:color w:val="auto"/>
              </w:rPr>
            </w:pPr>
          </w:p>
        </w:tc>
        <w:tc>
          <w:tcPr>
            <w:tcW w:w="820" w:type="dxa"/>
            <w:vAlign w:val="bottom"/>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Junior</w:t>
            </w:r>
          </w:p>
        </w:tc>
        <w:tc>
          <w:tcPr>
            <w:tcW w:w="100" w:type="dxa"/>
            <w:vAlign w:val="bottom"/>
          </w:tcPr>
          <w:p>
            <w:pPr>
              <w:spacing w:after="0"/>
              <w:rPr>
                <w:sz w:val="14"/>
                <w:szCs w:val="14"/>
                <w:color w:val="auto"/>
              </w:rPr>
            </w:pPr>
          </w:p>
        </w:tc>
        <w:tc>
          <w:tcPr>
            <w:tcW w:w="82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2025 March</w:t>
            </w:r>
          </w:p>
        </w:tc>
        <w:tc>
          <w:tcPr>
            <w:tcW w:w="10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payable</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4"/>
                <w:szCs w:val="14"/>
                <w:b w:val="1"/>
                <w:bCs w:val="1"/>
                <w:color w:val="auto"/>
              </w:rPr>
              <w:t>Unsecured</w:t>
            </w:r>
          </w:p>
        </w:tc>
        <w:tc>
          <w:tcPr>
            <w:tcW w:w="120" w:type="dxa"/>
            <w:vAlign w:val="bottom"/>
          </w:tcPr>
          <w:p>
            <w:pPr>
              <w:spacing w:after="0"/>
              <w:rPr>
                <w:sz w:val="13"/>
                <w:szCs w:val="13"/>
                <w:color w:val="auto"/>
              </w:rPr>
            </w:pPr>
          </w:p>
        </w:tc>
        <w:tc>
          <w:tcPr>
            <w:tcW w:w="88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4"/>
                <w:szCs w:val="14"/>
                <w:b w:val="1"/>
                <w:bCs w:val="1"/>
                <w:color w:val="auto"/>
                <w:w w:val="99"/>
              </w:rPr>
              <w:t>Secured</w:t>
            </w:r>
          </w:p>
        </w:tc>
        <w:tc>
          <w:tcPr>
            <w:tcW w:w="100" w:type="dxa"/>
            <w:vAlign w:val="bottom"/>
          </w:tcPr>
          <w:p>
            <w:pPr>
              <w:spacing w:after="0"/>
              <w:rPr>
                <w:sz w:val="13"/>
                <w:szCs w:val="13"/>
                <w:color w:val="auto"/>
              </w:rPr>
            </w:pPr>
          </w:p>
        </w:tc>
        <w:tc>
          <w:tcPr>
            <w:tcW w:w="92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4"/>
                <w:szCs w:val="14"/>
                <w:b w:val="1"/>
                <w:bCs w:val="1"/>
                <w:color w:val="auto"/>
              </w:rPr>
              <w:t>Unsecured</w:t>
            </w:r>
          </w:p>
        </w:tc>
        <w:tc>
          <w:tcPr>
            <w:tcW w:w="108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4"/>
                <w:szCs w:val="14"/>
                <w:b w:val="1"/>
                <w:bCs w:val="1"/>
                <w:color w:val="auto"/>
              </w:rPr>
              <w:t>Unsecured SPA</w:t>
            </w:r>
          </w:p>
        </w:tc>
        <w:tc>
          <w:tcPr>
            <w:tcW w:w="100" w:type="dxa"/>
            <w:vAlign w:val="bottom"/>
          </w:tcPr>
          <w:p>
            <w:pPr>
              <w:spacing w:after="0"/>
              <w:rPr>
                <w:sz w:val="13"/>
                <w:szCs w:val="13"/>
                <w:color w:val="auto"/>
              </w:rPr>
            </w:pPr>
          </w:p>
        </w:tc>
        <w:tc>
          <w:tcPr>
            <w:tcW w:w="92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SPA Notes</w:t>
            </w:r>
          </w:p>
        </w:tc>
        <w:tc>
          <w:tcPr>
            <w:tcW w:w="100" w:type="dxa"/>
            <w:vAlign w:val="bottom"/>
          </w:tcPr>
          <w:p>
            <w:pPr>
              <w:spacing w:after="0"/>
              <w:rPr>
                <w:sz w:val="17"/>
                <w:szCs w:val="17"/>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SPA Notes</w:t>
            </w:r>
          </w:p>
        </w:tc>
        <w:tc>
          <w:tcPr>
            <w:tcW w:w="12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SPA Notes</w:t>
            </w:r>
          </w:p>
        </w:tc>
        <w:tc>
          <w:tcPr>
            <w:tcW w:w="10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SPA Notes</w:t>
            </w:r>
          </w:p>
        </w:tc>
        <w:tc>
          <w:tcPr>
            <w:tcW w:w="100" w:type="dxa"/>
            <w:vAlign w:val="bottom"/>
          </w:tcPr>
          <w:p>
            <w:pPr>
              <w:spacing w:after="0"/>
              <w:rPr>
                <w:sz w:val="17"/>
                <w:szCs w:val="17"/>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China other</w:t>
            </w:r>
          </w:p>
        </w:tc>
        <w:tc>
          <w:tcPr>
            <w:tcW w:w="180" w:type="dxa"/>
            <w:vAlign w:val="bottom"/>
          </w:tcPr>
          <w:p>
            <w:pPr>
              <w:spacing w:after="0"/>
              <w:rPr>
                <w:sz w:val="17"/>
                <w:szCs w:val="17"/>
                <w:color w:val="auto"/>
              </w:rPr>
            </w:pPr>
          </w:p>
        </w:tc>
        <w:tc>
          <w:tcPr>
            <w:tcW w:w="720" w:type="dxa"/>
            <w:vAlign w:val="bottom"/>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
        </w:trPr>
        <w:tc>
          <w:tcPr>
            <w:tcW w:w="4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2025 (a)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11,330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24,674</w:t>
            </w:r>
          </w:p>
        </w:tc>
        <w:tc>
          <w:tcPr>
            <w:tcW w:w="0" w:type="dxa"/>
            <w:vAlign w:val="bottom"/>
          </w:tcPr>
          <w:p>
            <w:pPr>
              <w:spacing w:after="0"/>
              <w:rPr>
                <w:sz w:val="1"/>
                <w:szCs w:val="1"/>
                <w:color w:val="auto"/>
              </w:rPr>
            </w:pPr>
          </w:p>
        </w:tc>
      </w:tr>
      <w:tr>
        <w:trPr>
          <w:trHeight w:val="187"/>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 Issuances (b)</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9,287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13,787</w:t>
            </w:r>
          </w:p>
        </w:tc>
        <w:tc>
          <w:tcPr>
            <w:tcW w:w="0" w:type="dxa"/>
            <w:vAlign w:val="bottom"/>
          </w:tcPr>
          <w:p>
            <w:pPr>
              <w:spacing w:after="0"/>
              <w:rPr>
                <w:sz w:val="1"/>
                <w:szCs w:val="1"/>
                <w:color w:val="auto"/>
              </w:rPr>
            </w:pPr>
          </w:p>
        </w:tc>
      </w:tr>
      <w:tr>
        <w:trPr>
          <w:trHeight w:val="37"/>
        </w:trPr>
        <w:tc>
          <w:tcPr>
            <w:tcW w:w="4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Repayment of Debt (c)</w:t>
            </w: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7"/>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Conversion of Debt to Equity (d)</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(19,207)</w:t>
            </w:r>
          </w:p>
        </w:tc>
        <w:tc>
          <w:tcPr>
            <w:tcW w:w="0" w:type="dxa"/>
            <w:vAlign w:val="bottom"/>
          </w:tcPr>
          <w:p>
            <w:pPr>
              <w:spacing w:after="0"/>
              <w:rPr>
                <w:sz w:val="1"/>
                <w:szCs w:val="1"/>
                <w:color w:val="auto"/>
              </w:rPr>
            </w:pPr>
          </w:p>
        </w:tc>
      </w:tr>
      <w:tr>
        <w:trPr>
          <w:trHeight w:val="37"/>
        </w:trPr>
        <w:tc>
          <w:tcPr>
            <w:tcW w:w="4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Adjustments of Debt (e)</w:t>
            </w: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8,723</w:t>
            </w:r>
          </w:p>
        </w:tc>
        <w:tc>
          <w:tcPr>
            <w:tcW w:w="0" w:type="dxa"/>
            <w:vAlign w:val="bottom"/>
          </w:tcPr>
          <w:p>
            <w:pPr>
              <w:spacing w:after="0"/>
              <w:rPr>
                <w:sz w:val="1"/>
                <w:szCs w:val="1"/>
                <w:color w:val="auto"/>
              </w:rPr>
            </w:pPr>
          </w:p>
        </w:tc>
      </w:tr>
      <w:tr>
        <w:trPr>
          <w:trHeight w:val="187"/>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Adjustments (f)</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37"/>
        </w:trPr>
        <w:tc>
          <w:tcPr>
            <w:tcW w:w="42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2025 (g)</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9,297</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28,033</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ind w:left="220" w:hanging="197"/>
        <w:spacing w:after="0"/>
        <w:tabs>
          <w:tab w:leader="none" w:pos="2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carrying value for each note category, fair value or amortized cost depending on the election, as of March 31, 2025.</w:t>
      </w:r>
    </w:p>
    <w:p>
      <w:pPr>
        <w:spacing w:after="0" w:line="63" w:lineRule="exact"/>
        <w:rPr>
          <w:rFonts w:ascii="Times New Roman" w:cs="Times New Roman" w:eastAsia="Times New Roman" w:hAnsi="Times New Roman"/>
          <w:sz w:val="14"/>
          <w:szCs w:val="14"/>
          <w:color w:val="auto"/>
        </w:rPr>
      </w:pPr>
    </w:p>
    <w:p>
      <w:pPr>
        <w:jc w:val="both"/>
        <w:ind w:left="20" w:right="20" w:firstLine="3"/>
        <w:spacing w:after="0" w:line="272" w:lineRule="auto"/>
        <w:tabs>
          <w:tab w:leader="none" w:pos="229"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instruments issued during the period, recorded at fair value upon issuance if the fair value option is elected, or at principal balance net of discounts. For notes measured at fair value, the aggregate fair value adjustment recognized at issuance reduced the principal amount of notes issued during the period by $13,283 thousand. This reduction reflects the allocation of total transaction proceeds between the SPA Portfolio Notes and the related SPA Portfolio Warrants and Incremental Warrants issued as part of the bundled transaction.</w:t>
      </w:r>
    </w:p>
    <w:p>
      <w:pPr>
        <w:spacing w:after="0" w:line="6" w:lineRule="exact"/>
        <w:rPr>
          <w:rFonts w:ascii="Times New Roman" w:cs="Times New Roman" w:eastAsia="Times New Roman" w:hAnsi="Times New Roman"/>
          <w:sz w:val="14"/>
          <w:szCs w:val="14"/>
          <w:color w:val="auto"/>
        </w:rPr>
      </w:pPr>
    </w:p>
    <w:p>
      <w:pPr>
        <w:ind w:left="220" w:hanging="197"/>
        <w:spacing w:after="0"/>
        <w:tabs>
          <w:tab w:leader="none" w:pos="2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repayments of principal amounts during the period.</w:t>
      </w:r>
    </w:p>
    <w:p>
      <w:pPr>
        <w:spacing w:after="0" w:line="63" w:lineRule="exact"/>
        <w:rPr>
          <w:rFonts w:ascii="Times New Roman" w:cs="Times New Roman" w:eastAsia="Times New Roman" w:hAnsi="Times New Roman"/>
          <w:sz w:val="14"/>
          <w:szCs w:val="14"/>
          <w:color w:val="auto"/>
        </w:rPr>
      </w:pPr>
    </w:p>
    <w:p>
      <w:pPr>
        <w:ind w:left="220" w:hanging="197"/>
        <w:spacing w:after="0"/>
        <w:tabs>
          <w:tab w:leader="none" w:pos="2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 of debt converted into equity during the period.</w:t>
      </w:r>
    </w:p>
    <w:p>
      <w:pPr>
        <w:spacing w:after="0" w:line="63" w:lineRule="exact"/>
        <w:rPr>
          <w:rFonts w:ascii="Times New Roman" w:cs="Times New Roman" w:eastAsia="Times New Roman" w:hAnsi="Times New Roman"/>
          <w:sz w:val="14"/>
          <w:szCs w:val="14"/>
          <w:color w:val="auto"/>
        </w:rPr>
      </w:pPr>
    </w:p>
    <w:p>
      <w:pPr>
        <w:ind w:left="20" w:right="60" w:firstLine="3"/>
        <w:spacing w:after="0" w:line="272" w:lineRule="auto"/>
        <w:tabs>
          <w:tab w:leader="none" w:pos="211"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Adjustments to debt fair value due to the fair value option election, embedded derivatives, or anti-dilution provisions. These adjustments are presented as a component of 'Change in fair value of notes payable, warrant liabilities, and call option derivatives' in the Unaudited Condensed Consolidated Statements of Operations. Line-item 'Change in fair value of notes payable, warrant liabilities, and call option derivatives' also includes debt issuance costs of $1,801 thousand, which are separately identifiable from the fair value adjustments noted above.</w:t>
      </w:r>
    </w:p>
    <w:p>
      <w:pPr>
        <w:spacing w:after="0" w:line="6" w:lineRule="exact"/>
        <w:rPr>
          <w:rFonts w:ascii="Times New Roman" w:cs="Times New Roman" w:eastAsia="Times New Roman" w:hAnsi="Times New Roman"/>
          <w:sz w:val="14"/>
          <w:szCs w:val="14"/>
          <w:color w:val="auto"/>
        </w:rPr>
      </w:pPr>
    </w:p>
    <w:p>
      <w:pPr>
        <w:ind w:left="200" w:hanging="177"/>
        <w:spacing w:after="0"/>
        <w:tabs>
          <w:tab w:leader="none" w:pos="2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Miscellaneous changes not captured in other columns, such as currency adjustments and reclassification to accrued expenses.</w:t>
      </w:r>
    </w:p>
    <w:p>
      <w:pPr>
        <w:spacing w:after="0" w:line="63" w:lineRule="exact"/>
        <w:rPr>
          <w:rFonts w:ascii="Times New Roman" w:cs="Times New Roman" w:eastAsia="Times New Roman" w:hAnsi="Times New Roman"/>
          <w:sz w:val="14"/>
          <w:szCs w:val="14"/>
          <w:color w:val="auto"/>
        </w:rPr>
      </w:pPr>
    </w:p>
    <w:p>
      <w:pPr>
        <w:ind w:left="220" w:hanging="197"/>
        <w:spacing w:after="0"/>
        <w:tabs>
          <w:tab w:leader="none" w:pos="2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carrying value for each note category, fair value or amortized cost depending on the election, as of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58"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The following table presents a roll forward of the Company’s Notes payable balances from March 31, 2024 to June 30, 2024 with third parties. The table summarizes beginning and ending balances by debt category and details changes during the period, including repayments, conversions, reclassifications, fair value adjustments, and other significant transactions.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Categories of Debt</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4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3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Unsecured</w:t>
            </w:r>
          </w:p>
        </w:tc>
        <w:tc>
          <w:tcPr>
            <w:tcW w:w="10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Junior</w:t>
            </w:r>
          </w:p>
        </w:tc>
        <w:tc>
          <w:tcPr>
            <w:tcW w:w="100" w:type="dxa"/>
            <w:vAlign w:val="bottom"/>
          </w:tcPr>
          <w:p>
            <w:pPr>
              <w:spacing w:after="0"/>
              <w:rPr>
                <w:sz w:val="14"/>
                <w:szCs w:val="14"/>
                <w:color w:val="auto"/>
              </w:rPr>
            </w:pPr>
          </w:p>
        </w:tc>
        <w:tc>
          <w:tcPr>
            <w:tcW w:w="800" w:type="dxa"/>
            <w:vAlign w:val="bottom"/>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payable</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Secured</w:t>
            </w:r>
          </w:p>
        </w:tc>
        <w:tc>
          <w:tcPr>
            <w:tcW w:w="120" w:type="dxa"/>
            <w:vAlign w:val="bottom"/>
          </w:tcPr>
          <w:p>
            <w:pPr>
              <w:spacing w:after="0"/>
              <w:rPr>
                <w:sz w:val="13"/>
                <w:szCs w:val="13"/>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Unsecured</w:t>
            </w:r>
          </w:p>
        </w:tc>
        <w:tc>
          <w:tcPr>
            <w:tcW w:w="120" w:type="dxa"/>
            <w:vAlign w:val="bottom"/>
          </w:tcPr>
          <w:p>
            <w:pPr>
              <w:spacing w:after="0"/>
              <w:rPr>
                <w:sz w:val="13"/>
                <w:szCs w:val="13"/>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100" w:type="dxa"/>
            <w:vAlign w:val="bottom"/>
          </w:tcPr>
          <w:p>
            <w:pPr>
              <w:spacing w:after="0"/>
              <w:rPr>
                <w:sz w:val="13"/>
                <w:szCs w:val="13"/>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Secured</w:t>
            </w:r>
          </w:p>
        </w:tc>
        <w:tc>
          <w:tcPr>
            <w:tcW w:w="100" w:type="dxa"/>
            <w:vAlign w:val="bottom"/>
          </w:tcPr>
          <w:p>
            <w:pPr>
              <w:spacing w:after="0"/>
              <w:rPr>
                <w:sz w:val="13"/>
                <w:szCs w:val="13"/>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Unsecured</w:t>
            </w:r>
          </w:p>
        </w:tc>
        <w:tc>
          <w:tcPr>
            <w:tcW w:w="120" w:type="dxa"/>
            <w:vAlign w:val="bottom"/>
          </w:tcPr>
          <w:p>
            <w:pPr>
              <w:spacing w:after="0"/>
              <w:rPr>
                <w:sz w:val="13"/>
                <w:szCs w:val="13"/>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Auto</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SPA Notes</w:t>
            </w:r>
          </w:p>
        </w:tc>
        <w:tc>
          <w:tcPr>
            <w:tcW w:w="120" w:type="dxa"/>
            <w:vAlign w:val="bottom"/>
          </w:tcPr>
          <w:p>
            <w:pPr>
              <w:spacing w:after="0"/>
              <w:rPr>
                <w:sz w:val="17"/>
                <w:szCs w:val="17"/>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SPA Notes</w:t>
            </w:r>
          </w:p>
        </w:tc>
        <w:tc>
          <w:tcPr>
            <w:tcW w:w="12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Notes</w:t>
            </w:r>
          </w:p>
        </w:tc>
        <w:tc>
          <w:tcPr>
            <w:tcW w:w="10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SPA Notes</w:t>
            </w:r>
          </w:p>
        </w:tc>
        <w:tc>
          <w:tcPr>
            <w:tcW w:w="10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SPA Notes</w:t>
            </w: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China other</w:t>
            </w:r>
          </w:p>
        </w:tc>
        <w:tc>
          <w:tcPr>
            <w:tcW w:w="14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60" w:type="dxa"/>
            <w:vAlign w:val="bottom"/>
          </w:tcPr>
          <w:p>
            <w:pPr>
              <w:spacing w:after="0"/>
              <w:rPr>
                <w:sz w:val="17"/>
                <w:szCs w:val="17"/>
                <w:color w:val="auto"/>
              </w:rPr>
            </w:pPr>
          </w:p>
        </w:tc>
        <w:tc>
          <w:tcPr>
            <w:tcW w:w="660" w:type="dxa"/>
            <w:vAlign w:val="bottom"/>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6"/>
        </w:trPr>
        <w:tc>
          <w:tcPr>
            <w:tcW w:w="3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3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2024 (a)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41,888</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63,769</w:t>
            </w:r>
          </w:p>
        </w:tc>
        <w:tc>
          <w:tcPr>
            <w:tcW w:w="0" w:type="dxa"/>
            <w:vAlign w:val="bottom"/>
          </w:tcPr>
          <w:p>
            <w:pPr>
              <w:spacing w:after="0"/>
              <w:rPr>
                <w:sz w:val="1"/>
                <w:szCs w:val="1"/>
                <w:color w:val="auto"/>
              </w:rPr>
            </w:pPr>
          </w:p>
        </w:tc>
      </w:tr>
      <w:tr>
        <w:trPr>
          <w:trHeight w:val="187"/>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 Issuances (b)</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8,993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14,862</w:t>
            </w:r>
          </w:p>
        </w:tc>
        <w:tc>
          <w:tcPr>
            <w:tcW w:w="0" w:type="dxa"/>
            <w:vAlign w:val="bottom"/>
          </w:tcPr>
          <w:p>
            <w:pPr>
              <w:spacing w:after="0"/>
              <w:rPr>
                <w:sz w:val="1"/>
                <w:szCs w:val="1"/>
                <w:color w:val="auto"/>
              </w:rPr>
            </w:pPr>
          </w:p>
        </w:tc>
      </w:tr>
      <w:tr>
        <w:trPr>
          <w:trHeight w:val="37"/>
        </w:trPr>
        <w:tc>
          <w:tcPr>
            <w:tcW w:w="3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2"/>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Repayment of Debt, including periodic interest on debt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77"/>
        </w:trPr>
        <w:tc>
          <w:tcPr>
            <w:tcW w:w="3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carried at fair value (c)</w:t>
            </w: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Conversion of Debt to Equity (d)</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(8,122)</w:t>
            </w:r>
          </w:p>
        </w:tc>
        <w:tc>
          <w:tcPr>
            <w:tcW w:w="0" w:type="dxa"/>
            <w:vAlign w:val="bottom"/>
          </w:tcPr>
          <w:p>
            <w:pPr>
              <w:spacing w:after="0"/>
              <w:rPr>
                <w:sz w:val="1"/>
                <w:szCs w:val="1"/>
                <w:color w:val="auto"/>
              </w:rPr>
            </w:pPr>
          </w:p>
        </w:tc>
      </w:tr>
      <w:tr>
        <w:trPr>
          <w:trHeight w:val="37"/>
        </w:trPr>
        <w:tc>
          <w:tcPr>
            <w:tcW w:w="3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3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Adjustments of Debt (e)</w:t>
            </w: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6,912</w:t>
            </w:r>
          </w:p>
        </w:tc>
        <w:tc>
          <w:tcPr>
            <w:tcW w:w="0" w:type="dxa"/>
            <w:vAlign w:val="bottom"/>
          </w:tcPr>
          <w:p>
            <w:pPr>
              <w:spacing w:after="0"/>
              <w:rPr>
                <w:sz w:val="1"/>
                <w:szCs w:val="1"/>
                <w:color w:val="auto"/>
              </w:rPr>
            </w:pPr>
          </w:p>
        </w:tc>
      </w:tr>
      <w:tr>
        <w:trPr>
          <w:trHeight w:val="187"/>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Adjustments (f)</w:t>
            </w:r>
          </w:p>
        </w:tc>
        <w:tc>
          <w:tcPr>
            <w:tcW w:w="1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37"/>
        </w:trPr>
        <w:tc>
          <w:tcPr>
            <w:tcW w:w="34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2024 (g)</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42,715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19,234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77,394</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ind w:left="220" w:hanging="197"/>
        <w:spacing w:after="0"/>
        <w:tabs>
          <w:tab w:leader="none" w:pos="2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carrying value for each note category, fair value or amortized cost depending on the election, as of March 31, 2024.</w:t>
      </w:r>
    </w:p>
    <w:p>
      <w:pPr>
        <w:spacing w:after="0" w:line="63" w:lineRule="exact"/>
        <w:rPr>
          <w:rFonts w:ascii="Times New Roman" w:cs="Times New Roman" w:eastAsia="Times New Roman" w:hAnsi="Times New Roman"/>
          <w:sz w:val="14"/>
          <w:szCs w:val="14"/>
          <w:color w:val="auto"/>
        </w:rPr>
      </w:pPr>
    </w:p>
    <w:p>
      <w:pPr>
        <w:jc w:val="both"/>
        <w:ind w:left="20" w:right="20" w:firstLine="3"/>
        <w:spacing w:after="0" w:line="262" w:lineRule="auto"/>
        <w:tabs>
          <w:tab w:leader="none" w:pos="229"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instruments issued during the period, recorded at fair value upon issuance if the fair value option is elected, or at principal balance net of discounts. For notes measured at fair value, the aggregate fair value adjustment recognized at issuance reduced the principal amount of notes issued during the period by $669 thousand. This reduction reflects the allocation of total transaction proceeds between the SPA Notes and the related SPA Warrants and Incremental Warrants issued as part of the bundled transaction.</w:t>
      </w:r>
    </w:p>
    <w:p>
      <w:pPr>
        <w:spacing w:after="0" w:line="26" w:lineRule="exact"/>
        <w:rPr>
          <w:rFonts w:ascii="Times New Roman" w:cs="Times New Roman" w:eastAsia="Times New Roman" w:hAnsi="Times New Roman"/>
          <w:sz w:val="14"/>
          <w:szCs w:val="14"/>
          <w:color w:val="auto"/>
        </w:rPr>
      </w:pPr>
    </w:p>
    <w:p>
      <w:pPr>
        <w:ind w:left="220" w:hanging="197"/>
        <w:spacing w:after="0"/>
        <w:tabs>
          <w:tab w:leader="none" w:pos="2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repayments of principal amount and periodic interest, where fair value option is elected, during the period.</w:t>
      </w:r>
    </w:p>
    <w:p>
      <w:pPr>
        <w:spacing w:after="0" w:line="63" w:lineRule="exact"/>
        <w:rPr>
          <w:rFonts w:ascii="Times New Roman" w:cs="Times New Roman" w:eastAsia="Times New Roman" w:hAnsi="Times New Roman"/>
          <w:sz w:val="14"/>
          <w:szCs w:val="14"/>
          <w:color w:val="auto"/>
        </w:rPr>
      </w:pPr>
    </w:p>
    <w:p>
      <w:pPr>
        <w:ind w:left="220" w:hanging="197"/>
        <w:spacing w:after="0"/>
        <w:tabs>
          <w:tab w:leader="none" w:pos="2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 of debt converted into equity during the period.</w:t>
      </w:r>
    </w:p>
    <w:p>
      <w:pPr>
        <w:spacing w:after="0" w:line="63" w:lineRule="exact"/>
        <w:rPr>
          <w:rFonts w:ascii="Times New Roman" w:cs="Times New Roman" w:eastAsia="Times New Roman" w:hAnsi="Times New Roman"/>
          <w:sz w:val="14"/>
          <w:szCs w:val="14"/>
          <w:color w:val="auto"/>
        </w:rPr>
      </w:pPr>
    </w:p>
    <w:p>
      <w:pPr>
        <w:jc w:val="both"/>
        <w:ind w:left="20" w:right="20" w:firstLine="3"/>
        <w:spacing w:after="0" w:line="262" w:lineRule="auto"/>
        <w:tabs>
          <w:tab w:leader="none" w:pos="2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Adjustments to debt fair value due to the fair value option election, embedded derivatives, or anti-dilution provisions. These adjustments are presented as a component of Change in fair value of notes payable, warrant liabilities, and call option derivatives in the Unaudited Condensed Consolidated Statements of Operations. Line-item 'Change in fair value of notes payable, warrant liabilities, and call option derivatives' also includes debt issuance costs of $128 thousand, which are separately identifiable from the fair value adjustments noted above.</w:t>
      </w:r>
    </w:p>
    <w:p>
      <w:pPr>
        <w:spacing w:after="0" w:line="26" w:lineRule="exact"/>
        <w:rPr>
          <w:rFonts w:ascii="Times New Roman" w:cs="Times New Roman" w:eastAsia="Times New Roman" w:hAnsi="Times New Roman"/>
          <w:sz w:val="14"/>
          <w:szCs w:val="14"/>
          <w:color w:val="auto"/>
        </w:rPr>
      </w:pPr>
    </w:p>
    <w:p>
      <w:pPr>
        <w:ind w:left="200" w:hanging="177"/>
        <w:spacing w:after="0"/>
        <w:tabs>
          <w:tab w:leader="none" w:pos="2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Miscellaneous changes not captured in other columns, such as currency adjustments.</w:t>
      </w:r>
    </w:p>
    <w:p>
      <w:pPr>
        <w:spacing w:after="0" w:line="63" w:lineRule="exact"/>
        <w:rPr>
          <w:rFonts w:ascii="Times New Roman" w:cs="Times New Roman" w:eastAsia="Times New Roman" w:hAnsi="Times New Roman"/>
          <w:sz w:val="14"/>
          <w:szCs w:val="14"/>
          <w:color w:val="auto"/>
        </w:rPr>
      </w:pPr>
    </w:p>
    <w:p>
      <w:pPr>
        <w:ind w:left="220" w:hanging="197"/>
        <w:spacing w:after="0"/>
        <w:tabs>
          <w:tab w:leader="none" w:pos="2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carrying value for each note category, fair value or amortized cost depending on the election, as of June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Roll Forward of the Fair Value of Notes payable by Transaction Type</w:t>
      </w:r>
    </w:p>
    <w:p>
      <w:pPr>
        <w:spacing w:after="0" w:line="153"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The following table presents a roll forward of the Company’s Notes payable balances from December 31, 2024 to June 30, 2025 with third parties. The table summarizes beginning and ending balances by debt category and details changes during the period, including repayments, conversions, reclassifications, fair value adjustments, and other significant transactions.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Categories of Debt</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3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Secured</w:t>
            </w:r>
          </w:p>
        </w:tc>
        <w:tc>
          <w:tcPr>
            <w:tcW w:w="120" w:type="dxa"/>
            <w:vAlign w:val="bottom"/>
          </w:tcPr>
          <w:p>
            <w:pPr>
              <w:spacing w:after="0"/>
              <w:rPr>
                <w:sz w:val="14"/>
                <w:szCs w:val="14"/>
                <w:color w:val="auto"/>
              </w:rPr>
            </w:pPr>
          </w:p>
        </w:tc>
        <w:tc>
          <w:tcPr>
            <w:tcW w:w="800" w:type="dxa"/>
            <w:vAlign w:val="bottom"/>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Junior</w:t>
            </w:r>
          </w:p>
        </w:tc>
        <w:tc>
          <w:tcPr>
            <w:tcW w:w="100" w:type="dxa"/>
            <w:vAlign w:val="bottom"/>
          </w:tcPr>
          <w:p>
            <w:pPr>
              <w:spacing w:after="0"/>
              <w:rPr>
                <w:sz w:val="14"/>
                <w:szCs w:val="14"/>
                <w:color w:val="auto"/>
              </w:rPr>
            </w:pPr>
          </w:p>
        </w:tc>
        <w:tc>
          <w:tcPr>
            <w:tcW w:w="82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2025 March</w:t>
            </w:r>
          </w:p>
        </w:tc>
        <w:tc>
          <w:tcPr>
            <w:tcW w:w="10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payable</w:t>
            </w:r>
          </w:p>
        </w:tc>
        <w:tc>
          <w:tcPr>
            <w:tcW w:w="16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Auto</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4"/>
                <w:szCs w:val="14"/>
                <w:b w:val="1"/>
                <w:bCs w:val="1"/>
                <w:color w:val="auto"/>
                <w:w w:val="97"/>
              </w:rPr>
              <w:t>Unsecured</w:t>
            </w:r>
          </w:p>
        </w:tc>
        <w:tc>
          <w:tcPr>
            <w:tcW w:w="120" w:type="dxa"/>
            <w:vAlign w:val="bottom"/>
          </w:tcPr>
          <w:p>
            <w:pPr>
              <w:spacing w:after="0"/>
              <w:rPr>
                <w:sz w:val="13"/>
                <w:szCs w:val="13"/>
                <w:color w:val="auto"/>
              </w:rPr>
            </w:pPr>
          </w:p>
        </w:tc>
        <w:tc>
          <w:tcPr>
            <w:tcW w:w="88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4"/>
                <w:szCs w:val="14"/>
                <w:b w:val="1"/>
                <w:bCs w:val="1"/>
                <w:color w:val="auto"/>
                <w:w w:val="99"/>
              </w:rPr>
              <w:t>Secured</w:t>
            </w:r>
          </w:p>
        </w:tc>
        <w:tc>
          <w:tcPr>
            <w:tcW w:w="100" w:type="dxa"/>
            <w:vAlign w:val="bottom"/>
          </w:tcPr>
          <w:p>
            <w:pPr>
              <w:spacing w:after="0"/>
              <w:rPr>
                <w:sz w:val="13"/>
                <w:szCs w:val="13"/>
                <w:color w:val="auto"/>
              </w:rPr>
            </w:pPr>
          </w:p>
        </w:tc>
        <w:tc>
          <w:tcPr>
            <w:tcW w:w="92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4"/>
                <w:szCs w:val="14"/>
                <w:b w:val="1"/>
                <w:bCs w:val="1"/>
                <w:color w:val="auto"/>
              </w:rPr>
              <w:t>Unsecured</w:t>
            </w:r>
          </w:p>
        </w:tc>
        <w:tc>
          <w:tcPr>
            <w:tcW w:w="108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4"/>
                <w:szCs w:val="14"/>
                <w:b w:val="1"/>
                <w:bCs w:val="1"/>
                <w:color w:val="auto"/>
              </w:rPr>
              <w:t>Unsecured SPA</w:t>
            </w:r>
          </w:p>
        </w:tc>
        <w:tc>
          <w:tcPr>
            <w:tcW w:w="100" w:type="dxa"/>
            <w:vAlign w:val="bottom"/>
          </w:tcPr>
          <w:p>
            <w:pPr>
              <w:spacing w:after="0"/>
              <w:rPr>
                <w:sz w:val="13"/>
                <w:szCs w:val="13"/>
                <w:color w:val="auto"/>
              </w:rPr>
            </w:pPr>
          </w:p>
        </w:tc>
        <w:tc>
          <w:tcPr>
            <w:tcW w:w="90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7"/>
                <w:szCs w:val="17"/>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SPA Notes</w:t>
            </w:r>
          </w:p>
        </w:tc>
        <w:tc>
          <w:tcPr>
            <w:tcW w:w="12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SPA Notes</w:t>
            </w:r>
          </w:p>
        </w:tc>
        <w:tc>
          <w:tcPr>
            <w:tcW w:w="12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SPA Notes</w:t>
            </w:r>
          </w:p>
        </w:tc>
        <w:tc>
          <w:tcPr>
            <w:tcW w:w="100" w:type="dxa"/>
            <w:vAlign w:val="bottom"/>
          </w:tcPr>
          <w:p>
            <w:pPr>
              <w:spacing w:after="0"/>
              <w:rPr>
                <w:sz w:val="17"/>
                <w:szCs w:val="17"/>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SPA Notes</w:t>
            </w:r>
          </w:p>
        </w:tc>
        <w:tc>
          <w:tcPr>
            <w:tcW w:w="100" w:type="dxa"/>
            <w:vAlign w:val="bottom"/>
          </w:tcPr>
          <w:p>
            <w:pPr>
              <w:spacing w:after="0"/>
              <w:rPr>
                <w:sz w:val="17"/>
                <w:szCs w:val="17"/>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0" w:type="dxa"/>
            <w:vAlign w:val="bottom"/>
          </w:tcPr>
          <w:p>
            <w:pPr>
              <w:spacing w:after="0"/>
              <w:rPr>
                <w:sz w:val="17"/>
                <w:szCs w:val="17"/>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China other</w:t>
            </w:r>
          </w:p>
        </w:tc>
        <w:tc>
          <w:tcPr>
            <w:tcW w:w="160" w:type="dxa"/>
            <w:vAlign w:val="bottom"/>
          </w:tcPr>
          <w:p>
            <w:pPr>
              <w:spacing w:after="0"/>
              <w:rPr>
                <w:sz w:val="17"/>
                <w:szCs w:val="17"/>
                <w:color w:val="auto"/>
              </w:rPr>
            </w:pP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80" w:type="dxa"/>
            <w:vAlign w:val="bottom"/>
          </w:tcPr>
          <w:p>
            <w:pPr>
              <w:spacing w:after="0"/>
              <w:rPr>
                <w:sz w:val="17"/>
                <w:szCs w:val="17"/>
                <w:color w:val="auto"/>
              </w:rPr>
            </w:pPr>
          </w:p>
        </w:tc>
        <w:tc>
          <w:tcPr>
            <w:tcW w:w="720" w:type="dxa"/>
            <w:vAlign w:val="bottom"/>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
        </w:trPr>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2024 (a)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5,457</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26,059</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4,173</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49,488</w:t>
            </w:r>
          </w:p>
        </w:tc>
        <w:tc>
          <w:tcPr>
            <w:tcW w:w="0" w:type="dxa"/>
            <w:vAlign w:val="bottom"/>
          </w:tcPr>
          <w:p>
            <w:pPr>
              <w:spacing w:after="0"/>
              <w:rPr>
                <w:sz w:val="1"/>
                <w:szCs w:val="1"/>
                <w:color w:val="auto"/>
              </w:rPr>
            </w:pPr>
          </w:p>
        </w:tc>
      </w:tr>
      <w:tr>
        <w:trPr>
          <w:trHeight w:val="187"/>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 Issuances (b)</w:t>
            </w:r>
          </w:p>
        </w:tc>
        <w:tc>
          <w:tcPr>
            <w:tcW w:w="1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11,096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10,094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25,690</w:t>
            </w:r>
          </w:p>
        </w:tc>
        <w:tc>
          <w:tcPr>
            <w:tcW w:w="0" w:type="dxa"/>
            <w:vAlign w:val="bottom"/>
          </w:tcPr>
          <w:p>
            <w:pPr>
              <w:spacing w:after="0"/>
              <w:rPr>
                <w:sz w:val="1"/>
                <w:szCs w:val="1"/>
                <w:color w:val="auto"/>
              </w:rPr>
            </w:pPr>
          </w:p>
        </w:tc>
      </w:tr>
      <w:tr>
        <w:trPr>
          <w:trHeight w:val="37"/>
        </w:trPr>
        <w:tc>
          <w:tcPr>
            <w:tcW w:w="3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Repayment of Debt (c)</w:t>
            </w: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87"/>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Conversion of Debt to Equity (d)</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(16,468)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(34,052)</w:t>
            </w:r>
          </w:p>
        </w:tc>
        <w:tc>
          <w:tcPr>
            <w:tcW w:w="0" w:type="dxa"/>
            <w:vAlign w:val="bottom"/>
          </w:tcPr>
          <w:p>
            <w:pPr>
              <w:spacing w:after="0"/>
              <w:rPr>
                <w:sz w:val="1"/>
                <w:szCs w:val="1"/>
                <w:color w:val="auto"/>
              </w:rPr>
            </w:pPr>
          </w:p>
        </w:tc>
      </w:tr>
      <w:tr>
        <w:trPr>
          <w:trHeight w:val="37"/>
        </w:trPr>
        <w:tc>
          <w:tcPr>
            <w:tcW w:w="3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Adjustments of Debt (e)</w:t>
            </w: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(1,922)</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(9,591)</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(13,057)</w:t>
            </w:r>
          </w:p>
        </w:tc>
        <w:tc>
          <w:tcPr>
            <w:tcW w:w="0" w:type="dxa"/>
            <w:vAlign w:val="bottom"/>
          </w:tcPr>
          <w:p>
            <w:pPr>
              <w:spacing w:after="0"/>
              <w:rPr>
                <w:sz w:val="1"/>
                <w:szCs w:val="1"/>
                <w:color w:val="auto"/>
              </w:rPr>
            </w:pPr>
          </w:p>
        </w:tc>
      </w:tr>
      <w:tr>
        <w:trPr>
          <w:trHeight w:val="187"/>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Adjustments (f)</w:t>
            </w:r>
          </w:p>
        </w:tc>
        <w:tc>
          <w:tcPr>
            <w:tcW w:w="1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37"/>
        </w:trPr>
        <w:tc>
          <w:tcPr>
            <w:tcW w:w="33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June 30, 2025 (g)</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9,297</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28,033</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1" w:lineRule="exact"/>
        <w:rPr>
          <w:sz w:val="20"/>
          <w:szCs w:val="20"/>
          <w:color w:val="auto"/>
        </w:rPr>
      </w:pPr>
    </w:p>
    <w:p>
      <w:pPr>
        <w:ind w:left="220" w:hanging="197"/>
        <w:spacing w:after="0"/>
        <w:tabs>
          <w:tab w:leader="none" w:pos="2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carrying value for each note category, fair value or amortized cost depending on the election, as of December 31, 2024.</w:t>
      </w:r>
    </w:p>
    <w:p>
      <w:pPr>
        <w:spacing w:after="0" w:line="63" w:lineRule="exact"/>
        <w:rPr>
          <w:rFonts w:ascii="Times New Roman" w:cs="Times New Roman" w:eastAsia="Times New Roman" w:hAnsi="Times New Roman"/>
          <w:sz w:val="14"/>
          <w:szCs w:val="14"/>
          <w:color w:val="auto"/>
        </w:rPr>
      </w:pPr>
    </w:p>
    <w:p>
      <w:pPr>
        <w:jc w:val="both"/>
        <w:ind w:left="20" w:right="20" w:firstLine="3"/>
        <w:spacing w:after="0" w:line="262" w:lineRule="auto"/>
        <w:tabs>
          <w:tab w:leader="none" w:pos="229"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instruments issued during the period, recorded at fair value upon issuance if the fair value option is elected, or at principal balance net of discounts. For notes measured at fair value, the aggregate fair value adjustment recognized at issuance reduced the principal amount of notes issued during the period by $23,380 thousand. This reduction reflects the allocation of total transaction proceeds between the SPA Notes and the related SPA Warrants and Incremental Warrants issued as part of the bundled transaction.</w:t>
      </w:r>
    </w:p>
    <w:p>
      <w:pPr>
        <w:spacing w:after="0" w:line="26" w:lineRule="exact"/>
        <w:rPr>
          <w:rFonts w:ascii="Times New Roman" w:cs="Times New Roman" w:eastAsia="Times New Roman" w:hAnsi="Times New Roman"/>
          <w:sz w:val="14"/>
          <w:szCs w:val="14"/>
          <w:color w:val="auto"/>
        </w:rPr>
      </w:pPr>
    </w:p>
    <w:p>
      <w:pPr>
        <w:ind w:left="220" w:hanging="197"/>
        <w:spacing w:after="0"/>
        <w:tabs>
          <w:tab w:leader="none" w:pos="2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repayments of principal amounts during the period.</w:t>
      </w:r>
    </w:p>
    <w:p>
      <w:pPr>
        <w:spacing w:after="0" w:line="63" w:lineRule="exact"/>
        <w:rPr>
          <w:rFonts w:ascii="Times New Roman" w:cs="Times New Roman" w:eastAsia="Times New Roman" w:hAnsi="Times New Roman"/>
          <w:sz w:val="14"/>
          <w:szCs w:val="14"/>
          <w:color w:val="auto"/>
        </w:rPr>
      </w:pPr>
    </w:p>
    <w:p>
      <w:pPr>
        <w:ind w:left="220" w:hanging="197"/>
        <w:spacing w:after="0"/>
        <w:tabs>
          <w:tab w:leader="none" w:pos="2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 of debt converted into equity during the period.</w:t>
      </w:r>
    </w:p>
    <w:p>
      <w:pPr>
        <w:spacing w:after="0" w:line="63" w:lineRule="exact"/>
        <w:rPr>
          <w:sz w:val="20"/>
          <w:szCs w:val="20"/>
          <w:color w:val="auto"/>
        </w:rPr>
      </w:pPr>
    </w:p>
    <w:p>
      <w:pPr>
        <w:jc w:val="both"/>
        <w:ind w:left="20" w:right="180" w:firstLine="3"/>
        <w:spacing w:after="0" w:line="262" w:lineRule="auto"/>
        <w:tabs>
          <w:tab w:leader="none" w:pos="19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Adjustments to debt fair value due to the fair value option election, embedded derivatives, or anti-dilution provisions. These adjustments are presented as a component of Change in fair value of notes payable, warrant liabilities, and derivative call options in the Unaudited Condensed Consolidated Statements of Operations and Comprehensive Loss. Line-item Change in fair value of notes payable, warrant liabilities, and derivative call options also includes debt issuance costs of $2,230 thousand, which are separately identifiable from the fair value adjustments noted above.</w:t>
      </w:r>
    </w:p>
    <w:p>
      <w:pPr>
        <w:spacing w:after="0" w:line="27" w:lineRule="exact"/>
        <w:rPr>
          <w:sz w:val="20"/>
          <w:szCs w:val="20"/>
          <w:color w:val="auto"/>
        </w:rPr>
      </w:pPr>
    </w:p>
    <w:p>
      <w:pPr>
        <w:ind w:left="200" w:hanging="177"/>
        <w:spacing w:after="0"/>
        <w:tabs>
          <w:tab w:leader="none" w:pos="2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Miscellaneous changes not captured in other columns, such as currency adjustments and reclassification to accrued expenses.</w:t>
      </w:r>
    </w:p>
    <w:p>
      <w:pPr>
        <w:spacing w:after="0" w:line="63" w:lineRule="exact"/>
        <w:rPr>
          <w:rFonts w:ascii="Times New Roman" w:cs="Times New Roman" w:eastAsia="Times New Roman" w:hAnsi="Times New Roman"/>
          <w:sz w:val="14"/>
          <w:szCs w:val="14"/>
          <w:color w:val="auto"/>
        </w:rPr>
      </w:pPr>
    </w:p>
    <w:p>
      <w:pPr>
        <w:ind w:left="220" w:hanging="197"/>
        <w:spacing w:after="0"/>
        <w:tabs>
          <w:tab w:leader="none" w:pos="2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carrying value for each note category, fair value or amortized cost depending on the election, as of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58"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The following table presents a roll forward of the Company’s Notes payable balances from December 31, 2023 to June 30, 2024 with third parties. The table summarizes beginning and ending balances by debt category and details changes during the period, including repayments, conversions, reclassifications, fair value adjustments, and other significant transactions.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Categories of Debt</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37"/>
        </w:trPr>
        <w:tc>
          <w:tcPr>
            <w:tcW w:w="53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r>
      <w:tr>
        <w:trPr>
          <w:trHeight w:val="166"/>
        </w:trPr>
        <w:tc>
          <w:tcPr>
            <w:tcW w:w="5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58"/>
        </w:trPr>
        <w:tc>
          <w:tcPr>
            <w:tcW w:w="5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center"/>
              <w:ind w:right="70"/>
              <w:spacing w:after="0" w:line="158"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4"/>
                <w:szCs w:val="14"/>
                <w:b w:val="1"/>
                <w:bCs w:val="1"/>
                <w:color w:val="auto"/>
              </w:rPr>
              <w:t>Unsecured</w:t>
            </w:r>
          </w:p>
        </w:tc>
        <w:tc>
          <w:tcPr>
            <w:tcW w:w="120" w:type="dxa"/>
            <w:vAlign w:val="bottom"/>
          </w:tcPr>
          <w:p>
            <w:pPr>
              <w:spacing w:after="0"/>
              <w:rPr>
                <w:sz w:val="13"/>
                <w:szCs w:val="13"/>
                <w:color w:val="auto"/>
              </w:rPr>
            </w:pPr>
          </w:p>
        </w:tc>
        <w:tc>
          <w:tcPr>
            <w:tcW w:w="80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4"/>
                <w:szCs w:val="14"/>
                <w:b w:val="1"/>
                <w:bCs w:val="1"/>
                <w:color w:val="auto"/>
              </w:rPr>
              <w:t>payable</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71"/>
        </w:trPr>
        <w:tc>
          <w:tcPr>
            <w:tcW w:w="5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Secured</w:t>
            </w:r>
          </w:p>
        </w:tc>
        <w:tc>
          <w:tcPr>
            <w:tcW w:w="12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Unsecured</w:t>
            </w: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Convertible</w:t>
            </w:r>
          </w:p>
        </w:tc>
        <w:tc>
          <w:tcPr>
            <w:tcW w:w="12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Auto</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85"/>
        </w:trPr>
        <w:tc>
          <w:tcPr>
            <w:tcW w:w="53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6"/>
                <w:szCs w:val="16"/>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SPA Notes</w:t>
            </w:r>
          </w:p>
        </w:tc>
        <w:tc>
          <w:tcPr>
            <w:tcW w:w="120" w:type="dxa"/>
            <w:vAlign w:val="bottom"/>
          </w:tcPr>
          <w:p>
            <w:pPr>
              <w:spacing w:after="0"/>
              <w:rPr>
                <w:sz w:val="16"/>
                <w:szCs w:val="16"/>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SPA Notes</w:t>
            </w:r>
          </w:p>
        </w:tc>
        <w:tc>
          <w:tcPr>
            <w:tcW w:w="12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9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China other</w:t>
            </w:r>
          </w:p>
        </w:tc>
        <w:tc>
          <w:tcPr>
            <w:tcW w:w="16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80" w:type="dxa"/>
            <w:vAlign w:val="bottom"/>
          </w:tcPr>
          <w:p>
            <w:pPr>
              <w:spacing w:after="0"/>
              <w:rPr>
                <w:sz w:val="16"/>
                <w:szCs w:val="16"/>
                <w:color w:val="auto"/>
              </w:rPr>
            </w:pPr>
          </w:p>
        </w:tc>
        <w:tc>
          <w:tcPr>
            <w:tcW w:w="660" w:type="dxa"/>
            <w:vAlign w:val="bottom"/>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53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r>
      <w:tr>
        <w:trPr>
          <w:trHeight w:val="197"/>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2023 (a)</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74,232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11,938</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4,898</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center"/>
              <w:ind w:left="290"/>
              <w:spacing w:after="0"/>
              <w:rPr>
                <w:sz w:val="20"/>
                <w:szCs w:val="20"/>
                <w:color w:val="auto"/>
              </w:rPr>
            </w:pPr>
            <w:r>
              <w:rPr>
                <w:rFonts w:ascii="Times New Roman" w:cs="Times New Roman" w:eastAsia="Times New Roman" w:hAnsi="Times New Roman"/>
                <w:sz w:val="14"/>
                <w:szCs w:val="14"/>
                <w:color w:val="auto"/>
                <w:w w:val="99"/>
              </w:rPr>
              <w:t>82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91,150</w:t>
            </w:r>
          </w:p>
        </w:tc>
      </w:tr>
      <w:tr>
        <w:trPr>
          <w:trHeight w:val="187"/>
        </w:trPr>
        <w:tc>
          <w:tcPr>
            <w:tcW w:w="5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 Issuances (b)</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16,570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gridSpan w:val="2"/>
          </w:tcPr>
          <w:p>
            <w:pPr>
              <w:jc w:val="center"/>
              <w:ind w:left="190"/>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23,896</w:t>
            </w:r>
          </w:p>
        </w:tc>
      </w:tr>
      <w:tr>
        <w:trPr>
          <w:trHeight w:val="37"/>
        </w:trPr>
        <w:tc>
          <w:tcPr>
            <w:tcW w:w="5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204"/>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Repayment of Debt, including periodic interest on debt carried at fair value (c)</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center"/>
              <w:ind w:left="270"/>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87"/>
        </w:trPr>
        <w:tc>
          <w:tcPr>
            <w:tcW w:w="5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Conversion of Debt to Equity (d)</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(16,585)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gridSpan w:val="2"/>
          </w:tcPr>
          <w:p>
            <w:pPr>
              <w:jc w:val="center"/>
              <w:ind w:left="190"/>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(16,805)</w:t>
            </w:r>
          </w:p>
        </w:tc>
      </w:tr>
      <w:tr>
        <w:trPr>
          <w:trHeight w:val="37"/>
        </w:trPr>
        <w:tc>
          <w:tcPr>
            <w:tcW w:w="5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204"/>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Adjustments of Debt (e)</w:t>
            </w: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(22,258)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(1,215)</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(20,809)</w:t>
            </w:r>
          </w:p>
        </w:tc>
      </w:tr>
      <w:tr>
        <w:trPr>
          <w:trHeight w:val="187"/>
        </w:trPr>
        <w:tc>
          <w:tcPr>
            <w:tcW w:w="5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Adjustments (f)</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tcPr>
          <w:p>
            <w:pPr>
              <w:jc w:val="center"/>
              <w:ind w:left="190"/>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37"/>
        </w:trPr>
        <w:tc>
          <w:tcPr>
            <w:tcW w:w="53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r>
      <w:tr>
        <w:trPr>
          <w:trHeight w:val="237"/>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2024 (g)</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42,715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10,503</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19,234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4,878</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center"/>
              <w:ind w:left="290"/>
              <w:spacing w:after="0"/>
              <w:rPr>
                <w:sz w:val="20"/>
                <w:szCs w:val="20"/>
                <w:color w:val="auto"/>
              </w:rPr>
            </w:pPr>
            <w:r>
              <w:rPr>
                <w:rFonts w:ascii="Times New Roman" w:cs="Times New Roman" w:eastAsia="Times New Roman" w:hAnsi="Times New Roman"/>
                <w:sz w:val="14"/>
                <w:szCs w:val="14"/>
                <w:color w:val="auto"/>
                <w:w w:val="99"/>
              </w:rPr>
              <w:t>64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77,394</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81" w:lineRule="exact"/>
        <w:rPr>
          <w:sz w:val="20"/>
          <w:szCs w:val="20"/>
          <w:color w:val="auto"/>
        </w:rPr>
      </w:pPr>
    </w:p>
    <w:p>
      <w:pPr>
        <w:ind w:left="220" w:hanging="197"/>
        <w:spacing w:after="0"/>
        <w:tabs>
          <w:tab w:leader="none" w:pos="2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carrying value for each note category, fair value or amortized cost depending on the election, as of December 31, 2023.</w:t>
      </w:r>
    </w:p>
    <w:p>
      <w:pPr>
        <w:spacing w:after="0" w:line="63" w:lineRule="exact"/>
        <w:rPr>
          <w:rFonts w:ascii="Times New Roman" w:cs="Times New Roman" w:eastAsia="Times New Roman" w:hAnsi="Times New Roman"/>
          <w:sz w:val="14"/>
          <w:szCs w:val="14"/>
          <w:color w:val="auto"/>
        </w:rPr>
      </w:pPr>
    </w:p>
    <w:p>
      <w:pPr>
        <w:jc w:val="both"/>
        <w:ind w:left="20" w:right="20" w:firstLine="3"/>
        <w:spacing w:after="0" w:line="262" w:lineRule="auto"/>
        <w:tabs>
          <w:tab w:leader="none" w:pos="229"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instruments issued during the period, recorded at fair value upon issuance if the fair value option is elected, or at principal balance net of discounts. For notes measured at fair value, the aggregate fair value adjustment recognized at issuance reduced the principal amount of notes issued during the period by $835 thousand. This reduction reflects the allocation of total transaction proceeds between the SPA Notes and the related SPA Warrants and Incremental Warrants issued as part of the bundled transaction.</w:t>
      </w:r>
    </w:p>
    <w:p>
      <w:pPr>
        <w:spacing w:after="0" w:line="26" w:lineRule="exact"/>
        <w:rPr>
          <w:rFonts w:ascii="Times New Roman" w:cs="Times New Roman" w:eastAsia="Times New Roman" w:hAnsi="Times New Roman"/>
          <w:sz w:val="14"/>
          <w:szCs w:val="14"/>
          <w:color w:val="auto"/>
        </w:rPr>
      </w:pPr>
    </w:p>
    <w:p>
      <w:pPr>
        <w:ind w:left="220" w:hanging="197"/>
        <w:spacing w:after="0"/>
        <w:tabs>
          <w:tab w:leader="none" w:pos="2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repayments of principal amount and periodic interest, where fair value option is elected, during the period.</w:t>
      </w:r>
    </w:p>
    <w:p>
      <w:pPr>
        <w:spacing w:after="0" w:line="63" w:lineRule="exact"/>
        <w:rPr>
          <w:rFonts w:ascii="Times New Roman" w:cs="Times New Roman" w:eastAsia="Times New Roman" w:hAnsi="Times New Roman"/>
          <w:sz w:val="14"/>
          <w:szCs w:val="14"/>
          <w:color w:val="auto"/>
        </w:rPr>
      </w:pPr>
    </w:p>
    <w:p>
      <w:pPr>
        <w:ind w:left="220" w:hanging="197"/>
        <w:spacing w:after="0"/>
        <w:tabs>
          <w:tab w:leader="none" w:pos="2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 of debt converted into equity during the period.</w:t>
      </w:r>
    </w:p>
    <w:p>
      <w:pPr>
        <w:spacing w:after="0" w:line="63" w:lineRule="exact"/>
        <w:rPr>
          <w:rFonts w:ascii="Times New Roman" w:cs="Times New Roman" w:eastAsia="Times New Roman" w:hAnsi="Times New Roman"/>
          <w:sz w:val="14"/>
          <w:szCs w:val="14"/>
          <w:color w:val="auto"/>
        </w:rPr>
      </w:pPr>
    </w:p>
    <w:p>
      <w:pPr>
        <w:jc w:val="both"/>
        <w:ind w:left="20" w:right="20" w:firstLine="3"/>
        <w:spacing w:after="0" w:line="262" w:lineRule="auto"/>
        <w:tabs>
          <w:tab w:leader="none" w:pos="2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Adjustments to debt fair value due to the fair value option election, embedded derivatives, or anti-dilution provisions. These adjustments are presented as a component of Change in fair value of notes payable, warrant liabilities, and call option derivatives in the Unaudited Condensed Consolidated Statements of Operations. Line-item 'Change in fair value of notes payable, warrant liabilities, and call option derivatives' also includes debt issuance costs of $190 thousand, which are separately identifiable from the fair value adjustments noted above.</w:t>
      </w:r>
    </w:p>
    <w:p>
      <w:pPr>
        <w:spacing w:after="0" w:line="26" w:lineRule="exact"/>
        <w:rPr>
          <w:rFonts w:ascii="Times New Roman" w:cs="Times New Roman" w:eastAsia="Times New Roman" w:hAnsi="Times New Roman"/>
          <w:sz w:val="14"/>
          <w:szCs w:val="14"/>
          <w:color w:val="auto"/>
        </w:rPr>
      </w:pPr>
    </w:p>
    <w:p>
      <w:pPr>
        <w:ind w:left="200" w:hanging="177"/>
        <w:spacing w:after="0"/>
        <w:tabs>
          <w:tab w:leader="none" w:pos="2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Miscellaneous changes not captured in other columns, such as currency adjustments.</w:t>
      </w:r>
    </w:p>
    <w:p>
      <w:pPr>
        <w:spacing w:after="0" w:line="63" w:lineRule="exact"/>
        <w:rPr>
          <w:rFonts w:ascii="Times New Roman" w:cs="Times New Roman" w:eastAsia="Times New Roman" w:hAnsi="Times New Roman"/>
          <w:sz w:val="14"/>
          <w:szCs w:val="14"/>
          <w:color w:val="auto"/>
        </w:rPr>
      </w:pPr>
    </w:p>
    <w:p>
      <w:pPr>
        <w:ind w:left="220" w:hanging="197"/>
        <w:spacing w:after="0"/>
        <w:tabs>
          <w:tab w:leader="none" w:pos="2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carrying value for each note category, fair value or amortized cost depending on the election, as of June 30, 2024.</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Schedule of Principal Maturities of Notes Payable</w:t>
      </w:r>
    </w:p>
    <w:p>
      <w:pPr>
        <w:spacing w:after="0" w:line="15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future scheduled principal maturities of Notes payable as of June 30, 2025,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7"/>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on demand</w:t>
            </w:r>
          </w:p>
        </w:tc>
        <w:tc>
          <w:tcPr>
            <w:tcW w:w="50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4,188</w:t>
            </w:r>
          </w:p>
        </w:tc>
      </w:tr>
      <w:tr>
        <w:trPr>
          <w:trHeight w:val="27"/>
        </w:trPr>
        <w:tc>
          <w:tcPr>
            <w:tcW w:w="9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4"/>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4"/>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4"/>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w:t>
            </w:r>
          </w:p>
        </w:tc>
      </w:tr>
      <w:tr>
        <w:trPr>
          <w:trHeight w:val="237"/>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31,194</w:t>
            </w:r>
          </w:p>
        </w:tc>
      </w:tr>
      <w:tr>
        <w:trPr>
          <w:trHeight w:val="27"/>
        </w:trPr>
        <w:tc>
          <w:tcPr>
            <w:tcW w:w="9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4"/>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30"/>
        </w:trPr>
        <w:tc>
          <w:tcPr>
            <w:tcW w:w="9800" w:type="dxa"/>
            <w:vAlign w:val="bottom"/>
          </w:tcPr>
          <w:p>
            <w:pPr>
              <w:spacing w:after="0"/>
              <w:rPr>
                <w:sz w:val="19"/>
                <w:szCs w:val="19"/>
                <w:color w:val="auto"/>
              </w:rPr>
            </w:pPr>
          </w:p>
        </w:tc>
        <w:tc>
          <w:tcPr>
            <w:tcW w:w="500" w:type="dxa"/>
            <w:vAlign w:val="bottom"/>
            <w:tcBorders>
              <w:top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44,807</w:t>
            </w:r>
          </w:p>
        </w:tc>
      </w:tr>
      <w:tr>
        <w:trPr>
          <w:trHeight w:val="27"/>
        </w:trPr>
        <w:tc>
          <w:tcPr>
            <w:tcW w:w="98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98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03"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The Company has issued various financing arrangements, including secured and unsecured notes, convertible notes, and loans. These are categorized as follows: (i) Secured SPA Notes; (ii) 2023 Unsecured SPA Notes; (iii) Unsecured Convertible Notes; (iv) Junior Secured SPA Notes; (v) 2024 Unsecured SPA Notes; (vi) 2025 March Unsecured SPA Notes; (vii) Notes payable – China other; and (viii) Auto loans.</w:t>
      </w:r>
    </w:p>
    <w:p>
      <w:pPr>
        <w:spacing w:after="0" w:line="11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Below is a discussion of the terms, amendments, letter agreements, and financial impacts for each category of debt.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Secured SPA Notes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and Terms</w:t>
      </w:r>
    </w:p>
    <w:p>
      <w:pPr>
        <w:spacing w:after="0" w:line="15" w:lineRule="exact"/>
        <w:rPr>
          <w:sz w:val="20"/>
          <w:szCs w:val="20"/>
          <w:color w:val="auto"/>
        </w:rPr>
      </w:pPr>
    </w:p>
    <w:p>
      <w:pPr>
        <w:ind w:right="140" w:firstLine="475"/>
        <w:spacing w:after="0" w:line="233" w:lineRule="auto"/>
        <w:rPr>
          <w:sz w:val="20"/>
          <w:szCs w:val="20"/>
          <w:color w:val="auto"/>
        </w:rPr>
      </w:pPr>
      <w:r>
        <w:rPr>
          <w:rFonts w:ascii="Times New Roman" w:cs="Times New Roman" w:eastAsia="Times New Roman" w:hAnsi="Times New Roman"/>
          <w:sz w:val="18"/>
          <w:szCs w:val="18"/>
          <w:color w:val="auto"/>
        </w:rPr>
        <w:t>The Secured SPA Notes were issued under the securities purchase agreement (the “Secured SPA”) dated August 14, 2022, with FF Simplicity Ventures LLC (“FFSV”) acting as administrative agent, collateral agent, and purchaser, along with additional purchasers. These senior secured convertible notes are supported by a second lien on substantially all of the Company’s assets and are guaranteed by the Company’s domestic subsidiaries.</w:t>
      </w:r>
    </w:p>
    <w:p>
      <w:pPr>
        <w:spacing w:after="0" w:line="116" w:lineRule="exact"/>
        <w:rPr>
          <w:sz w:val="20"/>
          <w:szCs w:val="20"/>
          <w:color w:val="auto"/>
        </w:rPr>
      </w:pPr>
    </w:p>
    <w:p>
      <w:pPr>
        <w:jc w:val="both"/>
        <w:ind w:firstLine="475"/>
        <w:spacing w:after="0" w:line="249" w:lineRule="auto"/>
        <w:rPr>
          <w:sz w:val="20"/>
          <w:szCs w:val="20"/>
          <w:color w:val="auto"/>
        </w:rPr>
      </w:pPr>
      <w:r>
        <w:rPr>
          <w:rFonts w:ascii="Times New Roman" w:cs="Times New Roman" w:eastAsia="Times New Roman" w:hAnsi="Times New Roman"/>
          <w:sz w:val="18"/>
          <w:szCs w:val="18"/>
          <w:color w:val="auto"/>
        </w:rPr>
        <w:t>The Secured SPA Notes bear an annual interest rate of 10%, increasing to 15% if interest is paid in shares of Class A Common Stock. Principal and interest are due at maturity, unless converted earlier pursuant to the Secured SPA Notes’ conversion privileges. Issued at a 10% original issue discount, these notes are convertible into Class A Common Stock at the lesser of a fixed conversion price or 90% of the lowest volume-weighted average price (“VWAP”) for the trading day immediately prior to the conversion date. The Secured SPA Notes are subject to full ratchet anti-dilution price protection and as of June 30, 2025 the fixed price conversion price was $1.16. The Secured SPA Notes mature six years from each date of issuance. There were no outstanding Secured SPA Notes, as of June 30, 2025.</w:t>
      </w:r>
    </w:p>
    <w:p>
      <w:pPr>
        <w:spacing w:after="0" w:line="123"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In connection with the issuance of the Secured SPA Notes, the Company also granted to each purchaser a warrant (the “Secured SPA Warrants”) to purchase shares of Class A Common Stock equal to 33% of the shares issuable upon conversion of the aggregate principal amount under the Secured SPA Notes funded. The Secured SPA Warrants are subject to the same full ratchet anti-dilution price protection as the Secured SPA Notes. The Secured SPA Warrants are indexed to the Company’s Class A Common Stock and, as such, meet the scope exception in ASC 815-40 to be classified within equity.</w:t>
      </w:r>
    </w:p>
    <w:p>
      <w:pPr>
        <w:spacing w:after="0" w:line="114"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 xml:space="preserve">The Company elected the fair value option afforded by </w:t>
      </w:r>
      <w:r>
        <w:rPr>
          <w:rFonts w:ascii="Times New Roman" w:cs="Times New Roman" w:eastAsia="Times New Roman" w:hAnsi="Times New Roman"/>
          <w:sz w:val="18"/>
          <w:szCs w:val="18"/>
          <w:i w:val="1"/>
          <w:iCs w:val="1"/>
          <w:color w:val="auto"/>
        </w:rPr>
        <w:t>ASC 825, Financial Instruments</w:t>
      </w:r>
      <w:r>
        <w:rPr>
          <w:rFonts w:ascii="Times New Roman" w:cs="Times New Roman" w:eastAsia="Times New Roman" w:hAnsi="Times New Roman"/>
          <w:sz w:val="18"/>
          <w:szCs w:val="18"/>
          <w:color w:val="auto"/>
        </w:rPr>
        <w:t>, with respect to the Secured SPA Notes because the notes include features, such as a contingently exercisable put option, that meet the definition of an embedded derivative. The Company expenses transaction costs to Change in fair value of notes payable, warrant liabilities, and derivative call options in the Unaudited Condensed Consolidated Statements of Operations and Comprehensive Loss. The Company also elected to apply the fair value option for all other SPA Portfolio Notes.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Amendments and Modifications</w:t>
      </w:r>
    </w:p>
    <w:p>
      <w:pPr>
        <w:spacing w:after="0" w:line="15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Secured SPA Notes have undergone several amendments:</w:t>
      </w:r>
    </w:p>
    <w:p>
      <w:pPr>
        <w:spacing w:after="0" w:line="147" w:lineRule="exact"/>
        <w:rPr>
          <w:sz w:val="20"/>
          <w:szCs w:val="20"/>
          <w:color w:val="auto"/>
        </w:rPr>
      </w:pPr>
    </w:p>
    <w:p>
      <w:pPr>
        <w:jc w:val="both"/>
        <w:ind w:left="640" w:hanging="318"/>
        <w:spacing w:after="0" w:line="250"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Unanimous Written Consents: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highlight w:val="white"/>
        </w:rPr>
        <w:t>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six months ended June 30, 2024, the Company’s Board of Directors (the “Board”) exercised its authority via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series of written consents (the “Unanimous Written Consents”) to adjust the principal conversion price of the Secured SPA Notes as it considered desirable. The Board chose to reduce the principal conversion price from $29.33 to 105% of the listed market price of the Company’s Common Stock at the close of the trading day on which a conversion notice is delivered. The adjustments to the principal conversion price were temporary in nature and contractually concluded on June 30, 2024. The actions of the Board in the Unanimous Written Consents did not trigger any full ratchet anti-dilution price protection in the Company’s debt and equity securities.</w:t>
      </w:r>
    </w:p>
    <w:p>
      <w:pPr>
        <w:spacing w:after="0" w:line="104" w:lineRule="exact"/>
        <w:rPr>
          <w:rFonts w:ascii="Times New Roman" w:cs="Times New Roman" w:eastAsia="Times New Roman" w:hAnsi="Times New Roman"/>
          <w:sz w:val="18"/>
          <w:szCs w:val="18"/>
          <w:color w:val="auto"/>
        </w:rPr>
      </w:pPr>
    </w:p>
    <w:p>
      <w:pPr>
        <w:ind w:left="640" w:hanging="318"/>
        <w:spacing w:after="0" w:line="272"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Eleventh and Twelfth Amendments (July 11,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highlight w:val="white"/>
        </w:rPr>
        <w:t>Permitted entry into the Collateralized Loan by subordinating liens securing the Secured SPA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Notes to liens under the Collateralized Loan (See Note 9, </w:t>
      </w:r>
      <w:r>
        <w:rPr>
          <w:rFonts w:ascii="Times New Roman" w:cs="Times New Roman" w:eastAsia="Times New Roman" w:hAnsi="Times New Roman"/>
          <w:sz w:val="18"/>
          <w:szCs w:val="18"/>
          <w:i w:val="1"/>
          <w:iCs w:val="1"/>
          <w:color w:val="auto"/>
        </w:rPr>
        <w:t>Other Financing Liabilities</w:t>
      </w:r>
      <w:r>
        <w:rPr>
          <w:rFonts w:ascii="Times New Roman" w:cs="Times New Roman" w:eastAsia="Times New Roman" w:hAnsi="Times New Roman"/>
          <w:sz w:val="18"/>
          <w:szCs w:val="18"/>
          <w:color w:val="auto"/>
        </w:rPr>
        <w:t xml:space="preserve">, Section </w:t>
      </w:r>
      <w:r>
        <w:rPr>
          <w:rFonts w:ascii="Times New Roman" w:cs="Times New Roman" w:eastAsia="Times New Roman" w:hAnsi="Times New Roman"/>
          <w:sz w:val="18"/>
          <w:szCs w:val="18"/>
          <w:i w:val="1"/>
          <w:iCs w:val="1"/>
          <w:color w:val="auto"/>
        </w:rPr>
        <w:t>Collateralized Loan</w:t>
      </w:r>
      <w:r>
        <w:rPr>
          <w:rFonts w:ascii="Times New Roman" w:cs="Times New Roman" w:eastAsia="Times New Roman" w:hAnsi="Times New Roman"/>
          <w:sz w:val="18"/>
          <w:szCs w:val="18"/>
          <w:color w:val="auto"/>
        </w:rPr>
        <w:t xml:space="preserve"> below).</w:t>
      </w:r>
    </w:p>
    <w:p>
      <w:pPr>
        <w:spacing w:after="0" w:line="97" w:lineRule="exact"/>
        <w:rPr>
          <w:rFonts w:ascii="Times New Roman" w:cs="Times New Roman" w:eastAsia="Times New Roman" w:hAnsi="Times New Roman"/>
          <w:sz w:val="18"/>
          <w:szCs w:val="18"/>
          <w:color w:val="auto"/>
        </w:rPr>
      </w:pPr>
    </w:p>
    <w:p>
      <w:pPr>
        <w:jc w:val="both"/>
        <w:ind w:left="640" w:hanging="318"/>
        <w:spacing w:after="0" w:line="248"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The Waiver Agreement (August 2, 2024)</w:t>
      </w:r>
      <w:r>
        <w:rPr>
          <w:rFonts w:ascii="Times New Roman" w:cs="Times New Roman" w:eastAsia="Times New Roman" w:hAnsi="Times New Roman"/>
          <w:sz w:val="18"/>
          <w:szCs w:val="18"/>
          <w:color w:val="auto"/>
          <w:highlight w:val="white"/>
        </w:rPr>
        <w:t>: Revised key financial terms of the Secured SPA Notes and 2023 Unsecured SPA Notes,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elimination of the Make-Whole Amount. The Make-Whole Amount was a provision that entitled noteholders to compensation for the interest they would have received had the notes been held to maturity. Additionally, pursuant to the Waiver Agreement, the holders agreed that accrued interest shall be due at maturity or conversion. Further, the conversion price was reduced to the lesser of (1) the conversion price then in effect, $29.33, subject to full ratchet anti-dilution price protection (as adjusted for stock splits, stock dividends, stock combinations, recapitalizations or other similar transactions occurring thereafter) or (2) 90% of the VWAP of the Company’s Common Stock as of the trading day ended immediately prior to the time the conversion notice is delivered to the Company. The provisions of the Waiver Agreement will apply to all Secured SPA Notes and 2023 Unsecured SPA</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0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Notes currently issued or issuable in the future pursuant to the Secured SPA and 2023 Unsecured SPA (as defined below).</w:t>
      </w:r>
    </w:p>
    <w:p>
      <w:pPr>
        <w:spacing w:after="0" w:line="149"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18"/>
          <w:szCs w:val="18"/>
          <w:color w:val="auto"/>
        </w:rPr>
        <w:t>In accordance with ASC 470-50, Debt—Modifications and Extinguishments, the changes pursuant to the Waiver Agreement qualified as an extinguishment because the change in the fair value of the conversion feature was substantial. Accordingly, the Company recognized a Loss on settlement of notes payable in the Consolidated Statements of Operations and Comprehensive Loss for the year ended December 31, 2024, calculated as the difference between the reacquisition price of the debt and the net carrying amount of the notes.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Anti-Dilution Adjustments</w:t>
      </w:r>
    </w:p>
    <w:p>
      <w:pPr>
        <w:spacing w:after="0" w:line="153"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During the year ended December 31, 2024, the Company entered into dilutive stock sale and purchase transactions, that triggered the full ratchet anti-dilution price protections embedded in the Secured SPA Notes and Secured SPA Warrants. As a result, the fixed-price conversion price of the Secured SPA Notes and exercise price of the Secured SPA Warrants outstanding prior to such financings was reduced to a price equal to the price per share paid in the dilutive financings.</w:t>
      </w:r>
    </w:p>
    <w:p>
      <w:pPr>
        <w:spacing w:after="0" w:line="209"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On September 5, 2024, the Company entered into the Junior Secured SPA, which triggered the full ratchet anti-dilution price protection in the Secured SPA Notes and Secured SPA Warrants. The issuance of the Junior Secured SPA Notes constituted a dilutive issuance, as the stated conversion price of $5.24 was less than the Secured SPA Notes and Secured SPA Warrant exercise price.</w:t>
      </w:r>
    </w:p>
    <w:p>
      <w:pPr>
        <w:spacing w:after="0" w:line="206"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On December 21, 2024, the Company entered into the 2024 Unsecured SPA Notes, which triggered the full ratchet anti-dilution price protection in the Secured SPA Notes and Secured SPA Warrant. The issuance of the 2024 Unsecured SPA Notes constituted a dilutive issuance, as the stated conversion price of $1.16 was less than the Secured SPA Notes conversion price and Secured SPA Warrant exercise price.</w:t>
      </w:r>
    </w:p>
    <w:p>
      <w:pPr>
        <w:spacing w:after="0" w:line="20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During the six months ended June 30, 2025 there have not been any dilutive sale and purchase transactions.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Secured SPA Notes Activity</w:t>
      </w:r>
    </w:p>
    <w:p>
      <w:pPr>
        <w:spacing w:after="0" w:line="15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 of June 30, 2025, the fair value of the Secured SPA Notes was zero, compared to $5.5 million as of December 31, 2024.</w:t>
      </w:r>
    </w:p>
    <w:p>
      <w:pPr>
        <w:spacing w:after="0" w:line="149" w:lineRule="exact"/>
        <w:rPr>
          <w:sz w:val="20"/>
          <w:szCs w:val="20"/>
          <w:color w:val="auto"/>
        </w:rPr>
      </w:pPr>
    </w:p>
    <w:p>
      <w:pPr>
        <w:jc w:val="both"/>
        <w:ind w:firstLine="475"/>
        <w:spacing w:after="0" w:line="248" w:lineRule="auto"/>
        <w:rPr>
          <w:sz w:val="20"/>
          <w:szCs w:val="20"/>
          <w:color w:val="auto"/>
        </w:rPr>
      </w:pPr>
      <w:r>
        <w:rPr>
          <w:rFonts w:ascii="Times New Roman" w:cs="Times New Roman" w:eastAsia="Times New Roman" w:hAnsi="Times New Roman"/>
          <w:sz w:val="18"/>
          <w:szCs w:val="18"/>
          <w:color w:val="auto"/>
        </w:rPr>
        <w:t>During the three months ended June 30, 2025 and 2024, the Company received net cash proceeds of zero and $5.9 million, respectively, after original issue discounts, in exchange for the issuance of Secured SPA Notes. During the same periods, the Company converted debt with a principal amount of $2.5 million and $15.0 million into 2,562,009 and 6,944,420 shares of Class A Common Stock, respectively. The conversion of Secured SPA Notes into Class A Common Stock resulted in a loss on extinguishment of zero and $46.8 million, for each period. For the three months ended June 30, 2025 and 2024, the Company recognized a loss of $0.6 million and $2.9 million, respectively, from the fair value remeasurement of Secured SPA Notes under ASC 825, which was recorded in Change in fair value of notes payable, warrant liabilities, and derivative call options in the Unaudited Condensed Consolidated Statements of Operations and Comprehensive Loss.</w:t>
      </w:r>
    </w:p>
    <w:p>
      <w:pPr>
        <w:spacing w:after="0" w:line="112" w:lineRule="exact"/>
        <w:rPr>
          <w:sz w:val="20"/>
          <w:szCs w:val="20"/>
          <w:color w:val="auto"/>
        </w:rPr>
      </w:pPr>
    </w:p>
    <w:p>
      <w:pPr>
        <w:jc w:val="both"/>
        <w:ind w:firstLine="475"/>
        <w:spacing w:after="0" w:line="248" w:lineRule="auto"/>
        <w:rPr>
          <w:sz w:val="20"/>
          <w:szCs w:val="20"/>
          <w:color w:val="auto"/>
        </w:rPr>
      </w:pPr>
      <w:r>
        <w:rPr>
          <w:rFonts w:ascii="Times New Roman" w:cs="Times New Roman" w:eastAsia="Times New Roman" w:hAnsi="Times New Roman"/>
          <w:sz w:val="18"/>
          <w:szCs w:val="18"/>
          <w:color w:val="auto"/>
        </w:rPr>
        <w:t>During the six months ended June 30, 2025 and 2024, the Company received net cash proceeds of zero and $7.3 million, respectively, after original issue discounts, in exchange for the issuance of Secured SPA Notes. During the same periods, the Company converted debt with a principal amount of $3.1 million and $33.3 million into 3,164,911 and 9,882,366 shares of Class A Common Stock, respectively. The conversion of Secured SPA Notes into Class A Common Stock resulted in a loss on extinguishment of $0.3 million and $58.2 million for each period. For the six months ended June 30, 2025 and 2024, the Company recognized a gain of $1.9 million and $22.3 million, respectively, from the fair value remeasurement of Secured SPA Notes under ASC 825, which was recorded in Change in fair value of notes payable, warrant liabilities, and derivative call options in the Unaudited Condensed Consolidated Statements of Operations and Comprehensive Loss.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Unsecured SPA Notes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and Terms</w:t>
      </w:r>
    </w:p>
    <w:p>
      <w:pPr>
        <w:spacing w:after="0" w:line="15" w:lineRule="exact"/>
        <w:rPr>
          <w:sz w:val="20"/>
          <w:szCs w:val="20"/>
          <w:color w:val="auto"/>
        </w:rPr>
      </w:pPr>
    </w:p>
    <w:p>
      <w:pPr>
        <w:jc w:val="both"/>
        <w:ind w:firstLine="475"/>
        <w:spacing w:after="0" w:line="232" w:lineRule="auto"/>
        <w:rPr>
          <w:sz w:val="20"/>
          <w:szCs w:val="20"/>
          <w:color w:val="auto"/>
        </w:rPr>
      </w:pPr>
      <w:r>
        <w:rPr>
          <w:rFonts w:ascii="Times New Roman" w:cs="Times New Roman" w:eastAsia="Times New Roman" w:hAnsi="Times New Roman"/>
          <w:sz w:val="18"/>
          <w:szCs w:val="18"/>
          <w:color w:val="auto"/>
        </w:rPr>
        <w:t>Pursuant to that certain Securities Purchase Agreement dated May 8, 2023, (the “2023 Unsecured SPA”) by and between the Company and the investors party thereto, including Metaverse Horizon Limited (“MHL”), a related party, the Company issued certain unsecured convertible promissory note (the “2023 Unsecured SPA Notes”) . These 2023 Unsecured SPA Notes are unsecured and have terms similar to the Secured SPA Notes, except they lack collateral backing.</w:t>
      </w:r>
    </w:p>
    <w:p>
      <w:pPr>
        <w:spacing w:after="0" w:line="116" w:lineRule="exact"/>
        <w:rPr>
          <w:sz w:val="20"/>
          <w:szCs w:val="20"/>
          <w:color w:val="auto"/>
        </w:rPr>
      </w:pPr>
    </w:p>
    <w:p>
      <w:pPr>
        <w:jc w:val="both"/>
        <w:ind w:firstLine="475"/>
        <w:spacing w:after="0" w:line="269" w:lineRule="auto"/>
        <w:rPr>
          <w:sz w:val="20"/>
          <w:szCs w:val="20"/>
          <w:color w:val="auto"/>
        </w:rPr>
      </w:pPr>
      <w:r>
        <w:rPr>
          <w:rFonts w:ascii="Times New Roman" w:cs="Times New Roman" w:eastAsia="Times New Roman" w:hAnsi="Times New Roman"/>
          <w:sz w:val="18"/>
          <w:szCs w:val="18"/>
          <w:color w:val="auto"/>
        </w:rPr>
        <w:t>The 2023 Unsecured SPA Notes bear an annual interest rate of 10%, increasing to 15%, if interest is paid in shares of Class A Common Stock. Principal and interest are due at maturity, unless converted earlier pursuant to the 2023 Unsecured</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SPA Notes’ conversion privileges. Issued at a 10% original issue discount, these notes are convertible into the Company’s Class A Common Stock at the lesser of a fixed conversion price or 90% of the VWAP for the trading day immediately prior to the conversion date. The 2023 Unsecured SPA Notes are subject to full ratchet anti-dilution price protection and as of June 30, 2025 the fixed price conversion price was $8,568.00. The 2023 Unsecured SPA Notes mature primarily six years from each date of issuance. There were $4.5 million outstanding 2023 Unsecured SPA Notes, as of June 30, 2025.</w:t>
      </w:r>
    </w:p>
    <w:p>
      <w:pPr>
        <w:spacing w:after="0" w:line="116" w:lineRule="exact"/>
        <w:rPr>
          <w:sz w:val="20"/>
          <w:szCs w:val="20"/>
          <w:color w:val="auto"/>
        </w:rPr>
      </w:pPr>
    </w:p>
    <w:p>
      <w:pPr>
        <w:jc w:val="both"/>
        <w:ind w:firstLine="475"/>
        <w:spacing w:after="0" w:line="250" w:lineRule="auto"/>
        <w:rPr>
          <w:sz w:val="20"/>
          <w:szCs w:val="20"/>
          <w:color w:val="auto"/>
        </w:rPr>
      </w:pPr>
      <w:r>
        <w:rPr>
          <w:rFonts w:ascii="Times New Roman" w:cs="Times New Roman" w:eastAsia="Times New Roman" w:hAnsi="Times New Roman"/>
          <w:sz w:val="18"/>
          <w:szCs w:val="18"/>
          <w:color w:val="auto"/>
        </w:rPr>
        <w:t>In connection with the issuance of the 2023 Unsecured SPA Notes, the Company also granted to each purchaser a warrant (the “2023 Unsecured SPA Warrants”) to purchase shares of Class A Common Stock equal to 33% of the shares issuable upon conversion of the aggregate principal amount under the Secured SPA Notes funded. The 2023 Unsecured SPA Warrants are subject to the same full ratchet anti-dilution price protection as the 2023 Unsecured SPA Notes. The 2023 Unsecured SPA Warrants are indexed to the Company’s Class A Common Stock and, as such, meet the scope exception in ASC 815-40 to be classified within equity.</w:t>
      </w:r>
    </w:p>
    <w:p>
      <w:pPr>
        <w:spacing w:after="0" w:line="107" w:lineRule="exact"/>
        <w:rPr>
          <w:sz w:val="20"/>
          <w:szCs w:val="20"/>
          <w:color w:val="auto"/>
        </w:rPr>
      </w:pPr>
    </w:p>
    <w:p>
      <w:pPr>
        <w:ind w:right="1440" w:firstLine="475"/>
        <w:spacing w:after="0" w:line="333" w:lineRule="auto"/>
        <w:rPr>
          <w:sz w:val="20"/>
          <w:szCs w:val="20"/>
          <w:color w:val="auto"/>
        </w:rPr>
      </w:pPr>
      <w:r>
        <w:rPr>
          <w:rFonts w:ascii="Times New Roman" w:cs="Times New Roman" w:eastAsia="Times New Roman" w:hAnsi="Times New Roman"/>
          <w:sz w:val="18"/>
          <w:szCs w:val="18"/>
          <w:color w:val="auto"/>
        </w:rPr>
        <w:t xml:space="preserve">The activity below does not include related party transactions, which are discussed separately in Note 8,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Amendments, Waivers, and Modifications</w:t>
      </w:r>
    </w:p>
    <w:p>
      <w:pPr>
        <w:spacing w:after="0" w:line="2" w:lineRule="exact"/>
        <w:rPr>
          <w:sz w:val="20"/>
          <w:szCs w:val="20"/>
          <w:color w:val="auto"/>
        </w:rPr>
      </w:pPr>
    </w:p>
    <w:p>
      <w:pPr>
        <w:jc w:val="both"/>
        <w:ind w:firstLine="475"/>
        <w:spacing w:after="0" w:line="232" w:lineRule="auto"/>
        <w:rPr>
          <w:sz w:val="20"/>
          <w:szCs w:val="20"/>
          <w:color w:val="auto"/>
        </w:rPr>
      </w:pPr>
      <w:r>
        <w:rPr>
          <w:rFonts w:ascii="Times New Roman" w:cs="Times New Roman" w:eastAsia="Times New Roman" w:hAnsi="Times New Roman"/>
          <w:sz w:val="18"/>
          <w:szCs w:val="18"/>
          <w:color w:val="auto"/>
        </w:rPr>
        <w:t>The Waiver Agreement dated August 2, 2024, by and between the Company and the investors party thereto (the “Waiver Agreement”) revised the terms of the Secured SPA Notes and 2023 Unsecured SPA Notes. The terms of the 2023 Unsecured SPA Notes are substantially similar to those of the Secured SPA Notes and were similarly impacted by the Waiver Agreements. Details of the Waiver Agreements and their effects on the Secured SPA Notes and 2023 Unsecured SPA Notes are discussed in the section on Secured SPA Notes.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Anti-Dilution Adjustments</w:t>
      </w:r>
    </w:p>
    <w:p>
      <w:pPr>
        <w:spacing w:after="0" w:line="153"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Throughout 2024, the Company entered into numerous dilutive sale and purchase transactions as described in the section on the Secured SPA Notes. The dilutive sale and purchase transactions applicable to the Secured SPA Notes caused the same full ratchet anti-dilution price protection triggers for the 2023 Unsecured SPA Notes.</w:t>
      </w:r>
    </w:p>
    <w:p>
      <w:pPr>
        <w:spacing w:after="0" w:line="10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During the six months ended June 30, 2025 there have not been any dilutive stock sale and purchase transactions.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2023 Unsecured SPA Notes Activity</w:t>
      </w:r>
    </w:p>
    <w:p>
      <w:pPr>
        <w:spacing w:after="0" w:line="153" w:lineRule="exact"/>
        <w:rPr>
          <w:sz w:val="20"/>
          <w:szCs w:val="20"/>
          <w:color w:val="auto"/>
        </w:rPr>
      </w:pPr>
    </w:p>
    <w:p>
      <w:pPr>
        <w:ind w:right="440" w:firstLine="475"/>
        <w:spacing w:after="0" w:line="269" w:lineRule="auto"/>
        <w:rPr>
          <w:sz w:val="20"/>
          <w:szCs w:val="20"/>
          <w:color w:val="auto"/>
        </w:rPr>
      </w:pPr>
      <w:r>
        <w:rPr>
          <w:rFonts w:ascii="Times New Roman" w:cs="Times New Roman" w:eastAsia="Times New Roman" w:hAnsi="Times New Roman"/>
          <w:sz w:val="18"/>
          <w:szCs w:val="18"/>
          <w:color w:val="auto"/>
        </w:rPr>
        <w:t>As of June 30, 2025, the fair value of the outstanding 2023 Unsecured SPA Notes was $4.5 million. As of December 31, 2024, the fair value of the outstanding 2023 Unsecured SPA Notes was $6.7 million.</w:t>
      </w:r>
    </w:p>
    <w:p>
      <w:pPr>
        <w:spacing w:after="0" w:line="90" w:lineRule="exact"/>
        <w:rPr>
          <w:sz w:val="20"/>
          <w:szCs w:val="20"/>
          <w:color w:val="auto"/>
        </w:rPr>
      </w:pPr>
    </w:p>
    <w:p>
      <w:pPr>
        <w:jc w:val="both"/>
        <w:ind w:firstLine="475"/>
        <w:spacing w:after="0" w:line="248" w:lineRule="auto"/>
        <w:rPr>
          <w:sz w:val="20"/>
          <w:szCs w:val="20"/>
          <w:color w:val="auto"/>
        </w:rPr>
      </w:pPr>
      <w:r>
        <w:rPr>
          <w:rFonts w:ascii="Times New Roman" w:cs="Times New Roman" w:eastAsia="Times New Roman" w:hAnsi="Times New Roman"/>
          <w:sz w:val="18"/>
          <w:szCs w:val="18"/>
          <w:color w:val="auto"/>
        </w:rPr>
        <w:t>During the three months ended June 30, 2025 and 2024, the Company received net cash proceeds of $4.5 million and zero , respectively, after original issue discounts, in exchange for the issuance of 2023 Unsecured SPA Notes. During the same periods, the Company converted debt with a principal amount of zero and $0.4 million into zero and 123,408 shares of Class A Common Stock, respectively. The conversion of 2023 Unsecured SPA Notes into Class A Common Stock resulted in a loss on extinguishment of zero and $0.2 million, for each period. For the three months ended June 30, 2025 and 2024, the Company recognized a loss of zero and $1.7 million, respectively, from the fair value remeasurement of 2023 Unsecured SPA Notes under ASC 825, which was recorded in Change in fair value of notes payable, warrant liabilities, and derivative call options in the Unaudited Condensed Consolidated Statements of Operations and Comprehensive Loss.</w:t>
      </w:r>
    </w:p>
    <w:p>
      <w:pPr>
        <w:spacing w:after="0" w:line="125" w:lineRule="exact"/>
        <w:rPr>
          <w:sz w:val="20"/>
          <w:szCs w:val="20"/>
          <w:color w:val="auto"/>
        </w:rPr>
      </w:pPr>
    </w:p>
    <w:p>
      <w:pPr>
        <w:jc w:val="both"/>
        <w:ind w:firstLine="475"/>
        <w:spacing w:after="0" w:line="248" w:lineRule="auto"/>
        <w:rPr>
          <w:sz w:val="20"/>
          <w:szCs w:val="20"/>
          <w:color w:val="auto"/>
        </w:rPr>
      </w:pPr>
      <w:r>
        <w:rPr>
          <w:rFonts w:ascii="Times New Roman" w:cs="Times New Roman" w:eastAsia="Times New Roman" w:hAnsi="Times New Roman"/>
          <w:sz w:val="18"/>
          <w:szCs w:val="18"/>
          <w:color w:val="auto"/>
        </w:rPr>
        <w:t>During the six months ended June 30, 2025 and 2024, the Company received net cash proceeds of $4.5 million and zero, respectively, after original issue discounts, in exchange for the issuance of 2023 Unsecured SPA Notes. During the same periods, the Company converted debt with a principal amount of $4.4 million and $0.4 million into 4,167,764 and 123,408 shares of Class A Common Stock, respectively. The conversion of 2023 Unsecured SPA Notes into Class A Common Stock resulted in a loss on extinguishment of $2.8 million and $0.2 million for each period. For the six months ended June 30, 2025 and 2024, the Company recognized a gain of $2.0 million and $1.2 million, respectively, from the fair value remeasurement of Unsecured Convertible Notes under ASC 825, which was recorded in Change in fair value of notes payable, warrant liabilities, and derivative call options in the Unaudited Condensed Consolidated Statements of Operations and Comprehensive Loss.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Unsecured Convertible Notes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and Terms</w:t>
      </w:r>
    </w:p>
    <w:p>
      <w:pPr>
        <w:spacing w:after="0" w:line="140"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 xml:space="preserve">In 2024 and 2025, the Company issued unsecured convertible notes (the “Unsecured Convertible Notes”), with various investors, including MHL, a related party. These Unsecured Convertible Notes, mature three months from issuance, accrue interest at 4.27% and are convertible at issuance into Class A Common Stock, certain SPA Portfolio Notes, or a future security purchase agreement issued by the Company. The activity below does not include related parties activity, discussed separately in Note 8,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 xml:space="preserve">The Company elected the fair value option afforded by </w:t>
      </w:r>
      <w:r>
        <w:rPr>
          <w:rFonts w:ascii="Times New Roman" w:cs="Times New Roman" w:eastAsia="Times New Roman" w:hAnsi="Times New Roman"/>
          <w:sz w:val="18"/>
          <w:szCs w:val="18"/>
          <w:i w:val="1"/>
          <w:iCs w:val="1"/>
          <w:color w:val="auto"/>
        </w:rPr>
        <w:t>ASC 825, Financial Instruments</w:t>
      </w:r>
      <w:r>
        <w:rPr>
          <w:rFonts w:ascii="Times New Roman" w:cs="Times New Roman" w:eastAsia="Times New Roman" w:hAnsi="Times New Roman"/>
          <w:sz w:val="18"/>
          <w:szCs w:val="18"/>
          <w:color w:val="auto"/>
        </w:rPr>
        <w:t>, with respect to the Unsecured Convertible Notes because the notes are exchangeable into SPA Portfolio Notes and the Company expects that to be how the Unsecured Convertible Notes settle. The Company expenses transaction costs to Change in fair value of notes payable, warrant liabilities, and derivative call options in the Unaudited Condensed Consolidated Statements of Operations and Comprehensive Loss.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Unsecured Convertible Notes Activity</w:t>
      </w:r>
    </w:p>
    <w:p>
      <w:pPr>
        <w:spacing w:after="0" w:line="153"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 xml:space="preserve">There were no outstanding Unsecured Convertible Notes as of June 30, 2025, following their conversion into other SPA Portfolio Notes during the year ended December 31, 2024. During the three months ended June 30, 2025, the Company issued related party Unsecured Convertible Notes discussed separately in Note 8,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jc w:val="both"/>
        <w:ind w:firstLine="475"/>
        <w:spacing w:after="0" w:line="249" w:lineRule="auto"/>
        <w:rPr>
          <w:sz w:val="20"/>
          <w:szCs w:val="20"/>
          <w:color w:val="auto"/>
        </w:rPr>
      </w:pPr>
      <w:r>
        <w:rPr>
          <w:rFonts w:ascii="Times New Roman" w:cs="Times New Roman" w:eastAsia="Times New Roman" w:hAnsi="Times New Roman"/>
          <w:sz w:val="18"/>
          <w:szCs w:val="18"/>
          <w:color w:val="auto"/>
        </w:rPr>
        <w:t>During the three months ended June 30, 2025 and 2024, the Company received net cash proceeds of zero and $9.0 million, respectively, after original issue discounts, in exchange for the issuance of Unsecured Convertible Notes. During the same periods, the Company neither converted any Unsecured Convertible Notes into shares of Class A Common Stock, nor incurred gain or a loss on extinguishment for each period. For the three months ended June 30, 2025 and 2024, the Company recognized a loss of zero and $2.4 million, respectively, from the fair value remeasurement of Unsecured Convertible Notes under ASC 825, which was recorded in Change in fair value of notes payable, warrant liabilities, and derivative call options in the Unaudited Condensed Consolidated Statements of Operations and Comprehensive Loss.</w:t>
      </w:r>
    </w:p>
    <w:p>
      <w:pPr>
        <w:spacing w:after="0" w:line="110" w:lineRule="exact"/>
        <w:rPr>
          <w:sz w:val="20"/>
          <w:szCs w:val="20"/>
          <w:color w:val="auto"/>
        </w:rPr>
      </w:pPr>
    </w:p>
    <w:p>
      <w:pPr>
        <w:jc w:val="both"/>
        <w:ind w:firstLine="475"/>
        <w:spacing w:after="0" w:line="249" w:lineRule="auto"/>
        <w:rPr>
          <w:sz w:val="20"/>
          <w:szCs w:val="20"/>
          <w:color w:val="auto"/>
        </w:rPr>
      </w:pPr>
      <w:r>
        <w:rPr>
          <w:rFonts w:ascii="Times New Roman" w:cs="Times New Roman" w:eastAsia="Times New Roman" w:hAnsi="Times New Roman"/>
          <w:sz w:val="18"/>
          <w:szCs w:val="18"/>
          <w:color w:val="auto"/>
        </w:rPr>
        <w:t>During the six months ended June 30, 2025 and 2024, the Company received net cash proceeds of zero and $16.6 million, respectively, after original issue discounts, in exchange for the issuance of Unsecured Convertible Notes. During the same periods, the Company neither converted any Unsecured Convertible Notes into shares of Class A Common Stock, nor incurred gain or a loss on extinguishment for each period. For the six months ended June 30, 2025 and 2024, the Company recognized a loss of zero and $2.7 million, respectively, from the fair value remeasurement of Unsecured Convertible Notes under ASC 825, which was recorded in Change in fair value of notes payable, warrant liabilities, and derivative call options in the Unaudited Condensed Consolidated Statements of Operations and Comprehensive Loss.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Junior Secured SPA Notes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and Terms</w:t>
      </w:r>
    </w:p>
    <w:p>
      <w:pPr>
        <w:spacing w:after="0" w:line="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Pursuant to that certain Securities Purchase Agreement dated September 5, 2024 by and between the Company and the investors party thereto (the</w:t>
      </w:r>
    </w:p>
    <w:p>
      <w:pPr>
        <w:spacing w:after="0" w:line="1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“Junior Secured SPA”), the Company issued certain secured convertible promissory notes (the “Junior Secured SPA Notes”). These Junior Secured SPA Notes are secured by a second-priority lien on certain assets and bear an annual interest rate of 10%. Principal and interest are payable at maturity or at each conversion date. The notes are convertible along with accrued interest into Class A Common Stock at the lesser of (a) a fixed conversion price or (b) the greater of (1) the floor price, $1.05, or (2) the average VWAP of the common stock for the five previous trading days. Junior Secured SPA Notes are subject to full ratchet anti-dilution price protection and as of June 30, 2025 the fixed price conversion price was $1.16. These notes mature in September 2029.</w:t>
      </w:r>
    </w:p>
    <w:p>
      <w:pPr>
        <w:spacing w:after="0" w:line="107" w:lineRule="exact"/>
        <w:rPr>
          <w:sz w:val="20"/>
          <w:szCs w:val="20"/>
          <w:color w:val="auto"/>
        </w:rPr>
      </w:pPr>
    </w:p>
    <w:p>
      <w:pPr>
        <w:jc w:val="both"/>
        <w:ind w:firstLine="475"/>
        <w:spacing w:after="0" w:line="286" w:lineRule="auto"/>
        <w:rPr>
          <w:sz w:val="20"/>
          <w:szCs w:val="20"/>
          <w:color w:val="auto"/>
        </w:rPr>
      </w:pPr>
      <w:r>
        <w:rPr>
          <w:rFonts w:ascii="Times New Roman" w:cs="Times New Roman" w:eastAsia="Times New Roman" w:hAnsi="Times New Roman"/>
          <w:sz w:val="16"/>
          <w:szCs w:val="16"/>
          <w:color w:val="auto"/>
        </w:rPr>
        <w:t>The Junior Secured SPA Investors were given warrants (the “Junior SPA Warrants”) equal to 100% of the shares issuable upon conversion of the aggregate principal amount under the Junior Secured SPA Note funded. The Junior SPA Warrants are exercisable immediately with a term of five years. The Company issued to the placement agent for the transaction a warrant (the “Placement Agent Warrant”) identical to that of the Junior Secured SPA Investors for 202,768 shares of Common Stock, exercisable immediately. These warrants are subject to the same full ratchet anti-dilution price protection as the Junior Secured SPA Notes. The Company’s Junior SPA Warrants meet the requirements for liability classification pursuant to ASC 480-10, Distinguishing Liabilities from Equity. The Junior SPA Warrants could require cash settlement upon events that are considered outside of the control of the Company.</w:t>
      </w:r>
    </w:p>
    <w:p>
      <w:pPr>
        <w:spacing w:after="0" w:line="96" w:lineRule="exact"/>
        <w:rPr>
          <w:sz w:val="20"/>
          <w:szCs w:val="20"/>
          <w:color w:val="auto"/>
        </w:rPr>
      </w:pPr>
    </w:p>
    <w:p>
      <w:pPr>
        <w:jc w:val="both"/>
        <w:ind w:firstLine="475"/>
        <w:spacing w:after="0" w:line="269" w:lineRule="auto"/>
        <w:rPr>
          <w:sz w:val="20"/>
          <w:szCs w:val="20"/>
          <w:color w:val="auto"/>
        </w:rPr>
      </w:pPr>
      <w:r>
        <w:rPr>
          <w:rFonts w:ascii="Times New Roman" w:cs="Times New Roman" w:eastAsia="Times New Roman" w:hAnsi="Times New Roman"/>
          <w:sz w:val="18"/>
          <w:szCs w:val="18"/>
          <w:color w:val="auto"/>
        </w:rPr>
        <w:t>The Junior Secured SPA Investors were issued incremental warrants (the “Junior SPA Incremental Warrants”) to purchase additional Junior Secured SPA Notes up to the amounts originally funded under their original Junior Secured SPA</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0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 xml:space="preserve">Note commitments. The Junior SPA Incremental Warrants, presented in the Unaudited Condensed Consolidated Balance Sheets as Derivative call options, are exercisable immediately upon issuance and have a one-year term. They allow the purchase of the respective notes at an exercise price equal to the principal amount of the notes issued to the investor, subject to full ratchet anti-dilution price protection, as adjusted for stock splits, stock dividends, stock combinations, recapitalizations, or similar transactions. See Note 14, </w:t>
      </w:r>
      <w:r>
        <w:rPr>
          <w:rFonts w:ascii="Times New Roman" w:cs="Times New Roman" w:eastAsia="Times New Roman" w:hAnsi="Times New Roman"/>
          <w:sz w:val="16"/>
          <w:szCs w:val="16"/>
          <w:i w:val="1"/>
          <w:iCs w:val="1"/>
          <w:color w:val="auto"/>
        </w:rPr>
        <w:t>Fair Value of Financial Instruments</w:t>
      </w:r>
      <w:r>
        <w:rPr>
          <w:rFonts w:ascii="Times New Roman" w:cs="Times New Roman" w:eastAsia="Times New Roman" w:hAnsi="Times New Roman"/>
          <w:sz w:val="16"/>
          <w:szCs w:val="16"/>
          <w:color w:val="auto"/>
        </w:rPr>
        <w:t xml:space="preserve"> for further details on the Junior SPA Incremental Warrants.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Amendments and Modifications</w:t>
      </w:r>
    </w:p>
    <w:p>
      <w:pPr>
        <w:spacing w:after="0" w:line="15" w:lineRule="exact"/>
        <w:rPr>
          <w:sz w:val="20"/>
          <w:szCs w:val="20"/>
          <w:color w:val="auto"/>
        </w:rPr>
      </w:pPr>
    </w:p>
    <w:p>
      <w:pPr>
        <w:jc w:val="both"/>
        <w:ind w:left="640" w:hanging="318"/>
        <w:spacing w:after="0" w:line="235"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Letter Agreements: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January 28, 2025, the Company entered into a letter agreement (the “September Letter Agreement”) with certain Junior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Secured SPA Investors. These investors agreed not to convert outstanding notes below the initial $5.24 conversion price prior to the Company’s receipt of stockholder approval for the issuance of the Junior Secured SPA Notes, Junior SPA Warrants and Junior SPA Incremental Warrants. In return, the Company agreed to issue “True-Up Shares” after approval to adjust for any pre-approval conversions, based on a formula considering accrued interest and market pricing. The September Letter Agreement include a provision preventing the issuance of shares of common stock underlying the applicable securities if the Company's available authorized stock is insufficient. However, the Company must deliver the shares once a sufficient number of authorized but unissued shares becomes available.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Anti-Dilution Adjustments</w:t>
      </w:r>
    </w:p>
    <w:p>
      <w:pPr>
        <w:spacing w:after="0" w:line="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On December 21, 2024, the Company entered into the 2024 Unsecured SPA (as defined below), pursuant to which the Company issued certain 2024</w:t>
      </w:r>
    </w:p>
    <w:p>
      <w:pPr>
        <w:spacing w:after="0" w:line="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Unsecured SPA Notes to the purchasers party thereto, which triggered the full ratchet anti-dilution price protection in the Junior Secured SPA Notes and Junior Secured SPA Warrants. The issuance of the 2024 Unsecured SPA Notes constituted a dilutive issuance, as the stated conversion price of $1.16 was less than the Junior Secured SPA Notes conversion and Junior Secured SPA Warrant exercise price.</w:t>
      </w:r>
    </w:p>
    <w:p>
      <w:pPr>
        <w:spacing w:after="0" w:line="12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During the three months ended June 30, 2025 there have not been any dilutive sale and purchase transactions.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Junior Secured SPA Notes Activity</w:t>
      </w:r>
    </w:p>
    <w:p>
      <w:pPr>
        <w:spacing w:after="0" w:line="14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 of June 30, 2025, the fair value of the Junior Secured SPA Notes was zero, compared to $26.1 million as of December 31, 2024.</w:t>
      </w:r>
    </w:p>
    <w:p>
      <w:pPr>
        <w:spacing w:after="0" w:line="149" w:lineRule="exact"/>
        <w:rPr>
          <w:sz w:val="20"/>
          <w:szCs w:val="20"/>
          <w:color w:val="auto"/>
        </w:rPr>
      </w:pPr>
    </w:p>
    <w:p>
      <w:pPr>
        <w:jc w:val="both"/>
        <w:ind w:firstLine="475"/>
        <w:spacing w:after="0" w:line="249" w:lineRule="auto"/>
        <w:rPr>
          <w:sz w:val="20"/>
          <w:szCs w:val="20"/>
          <w:color w:val="auto"/>
        </w:rPr>
      </w:pPr>
      <w:r>
        <w:rPr>
          <w:rFonts w:ascii="Times New Roman" w:cs="Times New Roman" w:eastAsia="Times New Roman" w:hAnsi="Times New Roman"/>
          <w:sz w:val="18"/>
          <w:szCs w:val="18"/>
          <w:color w:val="auto"/>
        </w:rPr>
        <w:t>The Company received no cash proceeds from issuance of Junior Secured SPA Notes during the three and six months ended June 30, 2025, During the same periods, the Company converted debt with a principal amount of $13.4 million and $28.8 million into 13,454,475 and 27,412,545 shares of Class A Common Stock, respectively. The conversion of Junior Secured SPA Notes into Class A Common Stock resulted in a loss on extinguishment of $7.6 million and $20.4 million, for each period. For the three and six months ended June 30, 2025, the Company recognized a loss of $0.8 million and a gain of $9.6 million, respectively, from the fair value remeasurement of Junior Secured SPA Notes under ASC 825, which was recorded in Change in fair value of notes payable, warrant liabilities, and derivative call options in the Unaudited Condensed Consolidated Statements of Operations and Comprehensive Loss.</w:t>
      </w:r>
    </w:p>
    <w:p>
      <w:pPr>
        <w:spacing w:after="0" w:line="1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There were no transactions involving Junior Secured SPA Notes during three and six months ended June 30, 2024 as the notes had not yet been issued.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Unsecured SPA Notes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and Terms</w:t>
      </w:r>
    </w:p>
    <w:p>
      <w:pPr>
        <w:spacing w:after="0" w:line="15" w:lineRule="exact"/>
        <w:rPr>
          <w:sz w:val="20"/>
          <w:szCs w:val="20"/>
          <w:color w:val="auto"/>
        </w:rPr>
      </w:pPr>
    </w:p>
    <w:p>
      <w:pPr>
        <w:jc w:val="both"/>
        <w:ind w:firstLine="475"/>
        <w:spacing w:after="0" w:line="231" w:lineRule="auto"/>
        <w:rPr>
          <w:sz w:val="20"/>
          <w:szCs w:val="20"/>
          <w:color w:val="auto"/>
        </w:rPr>
      </w:pPr>
      <w:r>
        <w:rPr>
          <w:rFonts w:ascii="Times New Roman" w:cs="Times New Roman" w:eastAsia="Times New Roman" w:hAnsi="Times New Roman"/>
          <w:sz w:val="18"/>
          <w:szCs w:val="18"/>
          <w:color w:val="auto"/>
        </w:rPr>
        <w:t>The 2024 Unsecured SPA Notes were issued under a securities purchase agreement (the “2024 Unsecured SPA”) dated December 21, 2024, by and between the Company and the investors party thereto. These notes bear an annual interest rate of 10%. Principal and interest are payable at maturity or at each conversion date. The notes are convertible along with accrued interest into Class A Common Stock at the lesser of (a) a fixed conversion price, which was $1.16 at issuance, or (b) the greater of (1) the floor price, $1.05, or (2) the lowest one-day VWAP of the common stock for the five previous trading days. 2024 Unsecured SPA Notes are subject to full ratchet anti-dilution price protection. These 2024 Unsecured SPA Notes mature on various dates through January 2030.</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03" w:lineRule="exact"/>
        <w:rPr>
          <w:sz w:val="20"/>
          <w:szCs w:val="20"/>
          <w:color w:val="auto"/>
        </w:rPr>
      </w:pPr>
    </w:p>
    <w:p>
      <w:pPr>
        <w:jc w:val="both"/>
        <w:ind w:firstLine="475"/>
        <w:spacing w:after="0" w:line="249" w:lineRule="auto"/>
        <w:rPr>
          <w:sz w:val="20"/>
          <w:szCs w:val="20"/>
          <w:color w:val="auto"/>
        </w:rPr>
      </w:pPr>
      <w:r>
        <w:rPr>
          <w:rFonts w:ascii="Times New Roman" w:cs="Times New Roman" w:eastAsia="Times New Roman" w:hAnsi="Times New Roman"/>
          <w:sz w:val="18"/>
          <w:szCs w:val="18"/>
          <w:color w:val="auto"/>
        </w:rPr>
        <w:t>The 2024 Unsecured SPA Investors were issued warrants (the “2024 Unsecured SPA Warrants”) equal to 100% of the shares issuable upon conversion of the aggregate principal amount under the 2024 Unsecured SPA Notes (defined below) purchased by such 2024 Unsecured SPA Investor. The 2024 Unsecured SPA Warrants are exercisable immediately with a term of five years. 2024 Unsecured SPA Warrants are subject to the same full ratchet anti-dilution price protection as the 2024 Unsecured SPA Notes. The Company’s 2024 Unsecured SPA Warrants meet the requirements for liability classification pursuant to ASC 480-10, Distinguishing Liabilities from Equity. The 2024 Unsecured SPA Warrants could require cash settlement upon events that are considered outside of the control of the Company in a manner that is not consistent with the holders of the Company’s Common Stock.</w:t>
      </w:r>
    </w:p>
    <w:p>
      <w:pPr>
        <w:spacing w:after="0" w:line="123" w:lineRule="exact"/>
        <w:rPr>
          <w:sz w:val="20"/>
          <w:szCs w:val="20"/>
          <w:color w:val="auto"/>
        </w:rPr>
      </w:pPr>
    </w:p>
    <w:p>
      <w:pPr>
        <w:jc w:val="both"/>
        <w:ind w:firstLine="475"/>
        <w:spacing w:after="0" w:line="249" w:lineRule="auto"/>
        <w:rPr>
          <w:sz w:val="20"/>
          <w:szCs w:val="20"/>
          <w:color w:val="auto"/>
        </w:rPr>
      </w:pPr>
      <w:r>
        <w:rPr>
          <w:rFonts w:ascii="Times New Roman" w:cs="Times New Roman" w:eastAsia="Times New Roman" w:hAnsi="Times New Roman"/>
          <w:sz w:val="18"/>
          <w:szCs w:val="18"/>
          <w:color w:val="auto"/>
        </w:rPr>
        <w:t xml:space="preserve">The 2024 Unsecured SPA Investors were issued incremental warrants (the “2024 Unsecured SPA Incremental Warrants”) to purchase additional 2024 Unsecured SPA Notes up to the amounts originally funded under their original 2024 Unsecured SPA Note commitments. The 2024 Unsecured SPA Incremental Warrants, presented in the Unaudited Condensed Consolidated Balance Sheets as Derivative call options, are exercisable immediately upon issuance and have a one-year term. They allow the purchase of the respective notes at an exercise price equal to the principal amount of the notes issued to the investor, subject to full ratchet anti-dilution price protection, as adjusted for stock splits, stock dividends, stock combinations, recapitalizations, or similar transactions. See Note 14,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xml:space="preserve"> for further details on the 2024 Unsecured SPA Incremental Warrants.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Amendments and Modifications</w:t>
      </w:r>
    </w:p>
    <w:p>
      <w:pPr>
        <w:spacing w:after="0" w:line="15" w:lineRule="exact"/>
        <w:rPr>
          <w:sz w:val="20"/>
          <w:szCs w:val="20"/>
          <w:color w:val="auto"/>
        </w:rPr>
      </w:pPr>
    </w:p>
    <w:p>
      <w:pPr>
        <w:jc w:val="both"/>
        <w:ind w:left="640" w:hanging="318"/>
        <w:spacing w:after="0" w:line="236"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Letter Agreements: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January 28, 2025, the Company entered into a letter agreement (the “December Letter Agreement”) with certain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Unsecured SPA Investors, modifying terms related to their previously disclosed investment. These investors agreed not to convert outstanding notes below the initial $1.16 conversion price before stockholder approval for the issuance of the 2024 Unsecured SPA Notes, 2024 Unsecured SPA Warrants and 2024 Unsecured Incremental Warrants. The Company agreed to issue True-Up Shares post-approval using an adjustment formula. Additionally, if a resale registration statement becomes effective, and the conversion price exceeds the prior day's closing bid price, the conversion price will be adjusted downward. The December Letter Agreement includes a provision preventing the issuance of shares of common stock underlying the applicable securities if the Company's available authorized stock is insufficient. However, the Company must deliver the shares once sufficient stock becomes available.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2024 Unsecured SPA Notes Activity</w:t>
      </w:r>
    </w:p>
    <w:p>
      <w:pPr>
        <w:spacing w:after="0" w:line="15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 of June 30, 2025, the fair value of the 2024 Unsecured SPA Notes was $10.0 million, compared to $7.0 million as of December 31, 2024.</w:t>
      </w:r>
    </w:p>
    <w:p>
      <w:pPr>
        <w:spacing w:after="0" w:line="149" w:lineRule="exact"/>
        <w:rPr>
          <w:sz w:val="20"/>
          <w:szCs w:val="20"/>
          <w:color w:val="auto"/>
        </w:rPr>
      </w:pPr>
    </w:p>
    <w:p>
      <w:pPr>
        <w:jc w:val="both"/>
        <w:ind w:firstLine="475"/>
        <w:spacing w:after="0" w:line="248" w:lineRule="auto"/>
        <w:rPr>
          <w:sz w:val="20"/>
          <w:szCs w:val="20"/>
          <w:color w:val="auto"/>
        </w:rPr>
      </w:pPr>
      <w:r>
        <w:rPr>
          <w:rFonts w:ascii="Times New Roman" w:cs="Times New Roman" w:eastAsia="Times New Roman" w:hAnsi="Times New Roman"/>
          <w:sz w:val="18"/>
          <w:szCs w:val="18"/>
          <w:color w:val="auto"/>
        </w:rPr>
        <w:t>During the three and six months ended June 30, 2025, the Company received net cash proceeds of zero and $20.0 million, respectively, after original issue discounts, in exchange for the issuance of 2024 Unsecured SPA Notes. During the same periods, the Company converted debt with a principal amount of $11.7 million and $11.7 million into 10,796,761 and 10,796,761 shares of Class A Common Stock, respectively. The conversion of 2024 Unsecured SPA Notes into Class A Common Stock resulted in a loss on extinguishment of $9.3 million and $9.3 million, for each period. For the three and six months ended June 30, 2025, the Company recognized a loss of $4.5 million and a gain of $2.3 million, respectively, from the fair value remeasurement of 2024 Unsecured SPA Notes under ASC 825, which was recorded in Change in fair value of notes payable, warrant liabilities, and derivative call options in the Unaudited Condensed Consolidated Statements of Operations and Comprehensive Loss.</w:t>
      </w:r>
    </w:p>
    <w:p>
      <w:pPr>
        <w:spacing w:after="0" w:line="99" w:lineRule="exact"/>
        <w:rPr>
          <w:sz w:val="20"/>
          <w:szCs w:val="20"/>
          <w:color w:val="auto"/>
        </w:rPr>
      </w:pPr>
    </w:p>
    <w:p>
      <w:pPr>
        <w:jc w:val="both"/>
        <w:ind w:firstLine="475"/>
        <w:spacing w:after="0" w:line="254" w:lineRule="auto"/>
        <w:rPr>
          <w:sz w:val="20"/>
          <w:szCs w:val="20"/>
          <w:color w:val="auto"/>
        </w:rPr>
      </w:pPr>
      <w:r>
        <w:rPr>
          <w:rFonts w:ascii="Times New Roman" w:cs="Times New Roman" w:eastAsia="Times New Roman" w:hAnsi="Times New Roman"/>
          <w:sz w:val="18"/>
          <w:szCs w:val="18"/>
          <w:color w:val="auto"/>
        </w:rPr>
        <w:t>There were no transactions involving 2024 Unsecured SPA Notes during three and six months ended June 30, 2024 as the 2024 Unsecured SPA Notes had not yet been issued.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March Unsecured SPA Notes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and Terms</w:t>
      </w:r>
    </w:p>
    <w:p>
      <w:pPr>
        <w:spacing w:after="0" w:line="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On March 21, 2025, the Company entered into a securities purchase agreement (the “2025 March Unsecured SPA”) with certain accredited investors,</w:t>
      </w:r>
    </w:p>
    <w:p>
      <w:pPr>
        <w:spacing w:after="0" w:line="3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color w:val="auto"/>
        </w:rPr>
        <w:t>including MHL a related party (collectively, the “2025 March Unsecured SPA Investors”), pursuant to which the Company agreed to issue and sell an aggregate of $41.0 million in principal amount of senior unsecured convertible promissory notes (the “2025 March Unsecured SPA Notes”). The 2025 March</w:t>
      </w:r>
    </w:p>
    <w:p>
      <w:pPr>
        <w:spacing w:after="0" w:line="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Unsecured SPA will be completed in four closings, each subject to specified closing conditions including minimum trading price and volume thresholds. The activity below does not include related party activity, discussed separately in Note 8,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The 2025 March Unsecured SPA Notes mature five years from the date of issuance and bear interest at a fixed rate of 10% per annum. Interest is payable on each conversion date or at maturity and may be settled in cash, shares of Class A common stock, or a combination thereof, at the Company’s election and subject to certain conditions. In the event of a default,</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interest rate increases to 18% per annum. The Company may redeem the notes at a premium of 10% over the greater of (i) the value of the shares otherwise issuable upon conversion and (ii) the value of the note’s outstanding principal. In a bankruptcy-related default, the notes are redeemable at a 25% premium, unless waived by the holder.</w:t>
      </w:r>
    </w:p>
    <w:p>
      <w:pPr>
        <w:spacing w:after="0" w:line="113" w:lineRule="exact"/>
        <w:rPr>
          <w:sz w:val="20"/>
          <w:szCs w:val="20"/>
          <w:color w:val="auto"/>
        </w:rPr>
      </w:pPr>
    </w:p>
    <w:p>
      <w:pPr>
        <w:jc w:val="both"/>
        <w:ind w:firstLine="475"/>
        <w:spacing w:after="0" w:line="248" w:lineRule="auto"/>
        <w:rPr>
          <w:sz w:val="20"/>
          <w:szCs w:val="20"/>
          <w:color w:val="auto"/>
        </w:rPr>
      </w:pPr>
      <w:r>
        <w:rPr>
          <w:rFonts w:ascii="Times New Roman" w:cs="Times New Roman" w:eastAsia="Times New Roman" w:hAnsi="Times New Roman"/>
          <w:sz w:val="18"/>
          <w:szCs w:val="18"/>
          <w:color w:val="auto"/>
        </w:rPr>
        <w:t>The 2025 March Unsecured SPA Notes are convertible at the option of the holder into shares of the Company’s Class A common stock at an initial fixed conversion price of $1.29 per share, subject to customary anti-dilution adjustments and full ratchet anti-dilution price protection. The number of shares issuable upon conversion is determined by dividing the outstanding principal and accrued interest, together with an 8% premium, by the conversion price. The notes also include an alternate conversion feature that permits the holder to convert at the lower of (i) the then-effective conversion price or (ii) the greater of $1.048 per share (the “floor price”) and the lowest VWAP of the Class A common stock during the five trading days immediately preceding the conversion notice. If a conversion under the alternate mechanism would result in issuance below the floor price, the Company must either settle the difference in cash or increase the principal balance of the note by the shortfall amount.</w:t>
      </w:r>
    </w:p>
    <w:p>
      <w:pPr>
        <w:spacing w:after="0" w:line="112" w:lineRule="exact"/>
        <w:rPr>
          <w:sz w:val="20"/>
          <w:szCs w:val="20"/>
          <w:color w:val="auto"/>
        </w:rPr>
      </w:pPr>
    </w:p>
    <w:p>
      <w:pPr>
        <w:jc w:val="both"/>
        <w:ind w:firstLine="475"/>
        <w:spacing w:after="0" w:line="249" w:lineRule="auto"/>
        <w:rPr>
          <w:sz w:val="20"/>
          <w:szCs w:val="20"/>
          <w:color w:val="auto"/>
        </w:rPr>
      </w:pPr>
      <w:r>
        <w:rPr>
          <w:rFonts w:ascii="Times New Roman" w:cs="Times New Roman" w:eastAsia="Times New Roman" w:hAnsi="Times New Roman"/>
          <w:sz w:val="18"/>
          <w:szCs w:val="18"/>
          <w:color w:val="auto"/>
        </w:rPr>
        <w:t xml:space="preserve">The “2025 March Unsecured SPA Investors were issued warrants (the “2025 March Unsecured SPA Warrants”) equal to 100% of the shares issuable upon conversion of the aggregate principal amount under the 2025 March Unsecured SPA Notes funded. The 2025 March Unsecured SPA Warrants are exercisable immediately with a term of five years. 2025 March Unsecured SPA Warrants are subject to the same full ratchet anti-dilution price protection as the 2025 March Unsecured SPA Notes. The Company’s 2025 March Unsecured SPA Warrants meet the requirements for liability classification pursuant to ASC 480-10,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The 2025 March Unsecured SPA Warrants could require cash settlement upon events that are considered outside of the control of the Company in a manner that is not consistent with the holders of the Company’s Common Stock.</w:t>
      </w:r>
    </w:p>
    <w:p>
      <w:pPr>
        <w:spacing w:after="0" w:line="123" w:lineRule="exact"/>
        <w:rPr>
          <w:sz w:val="20"/>
          <w:szCs w:val="20"/>
          <w:color w:val="auto"/>
        </w:rPr>
      </w:pPr>
    </w:p>
    <w:p>
      <w:pPr>
        <w:jc w:val="both"/>
        <w:ind w:firstLine="475"/>
        <w:spacing w:after="0" w:line="286" w:lineRule="auto"/>
        <w:rPr>
          <w:sz w:val="20"/>
          <w:szCs w:val="20"/>
          <w:color w:val="auto"/>
        </w:rPr>
      </w:pPr>
      <w:r>
        <w:rPr>
          <w:rFonts w:ascii="Times New Roman" w:cs="Times New Roman" w:eastAsia="Times New Roman" w:hAnsi="Times New Roman"/>
          <w:sz w:val="16"/>
          <w:szCs w:val="16"/>
          <w:color w:val="auto"/>
        </w:rPr>
        <w:t xml:space="preserve">The 2025 March Unsecured SPA Investors were issued incremental warrants (the “2025 March Unsecured SPA Incremental Warrants”) to purchase additional 2025 March Unsecured SPA Notes up to the amounts funded under their 2025 March Unsecured SPA commitments. The 2025 March Unsecured SPA Incremental Warrants, presented in the Unaudited Condensed Consolidated Balance Sheets as Derivative call options, are exercisable immediately upon issuance and have a five-year term. They allow the purchase of the respective notes at an exercise price equal to the principal amount of the notes issued to the investor, subject to full ratchet anti-dilution price protection, as adjusted for stock splits, stock dividends, stock combinations, recapitalizations, or similar transactions. See Note 14, </w:t>
      </w:r>
      <w:r>
        <w:rPr>
          <w:rFonts w:ascii="Times New Roman" w:cs="Times New Roman" w:eastAsia="Times New Roman" w:hAnsi="Times New Roman"/>
          <w:sz w:val="16"/>
          <w:szCs w:val="16"/>
          <w:i w:val="1"/>
          <w:iCs w:val="1"/>
          <w:color w:val="auto"/>
        </w:rPr>
        <w:t>Fair Value of Financial Instruments</w:t>
      </w:r>
      <w:r>
        <w:rPr>
          <w:rFonts w:ascii="Times New Roman" w:cs="Times New Roman" w:eastAsia="Times New Roman" w:hAnsi="Times New Roman"/>
          <w:sz w:val="16"/>
          <w:szCs w:val="16"/>
          <w:color w:val="auto"/>
        </w:rPr>
        <w:t xml:space="preserve"> for further details on the 2025 March Unsecured SPA Incremental Warrants.</w:t>
      </w:r>
    </w:p>
    <w:p>
      <w:pPr>
        <w:spacing w:after="0" w:line="83" w:lineRule="exact"/>
        <w:rPr>
          <w:sz w:val="20"/>
          <w:szCs w:val="20"/>
          <w:color w:val="auto"/>
        </w:rPr>
      </w:pPr>
    </w:p>
    <w:p>
      <w:pPr>
        <w:jc w:val="both"/>
        <w:ind w:firstLine="475"/>
        <w:spacing w:after="0" w:line="304" w:lineRule="auto"/>
        <w:rPr>
          <w:sz w:val="20"/>
          <w:szCs w:val="20"/>
          <w:color w:val="auto"/>
        </w:rPr>
      </w:pPr>
      <w:r>
        <w:rPr>
          <w:rFonts w:ascii="Times New Roman" w:cs="Times New Roman" w:eastAsia="Times New Roman" w:hAnsi="Times New Roman"/>
          <w:sz w:val="16"/>
          <w:szCs w:val="16"/>
          <w:color w:val="auto"/>
        </w:rPr>
        <w:t xml:space="preserve">The 2025 March Unsecured SPA Investors received a number of shares of Series B Preferred Stock equal to the lesser of (i) the number of shares of common stock into which such purchaser’s notes are convertible, and (ii) such purchaser’s pro rata share (based on commitment percentage) of an aggregate cap of 9,000,000 shares of Series B Preferred Stock. See </w:t>
      </w:r>
      <w:r>
        <w:rPr>
          <w:rFonts w:ascii="Times New Roman" w:cs="Times New Roman" w:eastAsia="Times New Roman" w:hAnsi="Times New Roman"/>
          <w:sz w:val="16"/>
          <w:szCs w:val="16"/>
          <w:i w:val="1"/>
          <w:iCs w:val="1"/>
          <w:color w:val="auto"/>
        </w:rPr>
        <w:t>Note 12 Stockholders’ Equity</w:t>
      </w:r>
      <w:r>
        <w:rPr>
          <w:rFonts w:ascii="Times New Roman" w:cs="Times New Roman" w:eastAsia="Times New Roman" w:hAnsi="Times New Roman"/>
          <w:sz w:val="16"/>
          <w:szCs w:val="16"/>
          <w:color w:val="auto"/>
        </w:rPr>
        <w:t xml:space="preserve"> for further details on the shares of Series B Preferred Stock.</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Amendments and Modifications</w:t>
      </w:r>
    </w:p>
    <w:p>
      <w:pPr>
        <w:spacing w:after="0" w:line="15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On May 15, 2025, the Company entered into a Waiver and Amendment Agreement (the “SPA Waiver”) with the 2025 March Unsecured SPA Investors.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SPA Waiver modified certain registration and closing conditions provisions under the SPA, as described below.</w:t>
      </w:r>
    </w:p>
    <w:p>
      <w:pPr>
        <w:spacing w:after="0" w:line="105" w:lineRule="exact"/>
        <w:rPr>
          <w:sz w:val="20"/>
          <w:szCs w:val="20"/>
          <w:color w:val="auto"/>
        </w:rPr>
      </w:pPr>
    </w:p>
    <w:p>
      <w:pPr>
        <w:jc w:val="both"/>
        <w:ind w:firstLine="475"/>
        <w:spacing w:after="0" w:line="233" w:lineRule="auto"/>
        <w:rPr>
          <w:sz w:val="20"/>
          <w:szCs w:val="20"/>
          <w:color w:val="auto"/>
        </w:rPr>
      </w:pPr>
      <w:r>
        <w:rPr>
          <w:rFonts w:ascii="Times New Roman" w:cs="Times New Roman" w:eastAsia="Times New Roman" w:hAnsi="Times New Roman"/>
          <w:sz w:val="18"/>
          <w:szCs w:val="18"/>
          <w:color w:val="auto"/>
        </w:rPr>
        <w:t>Under the SPA Waiver, the Investors agreed that the Company is required to register for resale on the initial registration statement (the “Initial Registration Statement”) only the shares of Class A common stock issuable upon conversion of the 2025 March Unsecured SPA Notes issued at the first closing. The Company is not required to register on the Initial Registration Statement any shares issuable upon exercise of the 2025 March Unsecured SPA Warrants or 2025 March Unsecured SPA Incremental Warrants or securities issued in subsequent closings. However, the Company agreed to use commercially reasonable efforts to file a subsequent registration statement to cover (i) the remaining shares underlying the 2025 March Unsecured Notes, 2025 March Unsecured SPA Warrants, and 2025 March Unsecured SPA Incremental Warrants within 45 calendar days after the later of (a) the effectiveness of the Initial Registration Statement or (b) the date an Investor requests registration, and (ii) shares issuable under instruments from any subsequent closing within 45 calendar days after the later of (a) the effectiveness of the Initial Registration Statement or (b) the applicable closing date.</w:t>
      </w:r>
    </w:p>
    <w:p>
      <w:pPr>
        <w:spacing w:after="0" w:line="212" w:lineRule="exact"/>
        <w:rPr>
          <w:sz w:val="20"/>
          <w:szCs w:val="20"/>
          <w:color w:val="auto"/>
        </w:rPr>
      </w:pPr>
    </w:p>
    <w:p>
      <w:pPr>
        <w:jc w:val="both"/>
        <w:ind w:firstLine="475"/>
        <w:spacing w:after="0" w:line="238" w:lineRule="auto"/>
        <w:rPr>
          <w:sz w:val="20"/>
          <w:szCs w:val="20"/>
          <w:color w:val="auto"/>
        </w:rPr>
      </w:pPr>
      <w:r>
        <w:rPr>
          <w:rFonts w:ascii="Times New Roman" w:cs="Times New Roman" w:eastAsia="Times New Roman" w:hAnsi="Times New Roman"/>
          <w:sz w:val="18"/>
          <w:szCs w:val="18"/>
          <w:color w:val="auto"/>
        </w:rPr>
        <w:t>Under the original terms of the 2025 March Unsecured SPA, if the conditions to a subsequent closing were not satisfied by the scheduled closing date, the closing could be delayed for up to twenty (20) business days. Pursuant to the SPA Waiver, the SPA was amended to provide that if, during such 20-business-day deferral period, the closing price of the Company’s Class A common stock is below $1.00, the applicable subsequent closing shall instead occur within twenty (20) business days following the first trading day on which the closing price equals or exceeds $1.00.</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03" w:lineRule="exact"/>
        <w:rPr>
          <w:sz w:val="20"/>
          <w:szCs w:val="20"/>
          <w:color w:val="auto"/>
        </w:rPr>
      </w:pPr>
    </w:p>
    <w:p>
      <w:pPr>
        <w:jc w:val="both"/>
        <w:ind w:firstLine="475"/>
        <w:spacing w:after="0" w:line="269" w:lineRule="auto"/>
        <w:rPr>
          <w:sz w:val="20"/>
          <w:szCs w:val="20"/>
          <w:color w:val="auto"/>
        </w:rPr>
      </w:pPr>
      <w:r>
        <w:rPr>
          <w:rFonts w:ascii="Times New Roman" w:cs="Times New Roman" w:eastAsia="Times New Roman" w:hAnsi="Times New Roman"/>
          <w:sz w:val="18"/>
          <w:szCs w:val="18"/>
          <w:color w:val="auto"/>
        </w:rPr>
        <w:t>In addition, the Company obtained the right, at its sole discretion, to reduce the portion of a 2025 March Unsecured SPA Investor’s purchase amount to be funded at any individual closing, provided that no such investor’s aggregate commitment is reduced.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Conversion and exercise price re-set</w:t>
      </w:r>
    </w:p>
    <w:p>
      <w:pPr>
        <w:spacing w:after="0" w:line="140" w:lineRule="exact"/>
        <w:rPr>
          <w:sz w:val="20"/>
          <w:szCs w:val="20"/>
          <w:color w:val="auto"/>
        </w:rPr>
      </w:pPr>
    </w:p>
    <w:p>
      <w:pPr>
        <w:jc w:val="both"/>
        <w:ind w:firstLine="475"/>
        <w:spacing w:after="0" w:line="249" w:lineRule="auto"/>
        <w:rPr>
          <w:sz w:val="20"/>
          <w:szCs w:val="20"/>
          <w:color w:val="auto"/>
        </w:rPr>
      </w:pPr>
      <w:r>
        <w:rPr>
          <w:rFonts w:ascii="Times New Roman" w:cs="Times New Roman" w:eastAsia="Times New Roman" w:hAnsi="Times New Roman"/>
          <w:sz w:val="18"/>
          <w:szCs w:val="18"/>
          <w:color w:val="auto"/>
        </w:rPr>
        <w:t>Pursuant to the terms of the 2025 March Unsecured SPA, on May 28, 2025, the fixed conversion price of the 2025 March Unsecured SPA Notes and the exercise price of the related common stock warrants were reset to 100% and 120%, respectively, of the closing price of the Company’s Class A common stock on the trading day immediately prior to the receipt of stockholder approval for the related private placement. As a result, as of June 30, 2025, the fixed conversion price and warrant exercise price of the 2025 March Unsecured SPA instruments were $1.22 and $1.46, respectively. This reset triggered the price-based anti-dilution provisions of the 2024 Unsecured SPA Warrants, reducing their exercise price from $1.39 to $1.22. No further anti-dilution adjustments were triggered as a result of this reset.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2025 March Unsecured SPA Notes Activity</w:t>
      </w:r>
    </w:p>
    <w:p>
      <w:pPr>
        <w:spacing w:after="0" w:line="140" w:lineRule="exact"/>
        <w:rPr>
          <w:sz w:val="20"/>
          <w:szCs w:val="20"/>
          <w:color w:val="auto"/>
        </w:rPr>
      </w:pPr>
    </w:p>
    <w:p>
      <w:pPr>
        <w:jc w:val="both"/>
        <w:ind w:firstLine="475"/>
        <w:spacing w:after="0" w:line="269" w:lineRule="auto"/>
        <w:rPr>
          <w:sz w:val="20"/>
          <w:szCs w:val="20"/>
          <w:color w:val="auto"/>
        </w:rPr>
      </w:pPr>
      <w:r>
        <w:rPr>
          <w:rFonts w:ascii="Times New Roman" w:cs="Times New Roman" w:eastAsia="Times New Roman" w:hAnsi="Times New Roman"/>
          <w:sz w:val="18"/>
          <w:szCs w:val="18"/>
          <w:color w:val="auto"/>
        </w:rPr>
        <w:t>As of June 30, 2025, the fair value of the outstanding 2025 March Unsecured SPA Notes, was approximately $9.3 million compared to zero as of December 31, 2024.</w:t>
      </w:r>
    </w:p>
    <w:p>
      <w:pPr>
        <w:spacing w:after="0" w:line="103" w:lineRule="exact"/>
        <w:rPr>
          <w:sz w:val="20"/>
          <w:szCs w:val="20"/>
          <w:color w:val="auto"/>
        </w:rPr>
      </w:pPr>
    </w:p>
    <w:p>
      <w:pPr>
        <w:jc w:val="both"/>
        <w:ind w:firstLine="475"/>
        <w:spacing w:after="0" w:line="248" w:lineRule="auto"/>
        <w:rPr>
          <w:sz w:val="20"/>
          <w:szCs w:val="20"/>
          <w:color w:val="auto"/>
        </w:rPr>
      </w:pPr>
      <w:r>
        <w:rPr>
          <w:rFonts w:ascii="Times New Roman" w:cs="Times New Roman" w:eastAsia="Times New Roman" w:hAnsi="Times New Roman"/>
          <w:sz w:val="18"/>
          <w:szCs w:val="18"/>
          <w:color w:val="auto"/>
        </w:rPr>
        <w:t>During the three and six months ended June 30, 2025, the Company received net cash proceeds of $22.1 million and $24.1 million, respectively, after original issue discounts, in exchange for the issuance of 2025 March Unsecured SPA Notes. During the same periods, the Company converted debt with a principal amount of $6.8 million and $6.8 million into 6,169,656 and $6,169,656 shares of Class A Common Stock, respectively. The conversion of 2025 March Unsecured SPA Notes into Class A Common Stock resulted in a loss on extinguishment of $5.5 million and $5.5 million, for each period. For the three and six months ended June 30, 2025, the Company recognized a loss of $2.8 million and $2.7 million, respectively, from the fair value remeasurement of 2025 March Unsecured SPA Notes under ASC 825, which was recorded in Change in fair value of notes payable, warrant liabilities, and derivative call options in the Unaudited Condensed Consolidated Statements of Operations and Comprehensive Loss.</w:t>
      </w:r>
    </w:p>
    <w:p>
      <w:pPr>
        <w:spacing w:after="0" w:line="125" w:lineRule="exact"/>
        <w:rPr>
          <w:sz w:val="20"/>
          <w:szCs w:val="20"/>
          <w:color w:val="auto"/>
        </w:rPr>
      </w:pPr>
    </w:p>
    <w:p>
      <w:pPr>
        <w:jc w:val="both"/>
        <w:ind w:firstLine="475"/>
        <w:spacing w:after="0" w:line="269" w:lineRule="auto"/>
        <w:rPr>
          <w:sz w:val="20"/>
          <w:szCs w:val="20"/>
          <w:color w:val="auto"/>
        </w:rPr>
      </w:pPr>
      <w:r>
        <w:rPr>
          <w:rFonts w:ascii="Times New Roman" w:cs="Times New Roman" w:eastAsia="Times New Roman" w:hAnsi="Times New Roman"/>
          <w:sz w:val="18"/>
          <w:szCs w:val="18"/>
          <w:color w:val="auto"/>
        </w:rPr>
        <w:t>There were no transactions involving 2025 March Unsecured SPA Notes during three and six months ended June 30, 2024 as the 2025 March Unsecured SPA Notes had not yet been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80" w:hanging="474"/>
        <w:spacing w:after="0"/>
        <w:tabs>
          <w:tab w:leader="none" w:pos="48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38" w:lineRule="exact"/>
        <w:rPr>
          <w:sz w:val="20"/>
          <w:szCs w:val="20"/>
          <w:color w:val="auto"/>
        </w:rPr>
      </w:pPr>
    </w:p>
    <w:p>
      <w:pPr>
        <w:jc w:val="both"/>
        <w:ind w:firstLine="475"/>
        <w:spacing w:after="0" w:line="249" w:lineRule="auto"/>
        <w:rPr>
          <w:sz w:val="20"/>
          <w:szCs w:val="20"/>
          <w:color w:val="auto"/>
        </w:rPr>
      </w:pPr>
      <w:r>
        <w:rPr>
          <w:rFonts w:ascii="Times New Roman" w:cs="Times New Roman" w:eastAsia="Times New Roman" w:hAnsi="Times New Roman"/>
          <w:sz w:val="18"/>
          <w:szCs w:val="18"/>
          <w:color w:val="auto"/>
        </w:rPr>
        <w:t>The Company has entered into notes payable agreements with related parties. The Company receives funding through notes payable from various parties, including related parties. These related parties include employees, affiliates of employees, affiliates, and other companies controlled or previously controlled by one of the Company’s Global Co-CEOs, Mr. Yueting Jia. Effective August 13, 2025, during the pendency of the SEC investigation, Mr. Jia was temporarily excluded from oversight of the finance, legal, accounting, and public reporting functions (see Note 16). The tables below summarize the related party note payable agreements as of June 30, 2025 and December 31, 2024, providing details on contractual maturity dates, contractual interest rates, and net carrying values.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1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180" w:type="dxa"/>
            <w:vAlign w:val="bottom"/>
          </w:tcPr>
          <w:p>
            <w:pPr>
              <w:spacing w:after="0"/>
              <w:rPr>
                <w:sz w:val="3"/>
                <w:szCs w:val="3"/>
                <w:color w:val="auto"/>
              </w:rPr>
            </w:pPr>
          </w:p>
        </w:tc>
        <w:tc>
          <w:tcPr>
            <w:tcW w:w="1820" w:type="dxa"/>
            <w:vAlign w:val="bottom"/>
            <w:tcBorders>
              <w:bottom w:val="single" w:sz="8" w:color="auto"/>
            </w:tcBorders>
            <w:gridSpan w:val="2"/>
          </w:tcPr>
          <w:p>
            <w:pPr>
              <w:spacing w:after="0"/>
              <w:rPr>
                <w:sz w:val="3"/>
                <w:szCs w:val="3"/>
                <w:color w:val="auto"/>
              </w:rPr>
            </w:pPr>
          </w:p>
        </w:tc>
        <w:tc>
          <w:tcPr>
            <w:tcW w:w="1740" w:type="dxa"/>
            <w:vAlign w:val="bottom"/>
            <w:tcBorders>
              <w:bottom w:val="single" w:sz="8" w:color="auto"/>
            </w:tcBorders>
            <w:gridSpan w:val="2"/>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6180" w:type="dxa"/>
            <w:vAlign w:val="bottom"/>
          </w:tcPr>
          <w:p>
            <w:pPr>
              <w:spacing w:after="0"/>
              <w:rPr>
                <w:sz w:val="14"/>
                <w:szCs w:val="14"/>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Contractual</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Contractual</w:t>
            </w:r>
          </w:p>
        </w:tc>
        <w:tc>
          <w:tcPr>
            <w:tcW w:w="150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58"/>
        </w:trPr>
        <w:tc>
          <w:tcPr>
            <w:tcW w:w="6180" w:type="dxa"/>
            <w:vAlign w:val="bottom"/>
          </w:tcPr>
          <w:p>
            <w:pPr>
              <w:spacing w:after="0"/>
              <w:rPr>
                <w:sz w:val="13"/>
                <w:szCs w:val="13"/>
                <w:color w:val="auto"/>
              </w:rPr>
            </w:pPr>
          </w:p>
        </w:tc>
        <w:tc>
          <w:tcPr>
            <w:tcW w:w="182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4"/>
                <w:szCs w:val="14"/>
                <w:b w:val="1"/>
                <w:bCs w:val="1"/>
                <w:color w:val="auto"/>
              </w:rPr>
              <w:t>Maturity</w:t>
            </w:r>
          </w:p>
        </w:tc>
        <w:tc>
          <w:tcPr>
            <w:tcW w:w="174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15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4"/>
        </w:trPr>
        <w:tc>
          <w:tcPr>
            <w:tcW w:w="618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March Unsecured SPA Notes</w:t>
            </w:r>
          </w:p>
        </w:tc>
        <w:tc>
          <w:tcPr>
            <w:tcW w:w="18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Various dates in 2030</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0" w:type="dxa"/>
            <w:vAlign w:val="bottom"/>
          </w:tcPr>
          <w:p>
            <w:pPr>
              <w:spacing w:after="0"/>
              <w:rPr>
                <w:sz w:val="1"/>
                <w:szCs w:val="1"/>
                <w:color w:val="auto"/>
              </w:rPr>
            </w:pPr>
          </w:p>
        </w:tc>
      </w:tr>
      <w:tr>
        <w:trPr>
          <w:trHeight w:val="264"/>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Payable — China</w:t>
            </w:r>
          </w:p>
        </w:tc>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April 2027</w:t>
            </w:r>
          </w:p>
        </w:tc>
        <w:tc>
          <w:tcPr>
            <w:tcW w:w="164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rPr>
              <w:t xml:space="preserve">18.0 % </w:t>
            </w:r>
            <w:r>
              <w:rPr>
                <w:rFonts w:ascii="Times New Roman" w:cs="Times New Roman" w:eastAsia="Times New Roman" w:hAnsi="Times New Roman"/>
                <w:sz w:val="22"/>
                <w:szCs w:val="22"/>
                <w:color w:val="auto"/>
                <w:vertAlign w:val="superscript"/>
              </w:rPr>
              <w:t>(2)</w:t>
            </w:r>
          </w:p>
        </w:tc>
        <w:tc>
          <w:tcPr>
            <w:tcW w:w="10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4,271</w:t>
            </w:r>
          </w:p>
        </w:tc>
        <w:tc>
          <w:tcPr>
            <w:tcW w:w="0" w:type="dxa"/>
            <w:vAlign w:val="bottom"/>
          </w:tcPr>
          <w:p>
            <w:pPr>
              <w:spacing w:after="0"/>
              <w:rPr>
                <w:sz w:val="1"/>
                <w:szCs w:val="1"/>
                <w:color w:val="auto"/>
              </w:rPr>
            </w:pPr>
          </w:p>
        </w:tc>
      </w:tr>
      <w:tr>
        <w:trPr>
          <w:trHeight w:val="264"/>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Payable on Demand — China</w:t>
            </w:r>
          </w:p>
        </w:tc>
        <w:tc>
          <w:tcPr>
            <w:tcW w:w="1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Due on Demand</w:t>
            </w:r>
          </w:p>
        </w:tc>
        <w:tc>
          <w:tcPr>
            <w:tcW w:w="17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64"/>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FFGP Note</w:t>
            </w:r>
          </w:p>
        </w:tc>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 xml:space="preserve">Various 2024 </w:t>
            </w:r>
            <w:r>
              <w:rPr>
                <w:rFonts w:ascii="Times New Roman" w:cs="Times New Roman" w:eastAsia="Times New Roman" w:hAnsi="Times New Roman"/>
                <w:sz w:val="20"/>
                <w:szCs w:val="20"/>
                <w:color w:val="auto"/>
                <w:vertAlign w:val="superscript"/>
              </w:rPr>
              <w:t>(1)</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4.27%</w:t>
            </w:r>
          </w:p>
        </w:tc>
        <w:tc>
          <w:tcPr>
            <w:tcW w:w="10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64"/>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FFGP Note</w:t>
            </w:r>
          </w:p>
        </w:tc>
        <w:tc>
          <w:tcPr>
            <w:tcW w:w="1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 xml:space="preserve">May 2024 </w:t>
            </w:r>
            <w:r>
              <w:rPr>
                <w:rFonts w:ascii="Times New Roman" w:cs="Times New Roman" w:eastAsia="Times New Roman" w:hAnsi="Times New Roman"/>
                <w:sz w:val="20"/>
                <w:szCs w:val="20"/>
                <w:color w:val="auto"/>
                <w:vertAlign w:val="superscript"/>
              </w:rPr>
              <w:t>(1)</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4.27%</w:t>
            </w:r>
          </w:p>
        </w:tc>
        <w:tc>
          <w:tcPr>
            <w:tcW w:w="10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37"/>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Notes</w:t>
            </w:r>
          </w:p>
        </w:tc>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Due on Demand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12.0%</w:t>
            </w: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bl>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302"/>
        </w:trPr>
        <w:tc>
          <w:tcPr>
            <w:tcW w:w="9740" w:type="dxa"/>
            <w:vAlign w:val="bottom"/>
            <w:tcBorders>
              <w:top w:val="single" w:sz="8" w:color="CCEEFF"/>
              <w:bottom w:val="single" w:sz="8" w:color="CCEEFF"/>
            </w:tcBorders>
            <w:shd w:val="clear" w:color="auto" w:fill="CCEEFF"/>
          </w:tcPr>
          <w:p>
            <w:pPr>
              <w:spacing w:after="0"/>
              <w:rPr>
                <w:sz w:val="24"/>
                <w:szCs w:val="24"/>
                <w:color w:val="auto"/>
              </w:rPr>
            </w:pPr>
          </w:p>
        </w:tc>
        <w:tc>
          <w:tcPr>
            <w:tcW w:w="580" w:type="dxa"/>
            <w:vAlign w:val="bottom"/>
            <w:tcBorders>
              <w:top w:val="single" w:sz="8" w:color="auto"/>
              <w:bottom w:val="single" w:sz="8" w:color="CCEEFF"/>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7,563</w:t>
            </w: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9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44"/>
        </w:trPr>
        <w:tc>
          <w:tcPr>
            <w:tcW w:w="9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party notes payable, current</w:t>
            </w:r>
          </w:p>
        </w:tc>
        <w:tc>
          <w:tcPr>
            <w:tcW w:w="580" w:type="dxa"/>
            <w:vAlign w:val="bottom"/>
            <w:tcBorders>
              <w:bottom w:val="single" w:sz="8" w:color="CCEEFF"/>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4,342</w:t>
            </w:r>
          </w:p>
        </w:tc>
      </w:tr>
      <w:tr>
        <w:trPr>
          <w:trHeight w:val="237"/>
        </w:trPr>
        <w:tc>
          <w:tcPr>
            <w:tcW w:w="9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party notes payable, long-term</w:t>
            </w:r>
          </w:p>
        </w:tc>
        <w:tc>
          <w:tcPr>
            <w:tcW w:w="58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w:t>
            </w:r>
          </w:p>
        </w:tc>
      </w:tr>
      <w:tr>
        <w:trPr>
          <w:trHeight w:val="27"/>
        </w:trPr>
        <w:tc>
          <w:tcPr>
            <w:tcW w:w="9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_______________</w:t>
            </w:r>
          </w:p>
        </w:tc>
        <w:tc>
          <w:tcPr>
            <w:tcW w:w="5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7"/>
        </w:trPr>
        <w:tc>
          <w:tcPr>
            <w:tcW w:w="97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4" w:lineRule="exact"/>
        <w:rPr>
          <w:sz w:val="20"/>
          <w:szCs w:val="20"/>
          <w:color w:val="auto"/>
        </w:rPr>
      </w:pPr>
    </w:p>
    <w:p>
      <w:pPr>
        <w:ind w:left="160" w:hanging="137"/>
        <w:spacing w:after="0"/>
        <w:tabs>
          <w:tab w:leader="none" w:pos="160" w:val="left"/>
        </w:tabs>
        <w:numPr>
          <w:ilvl w:val="0"/>
          <w:numId w:val="2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term was extended upon receipt of waivers of enforcement rights and remedies under the loan agreements, as described below, with the expected settlement in 2025.</w:t>
      </w:r>
    </w:p>
    <w:p>
      <w:pPr>
        <w:spacing w:after="0" w:line="63" w:lineRule="exact"/>
        <w:rPr>
          <w:rFonts w:ascii="Times New Roman" w:cs="Times New Roman" w:eastAsia="Times New Roman" w:hAnsi="Times New Roman"/>
          <w:sz w:val="9"/>
          <w:szCs w:val="9"/>
          <w:color w:val="auto"/>
        </w:rPr>
      </w:pPr>
    </w:p>
    <w:p>
      <w:pPr>
        <w:jc w:val="both"/>
        <w:ind w:left="20" w:right="20" w:firstLine="3"/>
        <w:spacing w:after="0" w:line="272" w:lineRule="auto"/>
        <w:tabs>
          <w:tab w:leader="none" w:pos="162" w:val="left"/>
        </w:tabs>
        <w:numPr>
          <w:ilvl w:val="0"/>
          <w:numId w:val="2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restructured loan bears no stated interest, and the repayment schedule requires fixed installment payments through the contractual maturity date. If the Company fails to comply with the payment schedule, interest at a rate of 18.0% would be retroactively applied to the unpaid balance. During the term of the revised loan, the Company remained in compliance with the payment schedule, and no contingent interest has been recorded as of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60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84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0" w:type="dxa"/>
            <w:vAlign w:val="bottom"/>
          </w:tcPr>
          <w:p>
            <w:pPr>
              <w:spacing w:after="0"/>
              <w:rPr>
                <w:sz w:val="16"/>
                <w:szCs w:val="16"/>
                <w:color w:val="auto"/>
              </w:rPr>
            </w:pPr>
          </w:p>
        </w:tc>
      </w:tr>
      <w:tr>
        <w:trPr>
          <w:trHeight w:val="37"/>
        </w:trPr>
        <w:tc>
          <w:tcPr>
            <w:tcW w:w="6040" w:type="dxa"/>
            <w:vAlign w:val="bottom"/>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166"/>
        </w:trPr>
        <w:tc>
          <w:tcPr>
            <w:tcW w:w="6040" w:type="dxa"/>
            <w:vAlign w:val="bottom"/>
          </w:tcPr>
          <w:p>
            <w:pPr>
              <w:spacing w:after="0"/>
              <w:rPr>
                <w:sz w:val="14"/>
                <w:szCs w:val="14"/>
                <w:color w:val="auto"/>
              </w:rPr>
            </w:pPr>
          </w:p>
        </w:tc>
        <w:tc>
          <w:tcPr>
            <w:tcW w:w="1680" w:type="dxa"/>
            <w:vAlign w:val="bottom"/>
          </w:tcPr>
          <w:p>
            <w:pPr>
              <w:jc w:val="center"/>
              <w:ind w:left="290"/>
              <w:spacing w:after="0"/>
              <w:rPr>
                <w:sz w:val="20"/>
                <w:szCs w:val="20"/>
                <w:color w:val="auto"/>
              </w:rPr>
            </w:pPr>
            <w:r>
              <w:rPr>
                <w:rFonts w:ascii="Times New Roman" w:cs="Times New Roman" w:eastAsia="Times New Roman" w:hAnsi="Times New Roman"/>
                <w:sz w:val="14"/>
                <w:szCs w:val="14"/>
                <w:b w:val="1"/>
                <w:bCs w:val="1"/>
                <w:color w:val="auto"/>
                <w:w w:val="99"/>
              </w:rPr>
              <w:t>Contractual</w:t>
            </w:r>
          </w:p>
        </w:tc>
        <w:tc>
          <w:tcPr>
            <w:tcW w:w="1840" w:type="dxa"/>
            <w:vAlign w:val="bottom"/>
          </w:tcPr>
          <w:p>
            <w:pPr>
              <w:jc w:val="center"/>
              <w:ind w:left="450"/>
              <w:spacing w:after="0"/>
              <w:rPr>
                <w:sz w:val="20"/>
                <w:szCs w:val="20"/>
                <w:color w:val="auto"/>
              </w:rPr>
            </w:pPr>
            <w:r>
              <w:rPr>
                <w:rFonts w:ascii="Times New Roman" w:cs="Times New Roman" w:eastAsia="Times New Roman" w:hAnsi="Times New Roman"/>
                <w:sz w:val="14"/>
                <w:szCs w:val="14"/>
                <w:b w:val="1"/>
                <w:bCs w:val="1"/>
                <w:color w:val="auto"/>
                <w:w w:val="99"/>
              </w:rPr>
              <w:t>Contractual</w:t>
            </w:r>
          </w:p>
        </w:tc>
        <w:tc>
          <w:tcPr>
            <w:tcW w:w="1600" w:type="dxa"/>
            <w:vAlign w:val="bottom"/>
          </w:tcPr>
          <w:p>
            <w:pPr>
              <w:spacing w:after="0"/>
              <w:rPr>
                <w:sz w:val="14"/>
                <w:szCs w:val="14"/>
                <w:color w:val="auto"/>
              </w:rPr>
            </w:pPr>
          </w:p>
        </w:tc>
      </w:tr>
      <w:tr>
        <w:trPr>
          <w:trHeight w:val="158"/>
        </w:trPr>
        <w:tc>
          <w:tcPr>
            <w:tcW w:w="6040" w:type="dxa"/>
            <w:vAlign w:val="bottom"/>
          </w:tcPr>
          <w:p>
            <w:pPr>
              <w:spacing w:after="0"/>
              <w:rPr>
                <w:sz w:val="13"/>
                <w:szCs w:val="13"/>
                <w:color w:val="auto"/>
              </w:rPr>
            </w:pPr>
          </w:p>
        </w:tc>
        <w:tc>
          <w:tcPr>
            <w:tcW w:w="1680" w:type="dxa"/>
            <w:vAlign w:val="bottom"/>
          </w:tcPr>
          <w:p>
            <w:pPr>
              <w:jc w:val="center"/>
              <w:ind w:left="290"/>
              <w:spacing w:after="0" w:line="158" w:lineRule="exact"/>
              <w:rPr>
                <w:sz w:val="20"/>
                <w:szCs w:val="20"/>
                <w:color w:val="auto"/>
              </w:rPr>
            </w:pPr>
            <w:r>
              <w:rPr>
                <w:rFonts w:ascii="Times New Roman" w:cs="Times New Roman" w:eastAsia="Times New Roman" w:hAnsi="Times New Roman"/>
                <w:sz w:val="14"/>
                <w:szCs w:val="14"/>
                <w:b w:val="1"/>
                <w:bCs w:val="1"/>
                <w:color w:val="auto"/>
              </w:rPr>
              <w:t>Maturity</w:t>
            </w:r>
          </w:p>
        </w:tc>
        <w:tc>
          <w:tcPr>
            <w:tcW w:w="1840" w:type="dxa"/>
            <w:vAlign w:val="bottom"/>
          </w:tcPr>
          <w:p>
            <w:pPr>
              <w:jc w:val="center"/>
              <w:ind w:left="430"/>
              <w:spacing w:after="0" w:line="158" w:lineRule="exact"/>
              <w:rPr>
                <w:sz w:val="20"/>
                <w:szCs w:val="20"/>
                <w:color w:val="auto"/>
              </w:rPr>
            </w:pPr>
            <w:r>
              <w:rPr>
                <w:rFonts w:ascii="Times New Roman" w:cs="Times New Roman" w:eastAsia="Times New Roman" w:hAnsi="Times New Roman"/>
                <w:sz w:val="14"/>
                <w:szCs w:val="14"/>
                <w:b w:val="1"/>
                <w:bCs w:val="1"/>
                <w:color w:val="auto"/>
                <w:w w:val="98"/>
              </w:rPr>
              <w:t>Interest</w:t>
            </w:r>
          </w:p>
        </w:tc>
        <w:tc>
          <w:tcPr>
            <w:tcW w:w="1600" w:type="dxa"/>
            <w:vAlign w:val="bottom"/>
          </w:tcPr>
          <w:p>
            <w:pPr>
              <w:spacing w:after="0"/>
              <w:rPr>
                <w:sz w:val="13"/>
                <w:szCs w:val="13"/>
                <w:color w:val="auto"/>
              </w:rPr>
            </w:pPr>
          </w:p>
        </w:tc>
      </w:tr>
      <w:tr>
        <w:trPr>
          <w:trHeight w:val="185"/>
        </w:trPr>
        <w:tc>
          <w:tcPr>
            <w:tcW w:w="60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80" w:type="dxa"/>
            <w:vAlign w:val="bottom"/>
          </w:tcPr>
          <w:p>
            <w:pPr>
              <w:jc w:val="center"/>
              <w:ind w:left="29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840" w:type="dxa"/>
            <w:vAlign w:val="bottom"/>
          </w:tcPr>
          <w:p>
            <w:pPr>
              <w:jc w:val="center"/>
              <w:ind w:left="43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16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Net Carrying Value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7093585" cy="1758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93585" cy="175895"/>
                    </a:xfrm>
                    <a:prstGeom prst="rect">
                      <a:avLst/>
                    </a:prstGeom>
                    <a:noFill/>
                  </pic:spPr>
                </pic:pic>
              </a:graphicData>
            </a:graphic>
          </wp:anchor>
        </w:drawing>
      </w:r>
    </w:p>
    <w:p>
      <w:pPr>
        <w:sectPr>
          <w:pgSz w:w="11900" w:h="16838" w:orient="portrait"/>
          <w:cols w:equalWidth="0" w:num="1">
            <w:col w:w="11180"/>
          </w:cols>
          <w:pgMar w:left="320" w:top="359" w:right="399" w:bottom="1440" w:gutter="0" w:footer="0" w:header="0"/>
        </w:sectPr>
      </w:pP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2023 Unsecured Convertible Note</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Notes Payable — China</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Notes Payable on Demand — China</w:t>
      </w:r>
    </w:p>
    <w:p>
      <w:pPr>
        <w:spacing w:after="0" w:line="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FFGP Note</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Convertible FFGP Note</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Notes</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April 2024 </w:t>
            </w:r>
            <w:r>
              <w:rPr>
                <w:rFonts w:ascii="Times New Roman" w:cs="Times New Roman" w:eastAsia="Times New Roman" w:hAnsi="Times New Roman"/>
                <w:sz w:val="20"/>
                <w:szCs w:val="20"/>
                <w:color w:val="auto"/>
                <w:vertAlign w:val="superscript"/>
              </w:rPr>
              <w:t>(1)</w:t>
            </w:r>
          </w:p>
        </w:tc>
        <w:tc>
          <w:tcPr>
            <w:tcW w:w="176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8"/>
              </w:rPr>
              <w:t>4.27%</w:t>
            </w:r>
          </w:p>
        </w:tc>
        <w:tc>
          <w:tcPr>
            <w:tcW w:w="56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w:t>
            </w:r>
          </w:p>
        </w:tc>
      </w:tr>
      <w:tr>
        <w:trPr>
          <w:trHeight w:val="238"/>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April 2027</w:t>
            </w:r>
          </w:p>
        </w:tc>
        <w:tc>
          <w:tcPr>
            <w:tcW w:w="176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8"/>
              </w:rPr>
              <w:t>18.0%</w:t>
            </w:r>
          </w:p>
        </w:tc>
        <w:tc>
          <w:tcPr>
            <w:tcW w:w="5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4,382</w:t>
            </w:r>
          </w:p>
        </w:tc>
      </w:tr>
      <w:tr>
        <w:trPr>
          <w:trHeight w:val="264"/>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Due on Demand</w:t>
            </w:r>
          </w:p>
        </w:tc>
        <w:tc>
          <w:tcPr>
            <w:tcW w:w="176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6"/>
              </w:rPr>
              <w:t>—%</w:t>
            </w:r>
          </w:p>
        </w:tc>
        <w:tc>
          <w:tcPr>
            <w:tcW w:w="5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r>
      <w:tr>
        <w:trPr>
          <w:trHeight w:val="290"/>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Various </w:t>
            </w:r>
            <w:r>
              <w:rPr>
                <w:rFonts w:ascii="Times New Roman" w:cs="Times New Roman" w:eastAsia="Times New Roman" w:hAnsi="Times New Roman"/>
                <w:sz w:val="20"/>
                <w:szCs w:val="20"/>
                <w:color w:val="auto"/>
                <w:vertAlign w:val="superscript"/>
              </w:rPr>
              <w:t>(1)</w:t>
            </w:r>
          </w:p>
        </w:tc>
        <w:tc>
          <w:tcPr>
            <w:tcW w:w="176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8"/>
              </w:rPr>
              <w:t>4.27%</w:t>
            </w:r>
          </w:p>
        </w:tc>
        <w:tc>
          <w:tcPr>
            <w:tcW w:w="5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w:t>
            </w:r>
          </w:p>
        </w:tc>
      </w:tr>
      <w:tr>
        <w:trPr>
          <w:trHeight w:val="264"/>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May 2024 </w:t>
            </w:r>
            <w:r>
              <w:rPr>
                <w:rFonts w:ascii="Times New Roman" w:cs="Times New Roman" w:eastAsia="Times New Roman" w:hAnsi="Times New Roman"/>
                <w:sz w:val="20"/>
                <w:szCs w:val="20"/>
                <w:color w:val="auto"/>
                <w:vertAlign w:val="superscript"/>
              </w:rPr>
              <w:t>(1)</w:t>
            </w:r>
          </w:p>
        </w:tc>
        <w:tc>
          <w:tcPr>
            <w:tcW w:w="176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8"/>
              </w:rPr>
              <w:t>4.27%</w:t>
            </w:r>
          </w:p>
        </w:tc>
        <w:tc>
          <w:tcPr>
            <w:tcW w:w="5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29"/>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Due on demand</w:t>
            </w:r>
          </w:p>
        </w:tc>
        <w:tc>
          <w:tcPr>
            <w:tcW w:w="176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7"/>
              </w:rPr>
              <w:t>12.00%</w:t>
            </w: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7"/>
        </w:trPr>
        <w:tc>
          <w:tcPr>
            <w:tcW w:w="1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17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56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8,064</w:t>
            </w:r>
          </w:p>
        </w:tc>
      </w:tr>
      <w:tr>
        <w:trPr>
          <w:trHeight w:val="27"/>
        </w:trPr>
        <w:tc>
          <w:tcPr>
            <w:tcW w:w="1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17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-3919855</wp:posOffset>
            </wp:positionH>
            <wp:positionV relativeFrom="paragraph">
              <wp:posOffset>-878840</wp:posOffset>
            </wp:positionV>
            <wp:extent cx="7093585" cy="167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93585" cy="167640"/>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-543560</wp:posOffset>
            </wp:positionV>
            <wp:extent cx="7093585" cy="167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93585" cy="167640"/>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-208915</wp:posOffset>
            </wp:positionV>
            <wp:extent cx="7093585" cy="1924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93585" cy="1924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60" w:space="720"/>
            <w:col w:w="5000"/>
          </w:cols>
          <w:pgMar w:left="320" w:top="359" w:right="399" w:bottom="1440" w:gutter="0" w:footer="0" w:header="0"/>
          <w:type w:val="continuous"/>
        </w:sectPr>
      </w:pP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party notes payable, current</w:t>
            </w:r>
          </w:p>
        </w:tc>
        <w:tc>
          <w:tcPr>
            <w:tcW w:w="402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5,310</w:t>
            </w:r>
          </w:p>
        </w:tc>
      </w:tr>
      <w:tr>
        <w:trPr>
          <w:trHeight w:val="237"/>
        </w:trPr>
        <w:tc>
          <w:tcPr>
            <w:tcW w:w="6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Related party notes payable, long-term</w:t>
            </w:r>
          </w:p>
        </w:tc>
        <w:tc>
          <w:tcPr>
            <w:tcW w:w="402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w:t>
            </w:r>
          </w:p>
        </w:tc>
      </w:tr>
      <w:tr>
        <w:trPr>
          <w:trHeight w:val="264"/>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_______________</w:t>
            </w:r>
          </w:p>
        </w:tc>
        <w:tc>
          <w:tcPr>
            <w:tcW w:w="4020" w:type="dxa"/>
            <w:vAlign w:val="bottom"/>
          </w:tcPr>
          <w:p>
            <w:pPr>
              <w:spacing w:after="0"/>
              <w:rPr>
                <w:sz w:val="22"/>
                <w:szCs w:val="22"/>
                <w:color w:val="auto"/>
              </w:rPr>
            </w:pPr>
          </w:p>
        </w:tc>
        <w:tc>
          <w:tcPr>
            <w:tcW w:w="900" w:type="dxa"/>
            <w:vAlign w:val="bottom"/>
          </w:tcPr>
          <w:p>
            <w:pPr>
              <w:spacing w:after="0"/>
              <w:rPr>
                <w:sz w:val="22"/>
                <w:szCs w:val="22"/>
                <w:color w:val="auto"/>
              </w:rPr>
            </w:pPr>
          </w:p>
        </w:tc>
      </w:tr>
    </w:tbl>
    <w:p>
      <w:pPr>
        <w:spacing w:after="0" w:line="19" w:lineRule="exact"/>
        <w:rPr>
          <w:sz w:val="20"/>
          <w:szCs w:val="20"/>
          <w:color w:val="auto"/>
        </w:rPr>
      </w:pPr>
    </w:p>
    <w:p>
      <w:pPr>
        <w:ind w:left="160" w:hanging="137"/>
        <w:spacing w:after="0"/>
        <w:tabs>
          <w:tab w:leader="none" w:pos="160" w:val="left"/>
        </w:tabs>
        <w:numPr>
          <w:ilvl w:val="0"/>
          <w:numId w:val="2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term was extended upon receipt of waivers of enforcement rights and remedies under the loan agreements, as described below, with the expected settlement in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359" w:right="39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Roll Forward of Related Party Debt by Transaction Type</w:t>
      </w:r>
    </w:p>
    <w:p>
      <w:pPr>
        <w:spacing w:after="0" w:line="125" w:lineRule="exact"/>
        <w:rPr>
          <w:sz w:val="20"/>
          <w:szCs w:val="20"/>
          <w:color w:val="auto"/>
        </w:rPr>
      </w:pPr>
    </w:p>
    <w:p>
      <w:pPr>
        <w:jc w:val="both"/>
        <w:ind w:firstLine="475"/>
        <w:spacing w:after="0" w:line="241" w:lineRule="auto"/>
        <w:rPr>
          <w:sz w:val="20"/>
          <w:szCs w:val="20"/>
          <w:color w:val="auto"/>
        </w:rPr>
      </w:pPr>
      <w:r>
        <w:rPr>
          <w:rFonts w:ascii="Times New Roman" w:cs="Times New Roman" w:eastAsia="Times New Roman" w:hAnsi="Times New Roman"/>
          <w:sz w:val="18"/>
          <w:szCs w:val="18"/>
          <w:color w:val="auto"/>
        </w:rPr>
        <w:t>The following table presents a roll forward of the Company notes payable balances March 31, 2025 to June 30, 2025 with related parties. It summarizes beginning and ending balances by debt category and details changes during the period, including repayments, conversions, reclassifications, fair value adjustments, and other significant transactions.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320" w:type="dxa"/>
            <w:vAlign w:val="bottom"/>
            <w:gridSpan w:val="8"/>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Categories of Related Party Debt</w:t>
            </w: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3"/>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2025 March</w:t>
            </w:r>
          </w:p>
        </w:tc>
        <w:tc>
          <w:tcPr>
            <w:tcW w:w="140" w:type="dxa"/>
            <w:vAlign w:val="bottom"/>
          </w:tcPr>
          <w:p>
            <w:pPr>
              <w:spacing w:after="0"/>
              <w:rPr>
                <w:sz w:val="14"/>
                <w:szCs w:val="14"/>
                <w:color w:val="auto"/>
              </w:rPr>
            </w:pPr>
          </w:p>
        </w:tc>
        <w:tc>
          <w:tcPr>
            <w:tcW w:w="10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Unsecured</w:t>
            </w:r>
          </w:p>
        </w:tc>
        <w:tc>
          <w:tcPr>
            <w:tcW w:w="11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Notes Payable —</w:t>
            </w: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Notes Payable on</w:t>
            </w:r>
          </w:p>
        </w:tc>
        <w:tc>
          <w:tcPr>
            <w:tcW w:w="140" w:type="dxa"/>
            <w:vAlign w:val="bottom"/>
          </w:tcPr>
          <w:p>
            <w:pPr>
              <w:spacing w:after="0"/>
              <w:rPr>
                <w:sz w:val="14"/>
                <w:szCs w:val="14"/>
                <w:color w:val="auto"/>
              </w:rPr>
            </w:pP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00" w:type="dxa"/>
            <w:vAlign w:val="bottom"/>
          </w:tcPr>
          <w:p>
            <w:pPr>
              <w:spacing w:after="0"/>
              <w:rPr>
                <w:sz w:val="13"/>
                <w:szCs w:val="13"/>
                <w:color w:val="auto"/>
              </w:rPr>
            </w:pPr>
          </w:p>
        </w:tc>
        <w:tc>
          <w:tcPr>
            <w:tcW w:w="1180" w:type="dxa"/>
            <w:vAlign w:val="bottom"/>
            <w:gridSpan w:val="3"/>
          </w:tcPr>
          <w:p>
            <w:pPr>
              <w:jc w:val="center"/>
              <w:ind w:right="100"/>
              <w:spacing w:after="0" w:line="158" w:lineRule="exact"/>
              <w:rPr>
                <w:sz w:val="20"/>
                <w:szCs w:val="20"/>
                <w:color w:val="auto"/>
              </w:rPr>
            </w:pPr>
            <w:r>
              <w:rPr>
                <w:rFonts w:ascii="Times New Roman" w:cs="Times New Roman" w:eastAsia="Times New Roman" w:hAnsi="Times New Roman"/>
                <w:sz w:val="14"/>
                <w:szCs w:val="14"/>
                <w:b w:val="1"/>
                <w:bCs w:val="1"/>
                <w:color w:val="auto"/>
                <w:w w:val="98"/>
              </w:rPr>
              <w:t>Unsecured SPA</w:t>
            </w:r>
          </w:p>
        </w:tc>
        <w:tc>
          <w:tcPr>
            <w:tcW w:w="14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18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4"/>
                <w:szCs w:val="14"/>
                <w:b w:val="1"/>
                <w:bCs w:val="1"/>
                <w:color w:val="auto"/>
                <w:w w:val="99"/>
              </w:rPr>
              <w:t>Demand —</w:t>
            </w:r>
          </w:p>
        </w:tc>
        <w:tc>
          <w:tcPr>
            <w:tcW w:w="14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4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Notes</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Convertible Note</w:t>
            </w:r>
          </w:p>
        </w:tc>
        <w:tc>
          <w:tcPr>
            <w:tcW w:w="220" w:type="dxa"/>
            <w:vAlign w:val="bottom"/>
          </w:tcPr>
          <w:p>
            <w:pPr>
              <w:spacing w:after="0"/>
              <w:rPr>
                <w:sz w:val="17"/>
                <w:szCs w:val="17"/>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China</w:t>
            </w:r>
          </w:p>
        </w:tc>
        <w:tc>
          <w:tcPr>
            <w:tcW w:w="14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China</w:t>
            </w:r>
          </w:p>
        </w:tc>
        <w:tc>
          <w:tcPr>
            <w:tcW w:w="140" w:type="dxa"/>
            <w:vAlign w:val="bottom"/>
          </w:tcPr>
          <w:p>
            <w:pPr>
              <w:spacing w:after="0"/>
              <w:rPr>
                <w:sz w:val="17"/>
                <w:szCs w:val="17"/>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FFGP Note</w:t>
            </w:r>
          </w:p>
        </w:tc>
        <w:tc>
          <w:tcPr>
            <w:tcW w:w="140" w:type="dxa"/>
            <w:vAlign w:val="bottom"/>
          </w:tcPr>
          <w:p>
            <w:pPr>
              <w:spacing w:after="0"/>
              <w:rPr>
                <w:sz w:val="17"/>
                <w:szCs w:val="17"/>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FFGP Note</w:t>
            </w:r>
          </w:p>
        </w:tc>
        <w:tc>
          <w:tcPr>
            <w:tcW w:w="120" w:type="dxa"/>
            <w:vAlign w:val="bottom"/>
          </w:tcPr>
          <w:p>
            <w:pPr>
              <w:spacing w:after="0"/>
              <w:rPr>
                <w:sz w:val="17"/>
                <w:szCs w:val="17"/>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Other Notes</w:t>
            </w:r>
          </w:p>
        </w:tc>
        <w:tc>
          <w:tcPr>
            <w:tcW w:w="200" w:type="dxa"/>
            <w:vAlign w:val="bottom"/>
          </w:tcPr>
          <w:p>
            <w:pPr>
              <w:spacing w:after="0"/>
              <w:rPr>
                <w:sz w:val="17"/>
                <w:szCs w:val="17"/>
                <w:color w:val="auto"/>
              </w:rPr>
            </w:pPr>
          </w:p>
        </w:tc>
        <w:tc>
          <w:tcPr>
            <w:tcW w:w="760" w:type="dxa"/>
            <w:vAlign w:val="bottom"/>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
        </w:trPr>
        <w:tc>
          <w:tcPr>
            <w:tcW w:w="2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200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4"/>
                <w:szCs w:val="14"/>
                <w:b w:val="1"/>
                <w:bCs w:val="1"/>
                <w:color w:val="auto"/>
              </w:rPr>
              <w:t>Balance as of March 31, 2025</w:t>
            </w: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1,576</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7,123</w:t>
            </w:r>
          </w:p>
        </w:tc>
        <w:tc>
          <w:tcPr>
            <w:tcW w:w="0" w:type="dxa"/>
            <w:vAlign w:val="bottom"/>
          </w:tcPr>
          <w:p>
            <w:pPr>
              <w:spacing w:after="0"/>
              <w:rPr>
                <w:sz w:val="1"/>
                <w:szCs w:val="1"/>
                <w:color w:val="auto"/>
              </w:rPr>
            </w:pPr>
          </w:p>
        </w:tc>
      </w:tr>
      <w:tr>
        <w:trPr>
          <w:trHeight w:val="187"/>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 Issuances (b)</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1,212</w:t>
            </w:r>
          </w:p>
        </w:tc>
        <w:tc>
          <w:tcPr>
            <w:tcW w:w="0" w:type="dxa"/>
            <w:vAlign w:val="bottom"/>
          </w:tcPr>
          <w:p>
            <w:pPr>
              <w:spacing w:after="0"/>
              <w:rPr>
                <w:sz w:val="1"/>
                <w:szCs w:val="1"/>
                <w:color w:val="auto"/>
              </w:rPr>
            </w:pPr>
          </w:p>
        </w:tc>
      </w:tr>
      <w:tr>
        <w:trPr>
          <w:trHeight w:val="37"/>
        </w:trPr>
        <w:tc>
          <w:tcPr>
            <w:tcW w:w="2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Repayment of Debt (c)</w:t>
            </w: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0" w:type="dxa"/>
            <w:vAlign w:val="bottom"/>
          </w:tcPr>
          <w:p>
            <w:pPr>
              <w:spacing w:after="0"/>
              <w:rPr>
                <w:sz w:val="1"/>
                <w:szCs w:val="1"/>
                <w:color w:val="auto"/>
              </w:rPr>
            </w:pPr>
          </w:p>
        </w:tc>
      </w:tr>
      <w:tr>
        <w:trPr>
          <w:trHeight w:val="187"/>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Conversion of Debt to Equity (d)</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(792)</w:t>
            </w:r>
          </w:p>
        </w:tc>
        <w:tc>
          <w:tcPr>
            <w:tcW w:w="0" w:type="dxa"/>
            <w:vAlign w:val="bottom"/>
          </w:tcPr>
          <w:p>
            <w:pPr>
              <w:spacing w:after="0"/>
              <w:rPr>
                <w:sz w:val="1"/>
                <w:szCs w:val="1"/>
                <w:color w:val="auto"/>
              </w:rPr>
            </w:pPr>
          </w:p>
        </w:tc>
      </w:tr>
      <w:tr>
        <w:trPr>
          <w:trHeight w:val="37"/>
        </w:trPr>
        <w:tc>
          <w:tcPr>
            <w:tcW w:w="2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Adjustments of Debt</w:t>
            </w: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w:t>
            </w: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0" w:type="dxa"/>
            <w:vAlign w:val="bottom"/>
          </w:tcPr>
          <w:p>
            <w:pPr>
              <w:spacing w:after="0"/>
              <w:rPr>
                <w:sz w:val="1"/>
                <w:szCs w:val="1"/>
                <w:color w:val="auto"/>
              </w:rPr>
            </w:pPr>
          </w:p>
        </w:tc>
      </w:tr>
      <w:tr>
        <w:trPr>
          <w:trHeight w:val="175"/>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Reclassification of Debt</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Between Debt Categories (d)</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4"/>
        </w:trPr>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Adjustments (e)</w:t>
            </w:r>
          </w:p>
        </w:tc>
        <w:tc>
          <w:tcPr>
            <w:tcW w:w="1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212"/>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June 30, 2025 (f)</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1,463</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4,271</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Borders>
              <w:right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7,563</w:t>
            </w: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4" w:lineRule="exact"/>
        <w:rPr>
          <w:sz w:val="20"/>
          <w:szCs w:val="20"/>
          <w:color w:val="auto"/>
        </w:rPr>
      </w:pPr>
    </w:p>
    <w:p>
      <w:pPr>
        <w:ind w:left="220" w:hanging="197"/>
        <w:spacing w:after="0"/>
        <w:tabs>
          <w:tab w:leader="none" w:pos="2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carrying value for each note category, fair value or amortized cost depending on the election, as of March 31, 2025.</w:t>
      </w:r>
    </w:p>
    <w:p>
      <w:pPr>
        <w:spacing w:after="0" w:line="63" w:lineRule="exact"/>
        <w:rPr>
          <w:rFonts w:ascii="Times New Roman" w:cs="Times New Roman" w:eastAsia="Times New Roman" w:hAnsi="Times New Roman"/>
          <w:sz w:val="14"/>
          <w:szCs w:val="14"/>
          <w:color w:val="auto"/>
        </w:rPr>
      </w:pPr>
    </w:p>
    <w:p>
      <w:pPr>
        <w:ind w:left="20" w:right="240" w:firstLine="3"/>
        <w:spacing w:after="0" w:line="262" w:lineRule="auto"/>
        <w:tabs>
          <w:tab w:leader="none" w:pos="219"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instruments issued during the period, recorded at fair value upon issuance if the fair value option is elected, or at principal balance net of discounts. For notes measured at fair value, the aggregate fair value adjustment recognized at issuance reduced the principal amount of notes issued during the period by $1,515 thousand. This reduction reflects the allocation of total transaction proceeds between the SPA Notes and the related SPA Warrants and Incremental Warrants issued as part of the bundled transaction.</w:t>
      </w:r>
    </w:p>
    <w:p>
      <w:pPr>
        <w:spacing w:after="0" w:line="26" w:lineRule="exact"/>
        <w:rPr>
          <w:rFonts w:ascii="Times New Roman" w:cs="Times New Roman" w:eastAsia="Times New Roman" w:hAnsi="Times New Roman"/>
          <w:sz w:val="14"/>
          <w:szCs w:val="14"/>
          <w:color w:val="auto"/>
        </w:rPr>
      </w:pPr>
    </w:p>
    <w:p>
      <w:pPr>
        <w:ind w:left="220" w:hanging="197"/>
        <w:spacing w:after="0"/>
        <w:tabs>
          <w:tab w:leader="none" w:pos="2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repayments of principal amounts during the period.</w:t>
      </w:r>
    </w:p>
    <w:p>
      <w:pPr>
        <w:spacing w:after="0" w:line="63" w:lineRule="exact"/>
        <w:rPr>
          <w:rFonts w:ascii="Times New Roman" w:cs="Times New Roman" w:eastAsia="Times New Roman" w:hAnsi="Times New Roman"/>
          <w:sz w:val="14"/>
          <w:szCs w:val="14"/>
          <w:color w:val="auto"/>
        </w:rPr>
      </w:pPr>
    </w:p>
    <w:p>
      <w:pPr>
        <w:ind w:left="220" w:hanging="197"/>
        <w:spacing w:after="0"/>
        <w:tabs>
          <w:tab w:leader="none" w:pos="2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 of debt converted into equity during the period.</w:t>
      </w:r>
    </w:p>
    <w:p>
      <w:pPr>
        <w:spacing w:after="0" w:line="63" w:lineRule="exact"/>
        <w:rPr>
          <w:rFonts w:ascii="Times New Roman" w:cs="Times New Roman" w:eastAsia="Times New Roman" w:hAnsi="Times New Roman"/>
          <w:sz w:val="14"/>
          <w:szCs w:val="14"/>
          <w:color w:val="auto"/>
        </w:rPr>
      </w:pPr>
    </w:p>
    <w:p>
      <w:pPr>
        <w:ind w:left="20" w:right="80" w:firstLine="3"/>
        <w:spacing w:after="0" w:line="262" w:lineRule="auto"/>
        <w:tabs>
          <w:tab w:leader="none" w:pos="211"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Adjustments to debt fair value due to the fair value option election, embedded derivatives, or anti-dilution provisions. These adjustments are presented as a component of 'Change in fair value of notes payable, warrant liabilities, and call option derivatives' in the Unaudited Condensed Consolidated Statements of Operations. Line item 'Change in fair value of notes payable, warrant liabilities, and call option derivatives' also includes debt issuance costs of $109 thousand, which are separately identifiable from the fair value adjustments noted above.</w:t>
      </w:r>
    </w:p>
    <w:p>
      <w:pPr>
        <w:spacing w:after="0" w:line="27" w:lineRule="exact"/>
        <w:rPr>
          <w:sz w:val="20"/>
          <w:szCs w:val="20"/>
          <w:color w:val="auto"/>
        </w:rPr>
      </w:pPr>
    </w:p>
    <w:p>
      <w:pPr>
        <w:ind w:left="220" w:hanging="197"/>
        <w:spacing w:after="0"/>
        <w:tabs>
          <w:tab w:leader="none" w:pos="2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of amounts between debt categories, such as from secured to unsecured classifications.</w:t>
      </w:r>
    </w:p>
    <w:p>
      <w:pPr>
        <w:spacing w:after="0" w:line="63" w:lineRule="exact"/>
        <w:rPr>
          <w:rFonts w:ascii="Times New Roman" w:cs="Times New Roman" w:eastAsia="Times New Roman" w:hAnsi="Times New Roman"/>
          <w:sz w:val="14"/>
          <w:szCs w:val="14"/>
          <w:color w:val="auto"/>
        </w:rPr>
      </w:pPr>
    </w:p>
    <w:p>
      <w:pPr>
        <w:ind w:left="220" w:hanging="197"/>
        <w:spacing w:after="0"/>
        <w:tabs>
          <w:tab w:leader="none" w:pos="2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Miscellaneous changes not captured in other columns, such as currency adjustments and reclassification to accrued expenses.</w:t>
      </w:r>
    </w:p>
    <w:p>
      <w:pPr>
        <w:spacing w:after="0" w:line="63" w:lineRule="exact"/>
        <w:rPr>
          <w:rFonts w:ascii="Times New Roman" w:cs="Times New Roman" w:eastAsia="Times New Roman" w:hAnsi="Times New Roman"/>
          <w:sz w:val="14"/>
          <w:szCs w:val="14"/>
          <w:color w:val="auto"/>
        </w:rPr>
      </w:pPr>
    </w:p>
    <w:p>
      <w:pPr>
        <w:ind w:left="200" w:hanging="177"/>
        <w:spacing w:after="0"/>
        <w:tabs>
          <w:tab w:leader="none" w:pos="2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carrying value for each note category, fair value or amortized cost depending on the election, as of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90" w:lineRule="exact"/>
        <w:rPr>
          <w:sz w:val="20"/>
          <w:szCs w:val="20"/>
          <w:color w:val="auto"/>
        </w:rPr>
      </w:pPr>
    </w:p>
    <w:p>
      <w:pPr>
        <w:jc w:val="both"/>
        <w:ind w:firstLine="475"/>
        <w:spacing w:after="0" w:line="241" w:lineRule="auto"/>
        <w:rPr>
          <w:sz w:val="20"/>
          <w:szCs w:val="20"/>
          <w:color w:val="auto"/>
        </w:rPr>
      </w:pPr>
      <w:r>
        <w:rPr>
          <w:rFonts w:ascii="Times New Roman" w:cs="Times New Roman" w:eastAsia="Times New Roman" w:hAnsi="Times New Roman"/>
          <w:sz w:val="18"/>
          <w:szCs w:val="18"/>
          <w:color w:val="auto"/>
        </w:rPr>
        <w:t>The following table presents a roll forward of the Company’s Related party notes payable balances March 31, 2024 to June 30, 2024. It summarizes beginning and ending balances by debt category and details changes during the period, including repayments, conversions, reclassifications, fair value adjustments, and other significant transactions.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6"/>
          </w:tcPr>
          <w:p>
            <w:pPr>
              <w:jc w:val="center"/>
              <w:ind w:left="430"/>
              <w:spacing w:after="0"/>
              <w:rPr>
                <w:sz w:val="20"/>
                <w:szCs w:val="20"/>
                <w:color w:val="auto"/>
              </w:rPr>
            </w:pPr>
            <w:r>
              <w:rPr>
                <w:rFonts w:ascii="Times New Roman" w:cs="Times New Roman" w:eastAsia="Times New Roman" w:hAnsi="Times New Roman"/>
                <w:sz w:val="14"/>
                <w:szCs w:val="14"/>
                <w:b w:val="1"/>
                <w:bCs w:val="1"/>
                <w:color w:val="auto"/>
              </w:rPr>
              <w:t>Categories of Related Party Debt</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37"/>
        </w:trPr>
        <w:tc>
          <w:tcPr>
            <w:tcW w:w="41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53"/>
        </w:trPr>
        <w:tc>
          <w:tcPr>
            <w:tcW w:w="4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160"/>
              <w:spacing w:after="0" w:line="153" w:lineRule="exact"/>
              <w:rPr>
                <w:sz w:val="20"/>
                <w:szCs w:val="20"/>
                <w:color w:val="auto"/>
              </w:rPr>
            </w:pPr>
            <w:r>
              <w:rPr>
                <w:rFonts w:ascii="Times New Roman" w:cs="Times New Roman" w:eastAsia="Times New Roman" w:hAnsi="Times New Roman"/>
                <w:sz w:val="14"/>
                <w:szCs w:val="14"/>
                <w:b w:val="1"/>
                <w:bCs w:val="1"/>
                <w:color w:val="auto"/>
                <w:w w:val="99"/>
              </w:rPr>
              <w:t>Notes Payable</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8"/>
        </w:trPr>
        <w:tc>
          <w:tcPr>
            <w:tcW w:w="4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4"/>
                <w:szCs w:val="14"/>
                <w:b w:val="1"/>
                <w:bCs w:val="1"/>
                <w:color w:val="auto"/>
              </w:rPr>
              <w:t>Unsecured</w:t>
            </w:r>
          </w:p>
        </w:tc>
        <w:tc>
          <w:tcPr>
            <w:tcW w:w="1220" w:type="dxa"/>
            <w:vAlign w:val="bottom"/>
            <w:gridSpan w:val="3"/>
          </w:tcPr>
          <w:p>
            <w:pPr>
              <w:jc w:val="center"/>
              <w:ind w:right="120"/>
              <w:spacing w:after="0" w:line="158" w:lineRule="exact"/>
              <w:rPr>
                <w:sz w:val="20"/>
                <w:szCs w:val="20"/>
                <w:color w:val="auto"/>
              </w:rPr>
            </w:pPr>
            <w:r>
              <w:rPr>
                <w:rFonts w:ascii="Times New Roman" w:cs="Times New Roman" w:eastAsia="Times New Roman" w:hAnsi="Times New Roman"/>
                <w:sz w:val="14"/>
                <w:szCs w:val="14"/>
                <w:b w:val="1"/>
                <w:bCs w:val="1"/>
                <w:color w:val="auto"/>
              </w:rPr>
              <w:t>Notes Payable —</w:t>
            </w:r>
          </w:p>
        </w:tc>
        <w:tc>
          <w:tcPr>
            <w:tcW w:w="1120" w:type="dxa"/>
            <w:vAlign w:val="bottom"/>
            <w:gridSpan w:val="3"/>
          </w:tcPr>
          <w:p>
            <w:pPr>
              <w:jc w:val="center"/>
              <w:ind w:right="100"/>
              <w:spacing w:after="0" w:line="158" w:lineRule="exact"/>
              <w:rPr>
                <w:sz w:val="20"/>
                <w:szCs w:val="20"/>
                <w:color w:val="auto"/>
              </w:rPr>
            </w:pPr>
            <w:r>
              <w:rPr>
                <w:rFonts w:ascii="Times New Roman" w:cs="Times New Roman" w:eastAsia="Times New Roman" w:hAnsi="Times New Roman"/>
                <w:sz w:val="14"/>
                <w:szCs w:val="14"/>
                <w:b w:val="1"/>
                <w:bCs w:val="1"/>
                <w:color w:val="auto"/>
                <w:w w:val="99"/>
              </w:rPr>
              <w:t>on Demand —</w:t>
            </w:r>
          </w:p>
        </w:tc>
        <w:tc>
          <w:tcPr>
            <w:tcW w:w="1320" w:type="dxa"/>
            <w:vAlign w:val="bottom"/>
            <w:gridSpan w:val="3"/>
          </w:tcPr>
          <w:p>
            <w:pPr>
              <w:jc w:val="center"/>
              <w:ind w:right="100"/>
              <w:spacing w:after="0" w:line="158" w:lineRule="exact"/>
              <w:rPr>
                <w:sz w:val="20"/>
                <w:szCs w:val="20"/>
                <w:color w:val="auto"/>
              </w:rPr>
            </w:pPr>
            <w:r>
              <w:rPr>
                <w:rFonts w:ascii="Times New Roman" w:cs="Times New Roman" w:eastAsia="Times New Roman" w:hAnsi="Times New Roman"/>
                <w:sz w:val="14"/>
                <w:szCs w:val="14"/>
                <w:b w:val="1"/>
                <w:bCs w:val="1"/>
                <w:color w:val="auto"/>
                <w:w w:val="99"/>
              </w:rPr>
              <w:t>Convertible FFGP</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98"/>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2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Convertible Note</w:t>
            </w:r>
          </w:p>
        </w:tc>
        <w:tc>
          <w:tcPr>
            <w:tcW w:w="2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China</w:t>
            </w:r>
          </w:p>
        </w:tc>
        <w:tc>
          <w:tcPr>
            <w:tcW w:w="80" w:type="dxa"/>
            <w:vAlign w:val="bottom"/>
          </w:tcPr>
          <w:p>
            <w:pPr>
              <w:spacing w:after="0"/>
              <w:rPr>
                <w:sz w:val="17"/>
                <w:szCs w:val="17"/>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China</w:t>
            </w:r>
          </w:p>
        </w:tc>
        <w:tc>
          <w:tcPr>
            <w:tcW w:w="440" w:type="dxa"/>
            <w:vAlign w:val="bottom"/>
          </w:tcPr>
          <w:p>
            <w:pPr>
              <w:spacing w:after="0"/>
              <w:rPr>
                <w:sz w:val="17"/>
                <w:szCs w:val="17"/>
                <w:color w:val="auto"/>
              </w:rPr>
            </w:pPr>
          </w:p>
        </w:tc>
        <w:tc>
          <w:tcPr>
            <w:tcW w:w="8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120" w:type="dxa"/>
            <w:vAlign w:val="bottom"/>
          </w:tcPr>
          <w:p>
            <w:pPr>
              <w:spacing w:after="0"/>
              <w:rPr>
                <w:sz w:val="17"/>
                <w:szCs w:val="17"/>
                <w:color w:val="auto"/>
              </w:rPr>
            </w:pP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FFGP Note</w:t>
            </w:r>
          </w:p>
        </w:tc>
        <w:tc>
          <w:tcPr>
            <w:tcW w:w="180" w:type="dxa"/>
            <w:vAlign w:val="bottom"/>
          </w:tcPr>
          <w:p>
            <w:pPr>
              <w:spacing w:after="0"/>
              <w:rPr>
                <w:sz w:val="17"/>
                <w:szCs w:val="17"/>
                <w:color w:val="auto"/>
              </w:rPr>
            </w:pPr>
          </w:p>
        </w:tc>
        <w:tc>
          <w:tcPr>
            <w:tcW w:w="700" w:type="dxa"/>
            <w:vAlign w:val="bottom"/>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41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197"/>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March 31, 2024 (a)</w:t>
            </w:r>
          </w:p>
        </w:tc>
        <w:tc>
          <w:tcPr>
            <w:tcW w:w="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1,632</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7,612</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3,759</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14,829</w:t>
            </w:r>
          </w:p>
        </w:tc>
      </w:tr>
      <w:tr>
        <w:trPr>
          <w:trHeight w:val="187"/>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Adjustments of Debt (b)</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tcBorders>
              <w:right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w:t>
            </w:r>
          </w:p>
        </w:tc>
      </w:tr>
      <w:tr>
        <w:trPr>
          <w:trHeight w:val="37"/>
        </w:trPr>
        <w:tc>
          <w:tcPr>
            <w:tcW w:w="4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24"/>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Adjustments (c)</w:t>
            </w:r>
          </w:p>
        </w:tc>
        <w:tc>
          <w:tcPr>
            <w:tcW w:w="1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right w:val="single" w:sz="8" w:color="auto"/>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12"/>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June 30, 2024 (d)</w:t>
            </w: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1,951</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7,577</w:t>
            </w:r>
          </w:p>
        </w:tc>
        <w:tc>
          <w:tcPr>
            <w:tcW w:w="1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3,805</w:t>
            </w:r>
          </w:p>
        </w:tc>
        <w:tc>
          <w:tcPr>
            <w:tcW w:w="10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1,576</w:t>
            </w: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15,159</w:t>
            </w:r>
          </w:p>
        </w:tc>
      </w:tr>
      <w:tr>
        <w:trPr>
          <w:trHeight w:val="25"/>
        </w:trPr>
        <w:tc>
          <w:tcPr>
            <w:tcW w:w="4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31" w:lineRule="exact"/>
        <w:rPr>
          <w:sz w:val="20"/>
          <w:szCs w:val="20"/>
          <w:color w:val="auto"/>
        </w:rPr>
      </w:pPr>
    </w:p>
    <w:p>
      <w:pPr>
        <w:ind w:left="220" w:hanging="197"/>
        <w:spacing w:after="0"/>
        <w:tabs>
          <w:tab w:leader="none" w:pos="2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carrying value for each note category, fair value or amortized cost depending on the election, as of March 31, 2024.</w:t>
      </w:r>
    </w:p>
    <w:p>
      <w:pPr>
        <w:spacing w:after="0" w:line="63" w:lineRule="exact"/>
        <w:rPr>
          <w:rFonts w:ascii="Times New Roman" w:cs="Times New Roman" w:eastAsia="Times New Roman" w:hAnsi="Times New Roman"/>
          <w:sz w:val="14"/>
          <w:szCs w:val="14"/>
          <w:color w:val="auto"/>
        </w:rPr>
      </w:pPr>
    </w:p>
    <w:p>
      <w:pPr>
        <w:ind w:left="20" w:right="160" w:firstLine="3"/>
        <w:spacing w:after="0" w:line="288" w:lineRule="auto"/>
        <w:tabs>
          <w:tab w:leader="none" w:pos="219"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Adjustments to debt fair value due to the fair value option election, embedded derivatives, or anti-dilution provisions. These adjustments are presented as a component of Change in fair value of notes payable, warrant liabilities, and call option derivatives in the Unaudited Condensed Consolidated Statements of Operations.</w:t>
      </w:r>
    </w:p>
    <w:p>
      <w:pPr>
        <w:spacing w:after="0" w:line="9" w:lineRule="exact"/>
        <w:rPr>
          <w:rFonts w:ascii="Times New Roman" w:cs="Times New Roman" w:eastAsia="Times New Roman" w:hAnsi="Times New Roman"/>
          <w:sz w:val="14"/>
          <w:szCs w:val="14"/>
          <w:color w:val="auto"/>
        </w:rPr>
      </w:pPr>
    </w:p>
    <w:p>
      <w:pPr>
        <w:ind w:left="220" w:hanging="197"/>
        <w:spacing w:after="0"/>
        <w:tabs>
          <w:tab w:leader="none" w:pos="2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Miscellaneous changes not captured in other columns, such as currency adjustments.</w:t>
      </w:r>
    </w:p>
    <w:p>
      <w:pPr>
        <w:spacing w:after="0" w:line="63" w:lineRule="exact"/>
        <w:rPr>
          <w:rFonts w:ascii="Times New Roman" w:cs="Times New Roman" w:eastAsia="Times New Roman" w:hAnsi="Times New Roman"/>
          <w:sz w:val="14"/>
          <w:szCs w:val="14"/>
          <w:color w:val="auto"/>
        </w:rPr>
      </w:pPr>
    </w:p>
    <w:p>
      <w:pPr>
        <w:ind w:left="220" w:hanging="197"/>
        <w:spacing w:after="0"/>
        <w:tabs>
          <w:tab w:leader="none" w:pos="2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carrying value for each note category, fair value or amortized cost depending on the election, as of June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Roll Forward of Related Party Debt by Transaction Type</w:t>
      </w:r>
    </w:p>
    <w:p>
      <w:pPr>
        <w:spacing w:after="0" w:line="125" w:lineRule="exact"/>
        <w:rPr>
          <w:sz w:val="20"/>
          <w:szCs w:val="20"/>
          <w:color w:val="auto"/>
        </w:rPr>
      </w:pPr>
    </w:p>
    <w:p>
      <w:pPr>
        <w:jc w:val="both"/>
        <w:ind w:firstLine="475"/>
        <w:spacing w:after="0" w:line="241" w:lineRule="auto"/>
        <w:rPr>
          <w:sz w:val="20"/>
          <w:szCs w:val="20"/>
          <w:color w:val="auto"/>
        </w:rPr>
      </w:pPr>
      <w:r>
        <w:rPr>
          <w:rFonts w:ascii="Times New Roman" w:cs="Times New Roman" w:eastAsia="Times New Roman" w:hAnsi="Times New Roman"/>
          <w:sz w:val="18"/>
          <w:szCs w:val="18"/>
          <w:color w:val="auto"/>
        </w:rPr>
        <w:t>The following table presents a roll forward of the Company notes payable balances from December 31, 2024 to June 30, 2025 with related parties. It summarizes beginning and ending balances by debt category and details changes during the period, including repayments, conversions, reclassifications, fair value adjustments, and other significant transactions.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320" w:type="dxa"/>
            <w:vAlign w:val="bottom"/>
            <w:gridSpan w:val="8"/>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Categories of Related Party Debt</w:t>
            </w: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3"/>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2025</w:t>
            </w:r>
          </w:p>
        </w:tc>
        <w:tc>
          <w:tcPr>
            <w:tcW w:w="140" w:type="dxa"/>
            <w:vAlign w:val="bottom"/>
          </w:tcPr>
          <w:p>
            <w:pPr>
              <w:spacing w:after="0"/>
              <w:rPr>
                <w:sz w:val="14"/>
                <w:szCs w:val="14"/>
                <w:color w:val="auto"/>
              </w:rPr>
            </w:pPr>
          </w:p>
        </w:tc>
        <w:tc>
          <w:tcPr>
            <w:tcW w:w="10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Unsecured</w:t>
            </w:r>
          </w:p>
        </w:tc>
        <w:tc>
          <w:tcPr>
            <w:tcW w:w="11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Notes Payable —</w:t>
            </w: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Notes Payable on</w:t>
            </w:r>
          </w:p>
        </w:tc>
        <w:tc>
          <w:tcPr>
            <w:tcW w:w="140" w:type="dxa"/>
            <w:vAlign w:val="bottom"/>
          </w:tcPr>
          <w:p>
            <w:pPr>
              <w:spacing w:after="0"/>
              <w:rPr>
                <w:sz w:val="14"/>
                <w:szCs w:val="14"/>
                <w:color w:val="auto"/>
              </w:rPr>
            </w:pP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00" w:type="dxa"/>
            <w:vAlign w:val="bottom"/>
          </w:tcPr>
          <w:p>
            <w:pPr>
              <w:spacing w:after="0"/>
              <w:rPr>
                <w:sz w:val="13"/>
                <w:szCs w:val="13"/>
                <w:color w:val="auto"/>
              </w:rPr>
            </w:pPr>
          </w:p>
        </w:tc>
        <w:tc>
          <w:tcPr>
            <w:tcW w:w="1180" w:type="dxa"/>
            <w:vAlign w:val="bottom"/>
            <w:gridSpan w:val="3"/>
          </w:tcPr>
          <w:p>
            <w:pPr>
              <w:jc w:val="center"/>
              <w:ind w:right="100"/>
              <w:spacing w:after="0" w:line="158" w:lineRule="exact"/>
              <w:rPr>
                <w:sz w:val="20"/>
                <w:szCs w:val="20"/>
                <w:color w:val="auto"/>
              </w:rPr>
            </w:pPr>
            <w:r>
              <w:rPr>
                <w:rFonts w:ascii="Times New Roman" w:cs="Times New Roman" w:eastAsia="Times New Roman" w:hAnsi="Times New Roman"/>
                <w:sz w:val="14"/>
                <w:szCs w:val="14"/>
                <w:b w:val="1"/>
                <w:bCs w:val="1"/>
                <w:color w:val="auto"/>
                <w:w w:val="98"/>
              </w:rPr>
              <w:t>Unsecured SPA</w:t>
            </w:r>
          </w:p>
        </w:tc>
        <w:tc>
          <w:tcPr>
            <w:tcW w:w="14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18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4"/>
                <w:szCs w:val="14"/>
                <w:b w:val="1"/>
                <w:bCs w:val="1"/>
                <w:color w:val="auto"/>
                <w:w w:val="99"/>
              </w:rPr>
              <w:t>Demand —</w:t>
            </w:r>
          </w:p>
        </w:tc>
        <w:tc>
          <w:tcPr>
            <w:tcW w:w="14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4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Notes</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Convertible Note</w:t>
            </w:r>
          </w:p>
        </w:tc>
        <w:tc>
          <w:tcPr>
            <w:tcW w:w="220" w:type="dxa"/>
            <w:vAlign w:val="bottom"/>
          </w:tcPr>
          <w:p>
            <w:pPr>
              <w:spacing w:after="0"/>
              <w:rPr>
                <w:sz w:val="17"/>
                <w:szCs w:val="17"/>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China</w:t>
            </w:r>
          </w:p>
        </w:tc>
        <w:tc>
          <w:tcPr>
            <w:tcW w:w="14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China</w:t>
            </w:r>
          </w:p>
        </w:tc>
        <w:tc>
          <w:tcPr>
            <w:tcW w:w="140" w:type="dxa"/>
            <w:vAlign w:val="bottom"/>
          </w:tcPr>
          <w:p>
            <w:pPr>
              <w:spacing w:after="0"/>
              <w:rPr>
                <w:sz w:val="17"/>
                <w:szCs w:val="17"/>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FFGP Note</w:t>
            </w:r>
          </w:p>
        </w:tc>
        <w:tc>
          <w:tcPr>
            <w:tcW w:w="140" w:type="dxa"/>
            <w:vAlign w:val="bottom"/>
          </w:tcPr>
          <w:p>
            <w:pPr>
              <w:spacing w:after="0"/>
              <w:rPr>
                <w:sz w:val="17"/>
                <w:szCs w:val="17"/>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FFGP Note</w:t>
            </w:r>
          </w:p>
        </w:tc>
        <w:tc>
          <w:tcPr>
            <w:tcW w:w="120" w:type="dxa"/>
            <w:vAlign w:val="bottom"/>
          </w:tcPr>
          <w:p>
            <w:pPr>
              <w:spacing w:after="0"/>
              <w:rPr>
                <w:sz w:val="17"/>
                <w:szCs w:val="17"/>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Other Notes</w:t>
            </w:r>
          </w:p>
        </w:tc>
        <w:tc>
          <w:tcPr>
            <w:tcW w:w="200" w:type="dxa"/>
            <w:vAlign w:val="bottom"/>
          </w:tcPr>
          <w:p>
            <w:pPr>
              <w:spacing w:after="0"/>
              <w:rPr>
                <w:sz w:val="17"/>
                <w:szCs w:val="17"/>
                <w:color w:val="auto"/>
              </w:rPr>
            </w:pPr>
          </w:p>
        </w:tc>
        <w:tc>
          <w:tcPr>
            <w:tcW w:w="760" w:type="dxa"/>
            <w:vAlign w:val="bottom"/>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
        </w:trPr>
        <w:tc>
          <w:tcPr>
            <w:tcW w:w="2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200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Balance as of December 31,</w:t>
            </w: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2024 (a)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1,364</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4,382</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1,576</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8,064</w:t>
            </w:r>
          </w:p>
        </w:tc>
        <w:tc>
          <w:tcPr>
            <w:tcW w:w="0" w:type="dxa"/>
            <w:vAlign w:val="bottom"/>
          </w:tcPr>
          <w:p>
            <w:pPr>
              <w:spacing w:after="0"/>
              <w:rPr>
                <w:sz w:val="1"/>
                <w:szCs w:val="1"/>
                <w:color w:val="auto"/>
              </w:rPr>
            </w:pPr>
          </w:p>
        </w:tc>
      </w:tr>
      <w:tr>
        <w:trPr>
          <w:trHeight w:val="187"/>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 Issuances (b)</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1,833</w:t>
            </w:r>
          </w:p>
        </w:tc>
        <w:tc>
          <w:tcPr>
            <w:tcW w:w="0" w:type="dxa"/>
            <w:vAlign w:val="bottom"/>
          </w:tcPr>
          <w:p>
            <w:pPr>
              <w:spacing w:after="0"/>
              <w:rPr>
                <w:sz w:val="1"/>
                <w:szCs w:val="1"/>
                <w:color w:val="auto"/>
              </w:rPr>
            </w:pPr>
          </w:p>
        </w:tc>
      </w:tr>
      <w:tr>
        <w:trPr>
          <w:trHeight w:val="37"/>
        </w:trPr>
        <w:tc>
          <w:tcPr>
            <w:tcW w:w="2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Repayment of Debt (c)</w:t>
            </w:r>
          </w:p>
        </w:tc>
        <w:tc>
          <w:tcPr>
            <w:tcW w:w="1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w:t>
            </w:r>
          </w:p>
        </w:tc>
        <w:tc>
          <w:tcPr>
            <w:tcW w:w="0" w:type="dxa"/>
            <w:vAlign w:val="bottom"/>
          </w:tcPr>
          <w:p>
            <w:pPr>
              <w:spacing w:after="0"/>
              <w:rPr>
                <w:sz w:val="1"/>
                <w:szCs w:val="1"/>
                <w:color w:val="auto"/>
              </w:rPr>
            </w:pPr>
          </w:p>
        </w:tc>
      </w:tr>
      <w:tr>
        <w:trPr>
          <w:trHeight w:val="187"/>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Conversion of Debt to Equity (d)</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(1,519)</w:t>
            </w:r>
          </w:p>
        </w:tc>
        <w:tc>
          <w:tcPr>
            <w:tcW w:w="0" w:type="dxa"/>
            <w:vAlign w:val="bottom"/>
          </w:tcPr>
          <w:p>
            <w:pPr>
              <w:spacing w:after="0"/>
              <w:rPr>
                <w:sz w:val="1"/>
                <w:szCs w:val="1"/>
                <w:color w:val="auto"/>
              </w:rPr>
            </w:pPr>
          </w:p>
        </w:tc>
      </w:tr>
      <w:tr>
        <w:trPr>
          <w:trHeight w:val="37"/>
        </w:trPr>
        <w:tc>
          <w:tcPr>
            <w:tcW w:w="2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Adjustments of Debt</w:t>
            </w: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w:t>
            </w: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0" w:type="dxa"/>
            <w:vAlign w:val="bottom"/>
          </w:tcPr>
          <w:p>
            <w:pPr>
              <w:spacing w:after="0"/>
              <w:rPr>
                <w:sz w:val="1"/>
                <w:szCs w:val="1"/>
                <w:color w:val="auto"/>
              </w:rPr>
            </w:pPr>
          </w:p>
        </w:tc>
      </w:tr>
      <w:tr>
        <w:trPr>
          <w:trHeight w:val="175"/>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Reclassification of Debt</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Between Debt Categories (f)</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4"/>
        </w:trPr>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Adjustments (g)</w:t>
            </w:r>
          </w:p>
        </w:tc>
        <w:tc>
          <w:tcPr>
            <w:tcW w:w="1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12"/>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June 30, 2025 (h)</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1,463</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4,271</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Borders>
              <w:right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7,563</w:t>
            </w: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4" w:lineRule="exact"/>
        <w:rPr>
          <w:sz w:val="20"/>
          <w:szCs w:val="20"/>
          <w:color w:val="auto"/>
        </w:rPr>
      </w:pPr>
    </w:p>
    <w:p>
      <w:pPr>
        <w:ind w:left="220" w:hanging="197"/>
        <w:spacing w:after="0"/>
        <w:tabs>
          <w:tab w:leader="none" w:pos="2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carrying value for each note category, fair value or amortized cost depending on the election, as of December 31, 2024.</w:t>
      </w:r>
    </w:p>
    <w:p>
      <w:pPr>
        <w:spacing w:after="0" w:line="63" w:lineRule="exact"/>
        <w:rPr>
          <w:rFonts w:ascii="Times New Roman" w:cs="Times New Roman" w:eastAsia="Times New Roman" w:hAnsi="Times New Roman"/>
          <w:sz w:val="14"/>
          <w:szCs w:val="14"/>
          <w:color w:val="auto"/>
        </w:rPr>
      </w:pPr>
    </w:p>
    <w:p>
      <w:pPr>
        <w:ind w:left="20" w:right="240" w:firstLine="3"/>
        <w:spacing w:after="0" w:line="262" w:lineRule="auto"/>
        <w:tabs>
          <w:tab w:leader="none" w:pos="219"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instruments issued during the period, recorded at fair value upon issuance if the fair value option is elected, or at principal balance net of discounts. For notes measured at fair value, the aggregate fair value adjustment recognized at issuance reduced the principal amount of notes issued during the period by $2,767 thousand. This reduction reflects the allocation of total transaction proceeds between the SPA Notes and the related SPA Warrants and Incremental Warrants issued as part of the bundled transaction.</w:t>
      </w:r>
    </w:p>
    <w:p>
      <w:pPr>
        <w:spacing w:after="0" w:line="26" w:lineRule="exact"/>
        <w:rPr>
          <w:rFonts w:ascii="Times New Roman" w:cs="Times New Roman" w:eastAsia="Times New Roman" w:hAnsi="Times New Roman"/>
          <w:sz w:val="14"/>
          <w:szCs w:val="14"/>
          <w:color w:val="auto"/>
        </w:rPr>
      </w:pPr>
    </w:p>
    <w:p>
      <w:pPr>
        <w:ind w:left="220" w:hanging="197"/>
        <w:spacing w:after="0"/>
        <w:tabs>
          <w:tab w:leader="none" w:pos="2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repayments of principal amounts during the period.</w:t>
      </w:r>
    </w:p>
    <w:p>
      <w:pPr>
        <w:spacing w:after="0" w:line="63" w:lineRule="exact"/>
        <w:rPr>
          <w:rFonts w:ascii="Times New Roman" w:cs="Times New Roman" w:eastAsia="Times New Roman" w:hAnsi="Times New Roman"/>
          <w:sz w:val="14"/>
          <w:szCs w:val="14"/>
          <w:color w:val="auto"/>
        </w:rPr>
      </w:pPr>
    </w:p>
    <w:p>
      <w:pPr>
        <w:ind w:left="220" w:hanging="197"/>
        <w:spacing w:after="0"/>
        <w:tabs>
          <w:tab w:leader="none" w:pos="2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 of debt converted into equity during the period.</w:t>
      </w:r>
    </w:p>
    <w:p>
      <w:pPr>
        <w:spacing w:after="0" w:line="63" w:lineRule="exact"/>
        <w:rPr>
          <w:rFonts w:ascii="Times New Roman" w:cs="Times New Roman" w:eastAsia="Times New Roman" w:hAnsi="Times New Roman"/>
          <w:sz w:val="14"/>
          <w:szCs w:val="14"/>
          <w:color w:val="auto"/>
        </w:rPr>
      </w:pPr>
    </w:p>
    <w:p>
      <w:pPr>
        <w:ind w:left="20" w:right="80" w:firstLine="3"/>
        <w:spacing w:after="0" w:line="262" w:lineRule="auto"/>
        <w:tabs>
          <w:tab w:leader="none" w:pos="211"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Adjustments to debt fair value due to the fair value option election, embedded derivatives, or anti-dilution provisions. These adjustments are presented as a component of 'Change in fair value of notes payable, warrant liabilities, and call option derivatives' in the Unaudited Condensed Consolidated Statements of Operations. Line item 'Change in fair value of notes payable, warrant liabilities, and call option derivatives' also includes debt issuance costs of $184 thousand, which are separately identifiable from the fair value adjustments noted above.</w:t>
      </w:r>
    </w:p>
    <w:p>
      <w:pPr>
        <w:spacing w:after="0" w:line="27" w:lineRule="exact"/>
        <w:rPr>
          <w:sz w:val="20"/>
          <w:szCs w:val="20"/>
          <w:color w:val="auto"/>
        </w:rPr>
      </w:pPr>
    </w:p>
    <w:p>
      <w:pPr>
        <w:ind w:left="220" w:hanging="197"/>
        <w:spacing w:after="0"/>
        <w:tabs>
          <w:tab w:leader="none" w:pos="2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Miscellaneous changes not captured in other columns, such as currency adjustments and reclassification to accrued expenses.</w:t>
      </w:r>
    </w:p>
    <w:p>
      <w:pPr>
        <w:spacing w:after="0" w:line="63" w:lineRule="exact"/>
        <w:rPr>
          <w:rFonts w:ascii="Times New Roman" w:cs="Times New Roman" w:eastAsia="Times New Roman" w:hAnsi="Times New Roman"/>
          <w:sz w:val="14"/>
          <w:szCs w:val="14"/>
          <w:color w:val="auto"/>
        </w:rPr>
      </w:pPr>
    </w:p>
    <w:p>
      <w:pPr>
        <w:ind w:left="220" w:hanging="197"/>
        <w:spacing w:after="0"/>
        <w:tabs>
          <w:tab w:leader="none" w:pos="2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carrying value for each note category, fair value or amortized cost depending on the election, as of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90" w:lineRule="exact"/>
        <w:rPr>
          <w:sz w:val="20"/>
          <w:szCs w:val="20"/>
          <w:color w:val="auto"/>
        </w:rPr>
      </w:pPr>
    </w:p>
    <w:p>
      <w:pPr>
        <w:jc w:val="both"/>
        <w:ind w:firstLine="475"/>
        <w:spacing w:after="0" w:line="241" w:lineRule="auto"/>
        <w:rPr>
          <w:sz w:val="20"/>
          <w:szCs w:val="20"/>
          <w:color w:val="auto"/>
        </w:rPr>
      </w:pPr>
      <w:r>
        <w:rPr>
          <w:rFonts w:ascii="Times New Roman" w:cs="Times New Roman" w:eastAsia="Times New Roman" w:hAnsi="Times New Roman"/>
          <w:sz w:val="18"/>
          <w:szCs w:val="18"/>
          <w:color w:val="auto"/>
        </w:rPr>
        <w:t>The following table presents a roll forward of the Company’s Related party notes payable balances from December 31, 2023 to June 30, 2024. It summarizes beginning and ending balances by debt category and details changes during the period, including repayments, conversions, reclassifications, fair value adjustments, and other significant transactions.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Categories of Related Party Debt</w:t>
            </w: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37"/>
        </w:trPr>
        <w:tc>
          <w:tcPr>
            <w:tcW w:w="2860" w:type="dxa"/>
            <w:vAlign w:val="bottom"/>
          </w:tcPr>
          <w:p>
            <w:pPr>
              <w:spacing w:after="0"/>
              <w:rPr>
                <w:sz w:val="3"/>
                <w:szCs w:val="3"/>
                <w:color w:val="auto"/>
              </w:rPr>
            </w:pPr>
          </w:p>
        </w:tc>
        <w:tc>
          <w:tcPr>
            <w:tcW w:w="1260" w:type="dxa"/>
            <w:vAlign w:val="bottom"/>
            <w:tcBorders>
              <w:bottom w:val="single" w:sz="8" w:color="auto"/>
            </w:tcBorders>
            <w:gridSpan w:val="3"/>
          </w:tcPr>
          <w:p>
            <w:pPr>
              <w:spacing w:after="0"/>
              <w:rPr>
                <w:sz w:val="3"/>
                <w:szCs w:val="3"/>
                <w:color w:val="auto"/>
              </w:rPr>
            </w:pPr>
          </w:p>
        </w:tc>
        <w:tc>
          <w:tcPr>
            <w:tcW w:w="118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1280" w:type="dxa"/>
            <w:vAlign w:val="bottom"/>
            <w:tcBorders>
              <w:bottom w:val="single" w:sz="8" w:color="auto"/>
            </w:tcBorders>
            <w:gridSpan w:val="3"/>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53"/>
        </w:trPr>
        <w:tc>
          <w:tcPr>
            <w:tcW w:w="2860" w:type="dxa"/>
            <w:vAlign w:val="bottom"/>
          </w:tcPr>
          <w:p>
            <w:pPr>
              <w:spacing w:after="0"/>
              <w:rPr>
                <w:sz w:val="13"/>
                <w:szCs w:val="13"/>
                <w:color w:val="auto"/>
              </w:rPr>
            </w:pPr>
          </w:p>
        </w:tc>
        <w:tc>
          <w:tcPr>
            <w:tcW w:w="1260" w:type="dxa"/>
            <w:vAlign w:val="bottom"/>
            <w:gridSpan w:val="3"/>
          </w:tcPr>
          <w:p>
            <w:pPr>
              <w:ind w:left="80"/>
              <w:spacing w:after="0" w:line="153" w:lineRule="exact"/>
              <w:rPr>
                <w:sz w:val="20"/>
                <w:szCs w:val="20"/>
                <w:color w:val="auto"/>
              </w:rPr>
            </w:pPr>
            <w:r>
              <w:rPr>
                <w:rFonts w:ascii="Times New Roman" w:cs="Times New Roman" w:eastAsia="Times New Roman" w:hAnsi="Times New Roman"/>
                <w:sz w:val="14"/>
                <w:szCs w:val="14"/>
                <w:b w:val="1"/>
                <w:bCs w:val="1"/>
                <w:color w:val="auto"/>
              </w:rPr>
              <w:t>2023 Unsecured</w:t>
            </w:r>
          </w:p>
        </w:tc>
        <w:tc>
          <w:tcPr>
            <w:tcW w:w="1180" w:type="dxa"/>
            <w:vAlign w:val="bottom"/>
            <w:gridSpan w:val="3"/>
          </w:tcPr>
          <w:p>
            <w:pPr>
              <w:jc w:val="center"/>
              <w:ind w:right="80"/>
              <w:spacing w:after="0" w:line="153" w:lineRule="exact"/>
              <w:rPr>
                <w:sz w:val="20"/>
                <w:szCs w:val="20"/>
                <w:color w:val="auto"/>
              </w:rPr>
            </w:pPr>
            <w:r>
              <w:rPr>
                <w:rFonts w:ascii="Times New Roman" w:cs="Times New Roman" w:eastAsia="Times New Roman" w:hAnsi="Times New Roman"/>
                <w:sz w:val="14"/>
                <w:szCs w:val="14"/>
                <w:b w:val="1"/>
                <w:bCs w:val="1"/>
                <w:color w:val="auto"/>
              </w:rPr>
              <w:t>Unsecured SPA</w:t>
            </w:r>
          </w:p>
        </w:tc>
        <w:tc>
          <w:tcPr>
            <w:tcW w:w="100" w:type="dxa"/>
            <w:vAlign w:val="bottom"/>
          </w:tcPr>
          <w:p>
            <w:pPr>
              <w:spacing w:after="0"/>
              <w:rPr>
                <w:sz w:val="13"/>
                <w:szCs w:val="13"/>
                <w:color w:val="auto"/>
              </w:rPr>
            </w:pPr>
          </w:p>
        </w:tc>
        <w:tc>
          <w:tcPr>
            <w:tcW w:w="1220" w:type="dxa"/>
            <w:vAlign w:val="bottom"/>
            <w:gridSpan w:val="2"/>
          </w:tcPr>
          <w:p>
            <w:pPr>
              <w:jc w:val="center"/>
              <w:ind w:right="200"/>
              <w:spacing w:after="0" w:line="153" w:lineRule="exact"/>
              <w:rPr>
                <w:sz w:val="20"/>
                <w:szCs w:val="20"/>
                <w:color w:val="auto"/>
              </w:rPr>
            </w:pPr>
            <w:r>
              <w:rPr>
                <w:rFonts w:ascii="Times New Roman" w:cs="Times New Roman" w:eastAsia="Times New Roman" w:hAnsi="Times New Roman"/>
                <w:sz w:val="14"/>
                <w:szCs w:val="14"/>
                <w:b w:val="1"/>
                <w:bCs w:val="1"/>
                <w:color w:val="auto"/>
              </w:rPr>
              <w:t>Notes Payable —</w:t>
            </w:r>
          </w:p>
        </w:tc>
        <w:tc>
          <w:tcPr>
            <w:tcW w:w="1280" w:type="dxa"/>
            <w:vAlign w:val="bottom"/>
            <w:gridSpan w:val="3"/>
          </w:tcPr>
          <w:p>
            <w:pPr>
              <w:jc w:val="center"/>
              <w:ind w:right="100"/>
              <w:spacing w:after="0" w:line="153" w:lineRule="exact"/>
              <w:rPr>
                <w:sz w:val="20"/>
                <w:szCs w:val="20"/>
                <w:color w:val="auto"/>
              </w:rPr>
            </w:pPr>
            <w:r>
              <w:rPr>
                <w:rFonts w:ascii="Times New Roman" w:cs="Times New Roman" w:eastAsia="Times New Roman" w:hAnsi="Times New Roman"/>
                <w:sz w:val="14"/>
                <w:szCs w:val="14"/>
                <w:b w:val="1"/>
                <w:bCs w:val="1"/>
                <w:color w:val="auto"/>
                <w:w w:val="99"/>
              </w:rPr>
              <w:t>Notes Payable on</w:t>
            </w:r>
          </w:p>
        </w:tc>
        <w:tc>
          <w:tcPr>
            <w:tcW w:w="140" w:type="dxa"/>
            <w:vAlign w:val="bottom"/>
          </w:tcPr>
          <w:p>
            <w:pPr>
              <w:spacing w:after="0"/>
              <w:rPr>
                <w:sz w:val="13"/>
                <w:szCs w:val="13"/>
                <w:color w:val="auto"/>
              </w:rPr>
            </w:pPr>
          </w:p>
        </w:tc>
        <w:tc>
          <w:tcPr>
            <w:tcW w:w="1040" w:type="dxa"/>
            <w:vAlign w:val="bottom"/>
            <w:gridSpan w:val="2"/>
          </w:tcPr>
          <w:p>
            <w:pPr>
              <w:ind w:left="40"/>
              <w:spacing w:after="0" w:line="153"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98"/>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2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Convertible Note</w:t>
            </w:r>
          </w:p>
        </w:tc>
        <w:tc>
          <w:tcPr>
            <w:tcW w:w="240" w:type="dxa"/>
            <w:vAlign w:val="bottom"/>
          </w:tcPr>
          <w:p>
            <w:pPr>
              <w:spacing w:after="0"/>
              <w:rPr>
                <w:sz w:val="17"/>
                <w:szCs w:val="17"/>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0" w:type="dxa"/>
            <w:vAlign w:val="bottom"/>
          </w:tcPr>
          <w:p>
            <w:pPr>
              <w:spacing w:after="0"/>
              <w:rPr>
                <w:sz w:val="17"/>
                <w:szCs w:val="17"/>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China</w:t>
            </w:r>
          </w:p>
        </w:tc>
        <w:tc>
          <w:tcPr>
            <w:tcW w:w="12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Demand — China</w:t>
            </w:r>
          </w:p>
        </w:tc>
        <w:tc>
          <w:tcPr>
            <w:tcW w:w="140" w:type="dxa"/>
            <w:vAlign w:val="bottom"/>
          </w:tcPr>
          <w:p>
            <w:pPr>
              <w:spacing w:after="0"/>
              <w:rPr>
                <w:sz w:val="17"/>
                <w:szCs w:val="17"/>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FFGP Note</w:t>
            </w:r>
          </w:p>
        </w:tc>
        <w:tc>
          <w:tcPr>
            <w:tcW w:w="140" w:type="dxa"/>
            <w:vAlign w:val="bottom"/>
          </w:tcPr>
          <w:p>
            <w:pPr>
              <w:spacing w:after="0"/>
              <w:rPr>
                <w:sz w:val="17"/>
                <w:szCs w:val="17"/>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FFGP Note</w:t>
            </w:r>
          </w:p>
        </w:tc>
        <w:tc>
          <w:tcPr>
            <w:tcW w:w="200" w:type="dxa"/>
            <w:vAlign w:val="bottom"/>
          </w:tcPr>
          <w:p>
            <w:pPr>
              <w:spacing w:after="0"/>
              <w:rPr>
                <w:sz w:val="17"/>
                <w:szCs w:val="17"/>
                <w:color w:val="auto"/>
              </w:rPr>
            </w:pPr>
          </w:p>
        </w:tc>
        <w:tc>
          <w:tcPr>
            <w:tcW w:w="760" w:type="dxa"/>
            <w:vAlign w:val="bottom"/>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286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197"/>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2023 (a)</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w:t>
            </w:r>
          </w:p>
        </w:tc>
        <w:tc>
          <w:tcPr>
            <w:tcW w:w="1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5,103</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3,789</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9,760</w:t>
            </w:r>
          </w:p>
        </w:tc>
      </w:tr>
      <w:tr>
        <w:trPr>
          <w:trHeight w:val="187"/>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 Issuances (b)</w:t>
            </w:r>
          </w:p>
        </w:tc>
        <w:tc>
          <w:tcPr>
            <w:tcW w:w="44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10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2,999</w:t>
            </w:r>
          </w:p>
        </w:tc>
      </w:tr>
      <w:tr>
        <w:trPr>
          <w:trHeight w:val="37"/>
        </w:trPr>
        <w:tc>
          <w:tcPr>
            <w:tcW w:w="2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Repayment of Debt, including periodic interest</w:t>
            </w:r>
          </w:p>
        </w:tc>
        <w:tc>
          <w:tcPr>
            <w:tcW w:w="4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214"/>
        </w:trPr>
        <w:tc>
          <w:tcPr>
            <w:tcW w:w="2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on debt carried at fair value (c)</w:t>
            </w:r>
          </w:p>
        </w:tc>
        <w:tc>
          <w:tcPr>
            <w:tcW w:w="4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7"/>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Conversion of Debt to Equity (d)</w:t>
            </w:r>
          </w:p>
        </w:tc>
        <w:tc>
          <w:tcPr>
            <w:tcW w:w="4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w:t>
            </w:r>
          </w:p>
        </w:tc>
      </w:tr>
      <w:tr>
        <w:trPr>
          <w:trHeight w:val="37"/>
        </w:trPr>
        <w:tc>
          <w:tcPr>
            <w:tcW w:w="2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04"/>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Adjustments of Debt (e)</w:t>
            </w:r>
          </w:p>
        </w:tc>
        <w:tc>
          <w:tcPr>
            <w:tcW w:w="4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w:t>
            </w:r>
          </w:p>
        </w:tc>
      </w:tr>
      <w:tr>
        <w:trPr>
          <w:trHeight w:val="187"/>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Adjustments (f)</w:t>
            </w:r>
          </w:p>
        </w:tc>
        <w:tc>
          <w:tcPr>
            <w:tcW w:w="44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2,474</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2,490</w:t>
            </w:r>
          </w:p>
        </w:tc>
      </w:tr>
      <w:tr>
        <w:trPr>
          <w:trHeight w:val="37"/>
        </w:trPr>
        <w:tc>
          <w:tcPr>
            <w:tcW w:w="286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right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232"/>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June 30, 2024 (g)</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7,577</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1,576</w:t>
            </w:r>
          </w:p>
        </w:tc>
        <w:tc>
          <w:tcPr>
            <w:tcW w:w="100" w:type="dxa"/>
            <w:vAlign w:val="bottom"/>
            <w:tcBorders>
              <w:right w:val="single" w:sz="8" w:color="auto"/>
            </w:tcBorders>
            <w:shd w:val="clear" w:color="auto" w:fill="CCEEFF"/>
          </w:tcPr>
          <w:p>
            <w:pPr>
              <w:spacing w:after="0"/>
              <w:rPr>
                <w:sz w:val="20"/>
                <w:szCs w:val="20"/>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15,159</w:t>
            </w: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68" w:lineRule="exact"/>
        <w:rPr>
          <w:sz w:val="20"/>
          <w:szCs w:val="20"/>
          <w:color w:val="auto"/>
        </w:rPr>
      </w:pPr>
    </w:p>
    <w:p>
      <w:pPr>
        <w:ind w:left="220" w:hanging="197"/>
        <w:spacing w:after="0"/>
        <w:tabs>
          <w:tab w:leader="none" w:pos="2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carrying value for each note category, fair value or amortized cost depending on the election, as of March 31, 2024.</w:t>
      </w:r>
    </w:p>
    <w:p>
      <w:pPr>
        <w:spacing w:after="0" w:line="63" w:lineRule="exact"/>
        <w:rPr>
          <w:rFonts w:ascii="Times New Roman" w:cs="Times New Roman" w:eastAsia="Times New Roman" w:hAnsi="Times New Roman"/>
          <w:sz w:val="14"/>
          <w:szCs w:val="14"/>
          <w:color w:val="auto"/>
        </w:rPr>
      </w:pPr>
    </w:p>
    <w:p>
      <w:pPr>
        <w:jc w:val="both"/>
        <w:ind w:left="20" w:right="340" w:firstLine="3"/>
        <w:spacing w:after="0" w:line="272" w:lineRule="auto"/>
        <w:tabs>
          <w:tab w:leader="none" w:pos="219"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instruments issued during the period, recorded at fair value upon issuance if the fair value option is elected, or at principal balance net of discounts. For notes measured at fair value, the aggregate fair value adjustment recognized at issuance reduced the principal amount of notes issued during the period by $835 thousand. This reduction reflects the allocation of total transaction proceeds between the SPA Notes and the related SPA Warrants and Incremental Warrants issued as part of the bundled transaction.</w:t>
      </w:r>
    </w:p>
    <w:p>
      <w:pPr>
        <w:spacing w:after="0" w:line="6" w:lineRule="exact"/>
        <w:rPr>
          <w:rFonts w:ascii="Times New Roman" w:cs="Times New Roman" w:eastAsia="Times New Roman" w:hAnsi="Times New Roman"/>
          <w:sz w:val="14"/>
          <w:szCs w:val="14"/>
          <w:color w:val="auto"/>
        </w:rPr>
      </w:pPr>
    </w:p>
    <w:p>
      <w:pPr>
        <w:ind w:left="220" w:hanging="197"/>
        <w:spacing w:after="0"/>
        <w:tabs>
          <w:tab w:leader="none" w:pos="2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repayments of principal amount and periodic interest, where fair value option is elected, during the period.</w:t>
      </w:r>
    </w:p>
    <w:p>
      <w:pPr>
        <w:spacing w:after="0" w:line="63" w:lineRule="exact"/>
        <w:rPr>
          <w:rFonts w:ascii="Times New Roman" w:cs="Times New Roman" w:eastAsia="Times New Roman" w:hAnsi="Times New Roman"/>
          <w:sz w:val="14"/>
          <w:szCs w:val="14"/>
          <w:color w:val="auto"/>
        </w:rPr>
      </w:pPr>
    </w:p>
    <w:p>
      <w:pPr>
        <w:ind w:left="220" w:hanging="197"/>
        <w:spacing w:after="0"/>
        <w:tabs>
          <w:tab w:leader="none" w:pos="2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 of debt converted into equity during the period.</w:t>
      </w:r>
    </w:p>
    <w:p>
      <w:pPr>
        <w:spacing w:after="0" w:line="63" w:lineRule="exact"/>
        <w:rPr>
          <w:rFonts w:ascii="Times New Roman" w:cs="Times New Roman" w:eastAsia="Times New Roman" w:hAnsi="Times New Roman"/>
          <w:sz w:val="14"/>
          <w:szCs w:val="14"/>
          <w:color w:val="auto"/>
        </w:rPr>
      </w:pPr>
    </w:p>
    <w:p>
      <w:pPr>
        <w:ind w:left="20" w:right="160" w:firstLine="3"/>
        <w:spacing w:after="0" w:line="288" w:lineRule="auto"/>
        <w:tabs>
          <w:tab w:leader="none" w:pos="211"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Adjustments to debt fair value due to the fair value option election, embedded derivatives, or anti-dilution provisions. These adjustments are presented as a component of Change in fair value of notes payable, warrant liabilities, and call option derivatives in the Unaudited Condensed Consolidated Statements of Operations.</w:t>
      </w:r>
    </w:p>
    <w:p>
      <w:pPr>
        <w:spacing w:after="0" w:line="9" w:lineRule="exact"/>
        <w:rPr>
          <w:rFonts w:ascii="Times New Roman" w:cs="Times New Roman" w:eastAsia="Times New Roman" w:hAnsi="Times New Roman"/>
          <w:sz w:val="14"/>
          <w:szCs w:val="14"/>
          <w:color w:val="auto"/>
        </w:rPr>
      </w:pPr>
    </w:p>
    <w:p>
      <w:pPr>
        <w:ind w:left="200" w:hanging="177"/>
        <w:spacing w:after="0"/>
        <w:tabs>
          <w:tab w:leader="none" w:pos="2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Miscellaneous changes not captured in other columns, such as currency adjustments.</w:t>
      </w:r>
    </w:p>
    <w:p>
      <w:pPr>
        <w:spacing w:after="0" w:line="63" w:lineRule="exact"/>
        <w:rPr>
          <w:rFonts w:ascii="Times New Roman" w:cs="Times New Roman" w:eastAsia="Times New Roman" w:hAnsi="Times New Roman"/>
          <w:sz w:val="14"/>
          <w:szCs w:val="14"/>
          <w:color w:val="auto"/>
        </w:rPr>
      </w:pPr>
    </w:p>
    <w:p>
      <w:pPr>
        <w:ind w:left="220" w:hanging="197"/>
        <w:spacing w:after="0"/>
        <w:tabs>
          <w:tab w:leader="none" w:pos="2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carrying value for each note category, fair value or amortized cost depending on the election, as of June 30, 2024.</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Schedule of Principal Maturities of Related Party Notes Payable</w:t>
      </w:r>
    </w:p>
    <w:p>
      <w:pPr>
        <w:spacing w:after="0" w:line="15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future scheduled principal maturities of Related party notes payable as of June 30, 2025, are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8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74"/>
        </w:trPr>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Years Ending December 31,</w:t>
            </w:r>
          </w:p>
        </w:tc>
        <w:tc>
          <w:tcPr>
            <w:tcW w:w="280" w:type="dxa"/>
            <w:vAlign w:val="bottom"/>
          </w:tcPr>
          <w:p>
            <w:pPr>
              <w:spacing w:after="0"/>
              <w:rPr>
                <w:sz w:val="23"/>
                <w:szCs w:val="23"/>
                <w:color w:val="auto"/>
              </w:rPr>
            </w:pPr>
          </w:p>
        </w:tc>
        <w:tc>
          <w:tcPr>
            <w:tcW w:w="116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Amount</w:t>
            </w:r>
          </w:p>
        </w:tc>
      </w:tr>
      <w:tr>
        <w:trPr>
          <w:trHeight w:val="27"/>
        </w:trPr>
        <w:tc>
          <w:tcPr>
            <w:tcW w:w="2900" w:type="dxa"/>
            <w:vAlign w:val="bottom"/>
            <w:tcBorders>
              <w:bottom w:val="single" w:sz="8" w:color="auto"/>
            </w:tcBorders>
          </w:tcPr>
          <w:p>
            <w:pPr>
              <w:spacing w:after="0"/>
              <w:rPr>
                <w:sz w:val="2"/>
                <w:szCs w:val="2"/>
                <w:color w:val="auto"/>
              </w:rPr>
            </w:pPr>
          </w:p>
        </w:tc>
        <w:tc>
          <w:tcPr>
            <w:tcW w:w="6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on demand</w:t>
            </w: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r>
      <w:tr>
        <w:trPr>
          <w:trHeight w:val="237"/>
        </w:trPr>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 (6 months remaining)</w:t>
            </w: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w:t>
            </w:r>
          </w:p>
        </w:tc>
      </w:tr>
      <w:tr>
        <w:trPr>
          <w:trHeight w:val="27"/>
        </w:trPr>
        <w:tc>
          <w:tcPr>
            <w:tcW w:w="2900" w:type="dxa"/>
            <w:vAlign w:val="bottom"/>
          </w:tcPr>
          <w:p>
            <w:pPr>
              <w:spacing w:after="0"/>
              <w:rPr>
                <w:sz w:val="2"/>
                <w:szCs w:val="2"/>
                <w:color w:val="auto"/>
              </w:rPr>
            </w:pPr>
          </w:p>
        </w:tc>
        <w:tc>
          <w:tcPr>
            <w:tcW w:w="6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4"/>
        </w:trPr>
        <w:tc>
          <w:tcPr>
            <w:tcW w:w="2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9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w:t>
            </w:r>
          </w:p>
        </w:tc>
      </w:tr>
      <w:tr>
        <w:trPr>
          <w:trHeight w:val="237"/>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r>
      <w:tr>
        <w:trPr>
          <w:trHeight w:val="27"/>
        </w:trPr>
        <w:tc>
          <w:tcPr>
            <w:tcW w:w="2900" w:type="dxa"/>
            <w:vAlign w:val="bottom"/>
          </w:tcPr>
          <w:p>
            <w:pPr>
              <w:spacing w:after="0"/>
              <w:rPr>
                <w:sz w:val="2"/>
                <w:szCs w:val="2"/>
                <w:color w:val="auto"/>
              </w:rPr>
            </w:pPr>
          </w:p>
        </w:tc>
        <w:tc>
          <w:tcPr>
            <w:tcW w:w="6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4"/>
        </w:trPr>
        <w:tc>
          <w:tcPr>
            <w:tcW w:w="2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9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900" w:type="dxa"/>
            <w:vAlign w:val="bottom"/>
          </w:tcPr>
          <w:p>
            <w:pPr>
              <w:spacing w:after="0"/>
              <w:rPr>
                <w:sz w:val="2"/>
                <w:szCs w:val="2"/>
                <w:color w:val="auto"/>
              </w:rPr>
            </w:pPr>
          </w:p>
        </w:tc>
        <w:tc>
          <w:tcPr>
            <w:tcW w:w="6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4"/>
        </w:trPr>
        <w:tc>
          <w:tcPr>
            <w:tcW w:w="2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69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w:t>
            </w:r>
          </w:p>
        </w:tc>
      </w:tr>
      <w:tr>
        <w:trPr>
          <w:trHeight w:val="237"/>
        </w:trPr>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900" w:type="dxa"/>
            <w:vAlign w:val="bottom"/>
            <w:tcBorders>
              <w:bottom w:val="single" w:sz="8" w:color="CCEEFF"/>
            </w:tcBorders>
          </w:tcPr>
          <w:p>
            <w:pPr>
              <w:spacing w:after="0"/>
              <w:rPr>
                <w:sz w:val="2"/>
                <w:szCs w:val="2"/>
                <w:color w:val="auto"/>
              </w:rPr>
            </w:pPr>
          </w:p>
        </w:tc>
        <w:tc>
          <w:tcPr>
            <w:tcW w:w="6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82"/>
        </w:trPr>
        <w:tc>
          <w:tcPr>
            <w:tcW w:w="2900" w:type="dxa"/>
            <w:vAlign w:val="bottom"/>
            <w:tcBorders>
              <w:bottom w:val="single" w:sz="8" w:color="CCEEFF"/>
            </w:tcBorders>
            <w:shd w:val="clear" w:color="auto" w:fill="CCEEFF"/>
          </w:tcPr>
          <w:p>
            <w:pPr>
              <w:spacing w:after="0"/>
              <w:rPr>
                <w:sz w:val="24"/>
                <w:szCs w:val="24"/>
                <w:color w:val="auto"/>
              </w:rPr>
            </w:pPr>
          </w:p>
        </w:tc>
        <w:tc>
          <w:tcPr>
            <w:tcW w:w="69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8,825</w:t>
            </w: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6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jc w:val="both"/>
        <w:ind w:firstLine="475"/>
        <w:spacing w:after="0" w:line="258" w:lineRule="auto"/>
        <w:rPr>
          <w:sz w:val="20"/>
          <w:szCs w:val="20"/>
          <w:color w:val="auto"/>
        </w:rPr>
      </w:pPr>
      <w:r>
        <w:rPr>
          <w:rFonts w:ascii="Times New Roman" w:cs="Times New Roman" w:eastAsia="Times New Roman" w:hAnsi="Times New Roman"/>
          <w:sz w:val="18"/>
          <w:szCs w:val="18"/>
          <w:color w:val="auto"/>
        </w:rPr>
        <w:t xml:space="preserve">The Company has entered into various financing arrangements with related parties, categorized as follows: (i) </w:t>
      </w:r>
      <w:r>
        <w:rPr>
          <w:rFonts w:ascii="Times New Roman" w:cs="Times New Roman" w:eastAsia="Times New Roman" w:hAnsi="Times New Roman"/>
          <w:sz w:val="18"/>
          <w:szCs w:val="18"/>
          <w:i w:val="1"/>
          <w:iCs w:val="1"/>
          <w:color w:val="auto"/>
        </w:rPr>
        <w:t>2023 Unsecured Convertible Note</w:t>
      </w:r>
      <w:r>
        <w:rPr>
          <w:rFonts w:ascii="Times New Roman" w:cs="Times New Roman" w:eastAsia="Times New Roman" w:hAnsi="Times New Roman"/>
          <w:sz w:val="18"/>
          <w:szCs w:val="18"/>
          <w:color w:val="auto"/>
        </w:rPr>
        <w:t xml:space="preserve">; (ii) </w:t>
      </w:r>
      <w:r>
        <w:rPr>
          <w:rFonts w:ascii="Times New Roman" w:cs="Times New Roman" w:eastAsia="Times New Roman" w:hAnsi="Times New Roman"/>
          <w:sz w:val="18"/>
          <w:szCs w:val="18"/>
          <w:i w:val="1"/>
          <w:iCs w:val="1"/>
          <w:color w:val="auto"/>
        </w:rPr>
        <w:t>Unsecured Convertible Notes</w:t>
      </w:r>
      <w:r>
        <w:rPr>
          <w:rFonts w:ascii="Times New Roman" w:cs="Times New Roman" w:eastAsia="Times New Roman" w:hAnsi="Times New Roman"/>
          <w:sz w:val="18"/>
          <w:szCs w:val="18"/>
          <w:color w:val="auto"/>
        </w:rPr>
        <w:t>; (iii) 2025 March Unsecured SPA Notes; (iv)</w:t>
      </w:r>
      <w:r>
        <w:rPr>
          <w:rFonts w:ascii="Times New Roman" w:cs="Times New Roman" w:eastAsia="Times New Roman" w:hAnsi="Times New Roman"/>
          <w:sz w:val="18"/>
          <w:szCs w:val="18"/>
          <w:i w:val="1"/>
          <w:iCs w:val="1"/>
          <w:color w:val="auto"/>
        </w:rPr>
        <w:t xml:space="preserve"> Notes Payable — China</w:t>
      </w:r>
      <w:r>
        <w:rPr>
          <w:rFonts w:ascii="Times New Roman" w:cs="Times New Roman" w:eastAsia="Times New Roman" w:hAnsi="Times New Roman"/>
          <w:sz w:val="18"/>
          <w:szCs w:val="18"/>
          <w:color w:val="auto"/>
        </w:rPr>
        <w:t>; (v)</w:t>
      </w:r>
      <w:r>
        <w:rPr>
          <w:rFonts w:ascii="Times New Roman" w:cs="Times New Roman" w:eastAsia="Times New Roman" w:hAnsi="Times New Roman"/>
          <w:sz w:val="18"/>
          <w:szCs w:val="18"/>
          <w:i w:val="1"/>
          <w:iCs w:val="1"/>
          <w:color w:val="auto"/>
        </w:rPr>
        <w:t xml:space="preserve"> Notes Payable on Demand — China</w:t>
      </w:r>
      <w:r>
        <w:rPr>
          <w:rFonts w:ascii="Times New Roman" w:cs="Times New Roman" w:eastAsia="Times New Roman" w:hAnsi="Times New Roman"/>
          <w:sz w:val="18"/>
          <w:szCs w:val="18"/>
          <w:color w:val="auto"/>
        </w:rPr>
        <w:t>; (vi)</w:t>
      </w:r>
      <w:r>
        <w:rPr>
          <w:rFonts w:ascii="Times New Roman" w:cs="Times New Roman" w:eastAsia="Times New Roman" w:hAnsi="Times New Roman"/>
          <w:sz w:val="18"/>
          <w:szCs w:val="18"/>
          <w:i w:val="1"/>
          <w:iCs w:val="1"/>
          <w:color w:val="auto"/>
        </w:rPr>
        <w:t xml:space="preserve"> FFGP Note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(vii) </w:t>
      </w:r>
      <w:r>
        <w:rPr>
          <w:rFonts w:ascii="Times New Roman" w:cs="Times New Roman" w:eastAsia="Times New Roman" w:hAnsi="Times New Roman"/>
          <w:sz w:val="18"/>
          <w:szCs w:val="18"/>
          <w:i w:val="1"/>
          <w:iCs w:val="1"/>
          <w:color w:val="auto"/>
        </w:rPr>
        <w:t>Convertible FFGP Note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Unsecured Convertible Note</w:t>
      </w:r>
    </w:p>
    <w:p>
      <w:pPr>
        <w:spacing w:after="0" w:line="166" w:lineRule="exact"/>
        <w:rPr>
          <w:sz w:val="20"/>
          <w:szCs w:val="20"/>
          <w:color w:val="auto"/>
        </w:rPr>
      </w:pPr>
    </w:p>
    <w:p>
      <w:pPr>
        <w:jc w:val="both"/>
        <w:ind w:firstLine="475"/>
        <w:spacing w:after="0" w:line="333" w:lineRule="auto"/>
        <w:rPr>
          <w:sz w:val="20"/>
          <w:szCs w:val="20"/>
          <w:color w:val="auto"/>
        </w:rPr>
      </w:pPr>
      <w:r>
        <w:rPr>
          <w:rFonts w:ascii="Times New Roman" w:cs="Times New Roman" w:eastAsia="Times New Roman" w:hAnsi="Times New Roman"/>
          <w:sz w:val="16"/>
          <w:szCs w:val="16"/>
          <w:color w:val="auto"/>
        </w:rPr>
        <w:t xml:space="preserve">In May 2023, June 2023, and October 2023, the Company issued unsecured convertible notes to MHL, a related party, under the 2023 Unsecured SPA Notes as the anchor investor. (For information on the terms of this note, see Note 7, </w:t>
      </w:r>
      <w:r>
        <w:rPr>
          <w:rFonts w:ascii="Times New Roman" w:cs="Times New Roman" w:eastAsia="Times New Roman" w:hAnsi="Times New Roman"/>
          <w:sz w:val="16"/>
          <w:szCs w:val="16"/>
          <w:i w:val="1"/>
          <w:iCs w:val="1"/>
          <w:color w:val="auto"/>
        </w:rPr>
        <w:t>Notes Payable</w:t>
      </w:r>
      <w:r>
        <w:rPr>
          <w:rFonts w:ascii="Times New Roman" w:cs="Times New Roman" w:eastAsia="Times New Roman" w:hAnsi="Times New Roman"/>
          <w:sz w:val="16"/>
          <w:szCs w:val="16"/>
          <w:color w:val="auto"/>
        </w:rPr>
        <w:t xml:space="preserve"> 2023 Unsecured SPA Notes issued to third-parties.)</w:t>
      </w:r>
    </w:p>
    <w:p>
      <w:pPr>
        <w:spacing w:after="0" w:line="55" w:lineRule="exact"/>
        <w:rPr>
          <w:sz w:val="20"/>
          <w:szCs w:val="20"/>
          <w:color w:val="auto"/>
        </w:rPr>
      </w:pPr>
    </w:p>
    <w:p>
      <w:pPr>
        <w:jc w:val="both"/>
        <w:ind w:firstLine="475"/>
        <w:spacing w:after="0" w:line="272" w:lineRule="auto"/>
        <w:rPr>
          <w:sz w:val="20"/>
          <w:szCs w:val="20"/>
          <w:color w:val="auto"/>
        </w:rPr>
      </w:pPr>
      <w:r>
        <w:rPr>
          <w:rFonts w:ascii="Times New Roman" w:cs="Times New Roman" w:eastAsia="Times New Roman" w:hAnsi="Times New Roman"/>
          <w:sz w:val="18"/>
          <w:szCs w:val="18"/>
          <w:color w:val="auto"/>
        </w:rPr>
        <w:t xml:space="preserve">The Company elected the fair value option under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for the 2023 Unsecured SPA Notes because the notes include features such as a contingently exercisable put option, which meets the definition of an embedded derivative.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Activity</w:t>
      </w:r>
    </w:p>
    <w:p>
      <w:pPr>
        <w:spacing w:after="0" w:line="15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 of June 30, 2025 and December 31, 2024, there were no outstanding related party 2023 Unsecured SPA Notes .</w:t>
      </w:r>
    </w:p>
    <w:p>
      <w:pPr>
        <w:spacing w:after="0" w:line="149" w:lineRule="exact"/>
        <w:rPr>
          <w:sz w:val="20"/>
          <w:szCs w:val="20"/>
          <w:color w:val="auto"/>
        </w:rPr>
      </w:pPr>
    </w:p>
    <w:p>
      <w:pPr>
        <w:jc w:val="both"/>
        <w:ind w:firstLine="475"/>
        <w:spacing w:after="0" w:line="269" w:lineRule="auto"/>
        <w:rPr>
          <w:sz w:val="20"/>
          <w:szCs w:val="20"/>
          <w:color w:val="auto"/>
        </w:rPr>
      </w:pPr>
      <w:r>
        <w:rPr>
          <w:rFonts w:ascii="Times New Roman" w:cs="Times New Roman" w:eastAsia="Times New Roman" w:hAnsi="Times New Roman"/>
          <w:sz w:val="18"/>
          <w:szCs w:val="18"/>
          <w:color w:val="auto"/>
        </w:rPr>
        <w:t>There was no related party activity related to the 2023 Unsecured SPA Notes during the three and six months ended June 30, 2025 or the three months ended June 30, 2024.</w:t>
      </w:r>
    </w:p>
    <w:p>
      <w:pPr>
        <w:spacing w:after="0" w:line="90" w:lineRule="exact"/>
        <w:rPr>
          <w:sz w:val="20"/>
          <w:szCs w:val="20"/>
          <w:color w:val="auto"/>
        </w:rPr>
      </w:pPr>
    </w:p>
    <w:p>
      <w:pPr>
        <w:jc w:val="both"/>
        <w:ind w:firstLine="475"/>
        <w:spacing w:after="0" w:line="250" w:lineRule="auto"/>
        <w:rPr>
          <w:sz w:val="20"/>
          <w:szCs w:val="20"/>
          <w:color w:val="auto"/>
        </w:rPr>
      </w:pPr>
      <w:r>
        <w:rPr>
          <w:rFonts w:ascii="Times New Roman" w:cs="Times New Roman" w:eastAsia="Times New Roman" w:hAnsi="Times New Roman"/>
          <w:sz w:val="18"/>
          <w:szCs w:val="18"/>
          <w:color w:val="auto"/>
        </w:rPr>
        <w:t>During the six months ended June 30, 2024, the Company converted related party debt with a principal amount of $0.7 million into 33,107 shares of Class A Common Stock. The conversion of 2023 Unsecured SPA Notes into Class A Common Stock resulted in a loss on extinguishment of $0.2 million. For the six months ended June 30, 2024, the Company recognized a gain of $0.1 million from the fair value remeasurement of 2023 Unsecured SPA Notes under ASC 825, which was recorded in Change in fair value of related party notes payable, warrant liabilities, and derivative call options in the Unaudited Condensed Consolidated Statements of Operations and Comprehensive Loss.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Unsecured Convertible Notes</w:t>
      </w:r>
    </w:p>
    <w:p>
      <w:pPr>
        <w:spacing w:after="0" w:line="153"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In January 2024, the Company issued an unsecured convertible note to MHL, a related party, in a principal amount of $1.5 million. The note was due three months from the date of issuance (</w:t>
      </w:r>
      <w:r>
        <w:rPr>
          <w:rFonts w:ascii="Times New Roman" w:cs="Times New Roman" w:eastAsia="Times New Roman" w:hAnsi="Times New Roman"/>
          <w:sz w:val="15"/>
          <w:szCs w:val="15"/>
          <w:color w:val="auto"/>
        </w:rPr>
        <w:t>April 2024</w:t>
      </w:r>
      <w:r>
        <w:rPr>
          <w:rFonts w:ascii="Times New Roman" w:cs="Times New Roman" w:eastAsia="Times New Roman" w:hAnsi="Times New Roman"/>
          <w:sz w:val="18"/>
          <w:szCs w:val="18"/>
          <w:color w:val="auto"/>
        </w:rPr>
        <w:t>), accrued interest at an annual rate of 4.27% per annum, and is convertible at the option of the holder into either Class A Common Stock or into a 2023 Unsecured Convertible Note.</w:t>
      </w:r>
    </w:p>
    <w:p>
      <w:pPr>
        <w:spacing w:after="0" w:line="100"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In February 2025, MHL converted the outstanding debt with a principal balance of $1.5 million into 1,352,767 shares of Class A Common Stock. The conversion of the Unsecured Convertible Notes into Class A Common Stock resulted in a loss on extinguishment of $1.2 million which was recorded in Loss on settlement of related party notes payable in the Unaudited Condensed Consolidated Statements of Operations and Comprehensive Loss.</w:t>
      </w:r>
    </w:p>
    <w:p>
      <w:pPr>
        <w:spacing w:after="0" w:line="192" w:lineRule="exact"/>
        <w:rPr>
          <w:sz w:val="20"/>
          <w:szCs w:val="20"/>
          <w:color w:val="auto"/>
        </w:rPr>
      </w:pPr>
    </w:p>
    <w:p>
      <w:pPr>
        <w:jc w:val="both"/>
        <w:ind w:firstLine="475"/>
        <w:spacing w:after="0" w:line="235" w:lineRule="auto"/>
        <w:rPr>
          <w:sz w:val="20"/>
          <w:szCs w:val="20"/>
          <w:color w:val="auto"/>
        </w:rPr>
      </w:pPr>
      <w:r>
        <w:rPr>
          <w:rFonts w:ascii="Times New Roman" w:cs="Times New Roman" w:eastAsia="Times New Roman" w:hAnsi="Times New Roman"/>
          <w:sz w:val="18"/>
          <w:szCs w:val="18"/>
          <w:color w:val="auto"/>
        </w:rPr>
        <w:t>In March 2025, the Company issued an unsecured convertible note to MHL, in a principal amount of $1.5 million. The note was due three months from the date of issuance, accrued interest at an annual rate of 4.27% per annum, and was convertible at the option of the holder into either Class A Common Stock or into unsecured convertible notes issued subsequently pursuant to a securities purchase agreement. If conversion into Class A Common Stock is elected, the conversion price would be based on the latest closing price of the Company’s Class A Common Stock on the conversion date. If settlement in a subsequent Securities Purchase Agreement is elected, the new note would be issued with a 15% original issue discount. In April 2025, MHL exchanged the Unsecured Convertible Notes into 2025 March Unsecured SPA Notes.</w:t>
      </w:r>
    </w:p>
    <w:p>
      <w:pPr>
        <w:spacing w:after="0" w:line="127" w:lineRule="exact"/>
        <w:rPr>
          <w:sz w:val="20"/>
          <w:szCs w:val="20"/>
          <w:color w:val="auto"/>
        </w:rPr>
      </w:pPr>
    </w:p>
    <w:p>
      <w:pPr>
        <w:jc w:val="both"/>
        <w:ind w:firstLine="475"/>
        <w:spacing w:after="0" w:line="258" w:lineRule="auto"/>
        <w:rPr>
          <w:sz w:val="20"/>
          <w:szCs w:val="20"/>
          <w:color w:val="auto"/>
        </w:rPr>
      </w:pPr>
      <w:r>
        <w:rPr>
          <w:rFonts w:ascii="Times New Roman" w:cs="Times New Roman" w:eastAsia="Times New Roman" w:hAnsi="Times New Roman"/>
          <w:sz w:val="18"/>
          <w:szCs w:val="18"/>
          <w:color w:val="auto"/>
        </w:rPr>
        <w:t xml:space="preserve">The Company elected to apply the fair value option under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for these notes, based on its expectation that the notes would be exchanged into SPA Portfolio Notes pursuant to the holder’s conversion rights. SPA Portfolio Notes include features such as a contingently exercisable put option, which meet the definition of an embedded derivative under applicable accounting standards.</w:t>
      </w:r>
    </w:p>
    <w:p>
      <w:pPr>
        <w:spacing w:after="0" w:line="9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 of June 30, 2025, the fair value of the Unsecured Convertible Notes was zero, compared to $1.4 million as of December 31, 2024.</w:t>
      </w:r>
    </w:p>
    <w:p>
      <w:pPr>
        <w:spacing w:after="0" w:line="149"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For the three months ended June 30, 2025 and 2024, the Company recognized a loss of zero and $0.3 million, respectively, from the fair value remeasurement of Unsecured Convertible Notes under ASC 825, which was recorded in Change in fair value of related party notes payable, warrant liabilities, and derivative call options in the Unaudited Condensed Consolidated Statements of Operations and Comprehensive Loss.</w:t>
      </w:r>
    </w:p>
    <w:p>
      <w:pPr>
        <w:spacing w:after="0" w:line="113"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For the six months ended June 30, 2025 and 2024, the Company recognized a gain of $0.7 million and a loss of $0.5 million, respectively, from the fair value remeasurement of Secured SPA Notes under ASC 825, which was recorded in Change in fair value of related party notes payable, warrant liabilities, and derivative call options in the Unaudited Condensed Consolidated Statements of Operations and Comprehensive Loss.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2025 March Unsecured SPA Notes</w:t>
      </w:r>
    </w:p>
    <w:p>
      <w:pPr>
        <w:spacing w:after="0" w:line="151" w:lineRule="exact"/>
        <w:rPr>
          <w:sz w:val="20"/>
          <w:szCs w:val="20"/>
          <w:color w:val="auto"/>
        </w:rPr>
      </w:pPr>
    </w:p>
    <w:p>
      <w:pPr>
        <w:jc w:val="both"/>
        <w:ind w:firstLine="475"/>
        <w:spacing w:after="0" w:line="272" w:lineRule="auto"/>
        <w:rPr>
          <w:sz w:val="20"/>
          <w:szCs w:val="20"/>
          <w:color w:val="auto"/>
        </w:rPr>
      </w:pPr>
      <w:r>
        <w:rPr>
          <w:rFonts w:ascii="Times New Roman" w:cs="Times New Roman" w:eastAsia="Times New Roman" w:hAnsi="Times New Roman"/>
          <w:sz w:val="18"/>
          <w:szCs w:val="18"/>
          <w:color w:val="auto"/>
        </w:rPr>
        <w:t xml:space="preserve">Investors in the 2025 March Unsecured SPA Notes include related parties. (For information on the terms of these notes, see Note 7, </w:t>
      </w:r>
      <w:r>
        <w:rPr>
          <w:rFonts w:ascii="Times New Roman" w:cs="Times New Roman" w:eastAsia="Times New Roman" w:hAnsi="Times New Roman"/>
          <w:sz w:val="18"/>
          <w:szCs w:val="18"/>
          <w:i w:val="1"/>
          <w:iCs w:val="1"/>
          <w:color w:val="auto"/>
        </w:rPr>
        <w:t>Notes Payable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March Unsecured SPA Notes </w:t>
      </w:r>
      <w:r>
        <w:rPr>
          <w:rFonts w:ascii="Times New Roman" w:cs="Times New Roman" w:eastAsia="Times New Roman" w:hAnsi="Times New Roman"/>
          <w:sz w:val="18"/>
          <w:szCs w:val="18"/>
          <w:color w:val="auto"/>
        </w:rPr>
        <w:t>issued to third-parties.)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Activity</w:t>
      </w:r>
    </w:p>
    <w:p>
      <w:pPr>
        <w:spacing w:after="0" w:line="151" w:lineRule="exact"/>
        <w:rPr>
          <w:sz w:val="20"/>
          <w:szCs w:val="20"/>
          <w:color w:val="auto"/>
        </w:rPr>
      </w:pPr>
    </w:p>
    <w:p>
      <w:pPr>
        <w:jc w:val="both"/>
        <w:ind w:firstLine="475"/>
        <w:spacing w:after="0" w:line="269" w:lineRule="auto"/>
        <w:rPr>
          <w:sz w:val="20"/>
          <w:szCs w:val="20"/>
          <w:color w:val="auto"/>
        </w:rPr>
      </w:pPr>
      <w:r>
        <w:rPr>
          <w:rFonts w:ascii="Times New Roman" w:cs="Times New Roman" w:eastAsia="Times New Roman" w:hAnsi="Times New Roman"/>
          <w:sz w:val="18"/>
          <w:szCs w:val="18"/>
          <w:color w:val="auto"/>
        </w:rPr>
        <w:t>As of June 30, 2025, the fair value of the outstanding 2025 March Unsecured SPA Notes to related party investors was approximately $1.5 million compared to zero as of December 31, 2024.</w:t>
      </w:r>
    </w:p>
    <w:p>
      <w:pPr>
        <w:spacing w:after="0" w:line="90" w:lineRule="exact"/>
        <w:rPr>
          <w:sz w:val="20"/>
          <w:szCs w:val="20"/>
          <w:color w:val="auto"/>
        </w:rPr>
      </w:pPr>
    </w:p>
    <w:p>
      <w:pPr>
        <w:jc w:val="both"/>
        <w:ind w:firstLine="475"/>
        <w:spacing w:after="0" w:line="247" w:lineRule="auto"/>
        <w:rPr>
          <w:sz w:val="20"/>
          <w:szCs w:val="20"/>
          <w:color w:val="auto"/>
        </w:rPr>
      </w:pPr>
      <w:r>
        <w:rPr>
          <w:rFonts w:ascii="Times New Roman" w:cs="Times New Roman" w:eastAsia="Times New Roman" w:hAnsi="Times New Roman"/>
          <w:sz w:val="18"/>
          <w:szCs w:val="18"/>
          <w:color w:val="auto"/>
        </w:rPr>
        <w:t>During the three and six months ended June 30, 2025, the Company received net cash proceeds of $2.7 million and $3.1 million, respectively, after original issue discounts, in exchange for the issuance of 2025 March Unsecured SPA Notes to related party investors. During the same periods, the Company converted debt with a principal amount of $2.1 million and $2.1 million into 2,017,794 and 2,017,794 shares of Class A Common Stock, respectively. The conversion of 2025 March Unsecured SPA Notes to related party investors, into Class A Common Stock resulted in a loss on extinguishment of $1.9 million and $1.9 million, for each period, which was recorded in Loss on settlement of related party notes payable in the Unaudited Condensed Consolidated Statements of Operations and Comprehensive Loss. For the three and six months ended June 30, 2025, the Company recognized a loss of $0.4 million and $0.4 million, respectively, from the fair value remeasurement of Secured SPA Notes under ASC 825, which was recorded in Change in fair value of related party notes payable, warrant liabilities, and derivative call options in the Unaudited Condensed Consolidated Statements of Operations and Comprehensive Loss.</w:t>
      </w:r>
    </w:p>
    <w:p>
      <w:pPr>
        <w:spacing w:after="0" w:line="127" w:lineRule="exact"/>
        <w:rPr>
          <w:sz w:val="20"/>
          <w:szCs w:val="20"/>
          <w:color w:val="auto"/>
        </w:rPr>
      </w:pPr>
    </w:p>
    <w:p>
      <w:pPr>
        <w:jc w:val="both"/>
        <w:ind w:firstLine="475"/>
        <w:spacing w:after="0" w:line="269" w:lineRule="auto"/>
        <w:rPr>
          <w:sz w:val="20"/>
          <w:szCs w:val="20"/>
          <w:color w:val="auto"/>
        </w:rPr>
      </w:pPr>
      <w:r>
        <w:rPr>
          <w:rFonts w:ascii="Times New Roman" w:cs="Times New Roman" w:eastAsia="Times New Roman" w:hAnsi="Times New Roman"/>
          <w:sz w:val="18"/>
          <w:szCs w:val="18"/>
          <w:color w:val="auto"/>
        </w:rPr>
        <w:t>There was no related party activity related to the 2025 March Unsecured SPA Notes during the three and six months ended June 30, 2024 as the 2025 March Unsecured SPA Notes had not yet been issued.</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Payable — China</w:t>
      </w:r>
    </w:p>
    <w:p>
      <w:pPr>
        <w:spacing w:after="0" w:line="140" w:lineRule="exact"/>
        <w:rPr>
          <w:sz w:val="20"/>
          <w:szCs w:val="20"/>
          <w:color w:val="auto"/>
        </w:rPr>
      </w:pPr>
    </w:p>
    <w:p>
      <w:pPr>
        <w:jc w:val="both"/>
        <w:ind w:firstLine="475"/>
        <w:spacing w:after="0" w:line="247" w:lineRule="auto"/>
        <w:rPr>
          <w:sz w:val="20"/>
          <w:szCs w:val="20"/>
          <w:color w:val="auto"/>
        </w:rPr>
      </w:pPr>
      <w:r>
        <w:rPr>
          <w:rFonts w:ascii="Times New Roman" w:cs="Times New Roman" w:eastAsia="Times New Roman" w:hAnsi="Times New Roman"/>
          <w:sz w:val="18"/>
          <w:szCs w:val="18"/>
          <w:color w:val="auto"/>
        </w:rPr>
        <w:t>The Company has outstanding debt payable to Leshi Small Loan Co., Ltd. (“Chongqing”), a related party, also known as “Notes Payable — China.” In 2022, Chongqing agreed to modify the debt agreement, contingent on the Company making an initial payment of 10% of the agreed upon discounted principal amount. Under the modified terms, the Company received a waiver of accrued interest, a reduction in the principal balance, and an extended repayment schedule requiring full payment of the discounted principal by December 31, 2023. However, the Company did not pay the outstanding principal amount in full by the maturity date of December 31, 2023, and as a result, in January 2024 the Company incurred substantial interest and penalties. Per the terms of the 2022 agreement, in the event of a default at maturity all outstanding interest and penalties since the inception of the original agreement reverted to Chongqing and the discounted principal balance returned to the full unpaid amount. As a result, the Company recognized a loss of $14.1 million shown as component of Loss on settlement of related party notes payable in the Unaudited Condensed Consolidated Statements of Operations and Comprehensive Loss during the six months ended June 30, 2024.</w:t>
      </w:r>
    </w:p>
    <w:p>
      <w:pPr>
        <w:spacing w:after="0" w:line="127" w:lineRule="exact"/>
        <w:rPr>
          <w:sz w:val="20"/>
          <w:szCs w:val="20"/>
          <w:color w:val="auto"/>
        </w:rPr>
      </w:pPr>
    </w:p>
    <w:p>
      <w:pPr>
        <w:jc w:val="both"/>
        <w:ind w:firstLine="475"/>
        <w:spacing w:after="0" w:line="247" w:lineRule="auto"/>
        <w:rPr>
          <w:sz w:val="20"/>
          <w:szCs w:val="20"/>
          <w:color w:val="auto"/>
        </w:rPr>
      </w:pPr>
      <w:r>
        <w:rPr>
          <w:rFonts w:ascii="Times New Roman" w:cs="Times New Roman" w:eastAsia="Times New Roman" w:hAnsi="Times New Roman"/>
          <w:sz w:val="18"/>
          <w:szCs w:val="18"/>
          <w:color w:val="auto"/>
        </w:rPr>
        <w:t xml:space="preserve">In December 2024, the Company repaid $0.1 million and entered into supplementary agreements with Chongqing, further restructuring its outstanding debt. The December 2024 agreements largely restored the debt to amounts outstanding prior to the default on December 31, 2023. If the Company defaults again on its payment plan with Chongqing the interest and penalties accrued since the inception of the original agreement and the note principal will revert back to Chongqing in proportion to the unpaid portion of the discounted principal balance. The agreements maintain an 18.0% stated interest rate for the debt and establish a payment plan for periodic principal and interest payments until the revised maturity date of April 2027. The Company accounted for the restructuring as a troubled debt restructuring under ASC 470-60, </w:t>
      </w:r>
      <w:r>
        <w:rPr>
          <w:rFonts w:ascii="Times New Roman" w:cs="Times New Roman" w:eastAsia="Times New Roman" w:hAnsi="Times New Roman"/>
          <w:sz w:val="18"/>
          <w:szCs w:val="18"/>
          <w:i w:val="1"/>
          <w:iCs w:val="1"/>
          <w:color w:val="auto"/>
        </w:rPr>
        <w:t>Debt – Troubled Debt Restructurings by Debtors</w:t>
      </w:r>
      <w:r>
        <w:rPr>
          <w:rFonts w:ascii="Times New Roman" w:cs="Times New Roman" w:eastAsia="Times New Roman" w:hAnsi="Times New Roman"/>
          <w:sz w:val="18"/>
          <w:szCs w:val="18"/>
          <w:color w:val="auto"/>
        </w:rPr>
        <w:t>. The restructuring did not result in debt extinguishment for accounting purposes, as the modified terms were not deemed substantially different under ASC 470. As a result of the restructuring, the Company recognized a gain of $0.7 million in additional paid-in capital, reflecting the related party nature of the transaction. Following the restructuring and subsequent principal payments, the Company's Notes Payable—China is in good standing as of June 30, 2025.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Activity</w:t>
      </w:r>
    </w:p>
    <w:p>
      <w:pPr>
        <w:spacing w:after="0" w:line="138"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As of June 30, 2025, the principal value of this note payable was $4.3 million, compared to $4.4 million as of December 31, 2024. As of June 30, 2025 and December 31, 2024, the Company had accrued but unpaid interest and penalties of $22.5 million and $23.1 million recorded in Related party accrued interest on the Unaudited Condensed Consolidated Balance Sheets.</w:t>
      </w:r>
    </w:p>
    <w:p>
      <w:pPr>
        <w:spacing w:after="0" w:line="113" w:lineRule="exact"/>
        <w:rPr>
          <w:sz w:val="20"/>
          <w:szCs w:val="20"/>
          <w:color w:val="auto"/>
        </w:rPr>
      </w:pPr>
    </w:p>
    <w:p>
      <w:pPr>
        <w:jc w:val="both"/>
        <w:ind w:firstLine="475"/>
        <w:spacing w:after="0" w:line="269" w:lineRule="auto"/>
        <w:rPr>
          <w:sz w:val="20"/>
          <w:szCs w:val="20"/>
          <w:color w:val="auto"/>
        </w:rPr>
      </w:pPr>
      <w:r>
        <w:rPr>
          <w:rFonts w:ascii="Times New Roman" w:cs="Times New Roman" w:eastAsia="Times New Roman" w:hAnsi="Times New Roman"/>
          <w:sz w:val="18"/>
          <w:szCs w:val="18"/>
          <w:color w:val="auto"/>
        </w:rPr>
        <w:t>During the three and six months ended June 30, 2025, the Company repaid zero and $0.1 million and recognized a gain of zero and $0.7 million in additional paid-in capital.</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Payable on Demand — China</w:t>
      </w:r>
    </w:p>
    <w:p>
      <w:pPr>
        <w:spacing w:after="0" w:line="153" w:lineRule="exact"/>
        <w:rPr>
          <w:sz w:val="20"/>
          <w:szCs w:val="20"/>
          <w:color w:val="auto"/>
        </w:rPr>
      </w:pPr>
    </w:p>
    <w:p>
      <w:pPr>
        <w:jc w:val="both"/>
        <w:ind w:firstLine="475"/>
        <w:spacing w:after="0" w:line="269" w:lineRule="auto"/>
        <w:rPr>
          <w:sz w:val="20"/>
          <w:szCs w:val="20"/>
          <w:color w:val="auto"/>
        </w:rPr>
      </w:pPr>
      <w:r>
        <w:rPr>
          <w:rFonts w:ascii="Times New Roman" w:cs="Times New Roman" w:eastAsia="Times New Roman" w:hAnsi="Times New Roman"/>
          <w:sz w:val="18"/>
          <w:szCs w:val="18"/>
          <w:color w:val="auto"/>
        </w:rPr>
        <w:t>The Company's notes payable with investors based in China (“Notes Payable on Demand — China”) bear a zero percent interest rate. The outstanding balance as of June 30, 2025 and December 31, 2024, was $0.4 million and $0.4 million, respectively.</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FFGP Note</w:t>
      </w:r>
    </w:p>
    <w:p>
      <w:pPr>
        <w:spacing w:after="0" w:line="153"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In November 2023 and January 2024, the Company issued unsecured promissory notes to FFGP Investment Holding I, LLC (“FFGP”), a related party, in an aggregate principal amount of $1.6 million. These notes, referred to as the “FFGP Note”, were due three months from their respective dates of issuance and accrued interest at either 4.27% or 5.27%.</w:t>
      </w:r>
    </w:p>
    <w:p>
      <w:pPr>
        <w:spacing w:after="0" w:line="100"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FFGP fully waived its enforcement rights and remedies under the loan agreement with respect to the outstanding principal balance until final settlement. As a result, the FFGP Note is in good standing as of June 30, 2025, however, it remains due on-demand. During the three and six months ended June 30, 2025, the Company repaid $0.3 million and 0.3 million, respectively. The carrying values of the FFGP Note were $1.3 million and $1.6 million as of June 30, 2025 and December 31, 2024, respectively.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FFGP Note</w:t>
      </w:r>
    </w:p>
    <w:p>
      <w:pPr>
        <w:spacing w:after="0" w:line="153"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In February 2024, the Company and FFGP entered into an unsecured convertible note in the principal amount of $0.3 million. The note referred to as the “</w:t>
      </w:r>
      <w:r>
        <w:rPr>
          <w:rFonts w:ascii="Times New Roman" w:cs="Times New Roman" w:eastAsia="Times New Roman" w:hAnsi="Times New Roman"/>
          <w:sz w:val="18"/>
          <w:szCs w:val="18"/>
          <w:i w:val="1"/>
          <w:iCs w:val="1"/>
          <w:color w:val="auto"/>
        </w:rPr>
        <w:t>Convertible FFGP Note”,</w:t>
      </w:r>
      <w:r>
        <w:rPr>
          <w:rFonts w:ascii="Times New Roman" w:cs="Times New Roman" w:eastAsia="Times New Roman" w:hAnsi="Times New Roman"/>
          <w:sz w:val="18"/>
          <w:szCs w:val="18"/>
          <w:color w:val="auto"/>
        </w:rPr>
        <w:t xml:space="preserve"> has a maturity date of </w:t>
      </w:r>
      <w:r>
        <w:rPr>
          <w:rFonts w:ascii="Times New Roman" w:cs="Times New Roman" w:eastAsia="Times New Roman" w:hAnsi="Times New Roman"/>
          <w:sz w:val="15"/>
          <w:szCs w:val="15"/>
          <w:color w:val="auto"/>
        </w:rPr>
        <w:t>May 2024</w:t>
      </w:r>
      <w:r>
        <w:rPr>
          <w:rFonts w:ascii="Times New Roman" w:cs="Times New Roman" w:eastAsia="Times New Roman" w:hAnsi="Times New Roman"/>
          <w:sz w:val="18"/>
          <w:szCs w:val="18"/>
          <w:color w:val="auto"/>
        </w:rPr>
        <w:t xml:space="preserve"> accrued interest at a rate of 4.27% per annum, and is convertible into the Company’s Class A Common Stock at the holder’s option. The conversion price is the latest closing price of the Company’s Class A Common Stock on the conversion date.</w:t>
      </w:r>
    </w:p>
    <w:p>
      <w:pPr>
        <w:spacing w:after="0" w:line="100"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FFGP fully waived its enforcement rights and remedies under the loan agreement with respect to the outstanding principal balance until final settlement. As a result, the Convertible FFGP Note is in good standing as of June 30, 2025, however, it remains due on-demand. During the three and six months ended June 30, 2025, the Company repaid $0.2 million and $0.2 million, respectively. The carrying value of the Convertible FFGP Note was $0.1 million and $0.3 million as of June 30, 2025 and December 31, 2024, respectively.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Accounts Payable, Accrued Liabilities and Other Significant Transactions</w:t>
      </w:r>
    </w:p>
    <w:p>
      <w:pPr>
        <w:spacing w:after="0" w:line="166"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The Company enters into various related party transactions that do not involve notes payable, such as property leases, consulting services, advertising services, and other financial arrangements with entities affiliated with its founder, key executives, or their family members. This section specifically excludes related party notes payable, which are discussed in a separate section above, and instead focuses on summarizing the nature, terms, and financial impact of these non-debt transactions, including payments made, outstanding balances, and other pertinent details.</w:t>
      </w:r>
    </w:p>
    <w:p>
      <w:pPr>
        <w:spacing w:after="0" w:line="114" w:lineRule="exact"/>
        <w:rPr>
          <w:sz w:val="20"/>
          <w:szCs w:val="20"/>
          <w:color w:val="auto"/>
        </w:rPr>
      </w:pPr>
    </w:p>
    <w:p>
      <w:pPr>
        <w:ind w:left="260" w:hanging="254"/>
        <w:spacing w:after="0"/>
        <w:tabs>
          <w:tab w:leader="none" w:pos="260"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Global Transactions and Consulting Services</w:t>
      </w:r>
    </w:p>
    <w:p>
      <w:pPr>
        <w:spacing w:after="0" w:line="151" w:lineRule="exact"/>
        <w:rPr>
          <w:rFonts w:ascii="Times New Roman" w:cs="Times New Roman" w:eastAsia="Times New Roman" w:hAnsi="Times New Roman"/>
          <w:sz w:val="18"/>
          <w:szCs w:val="18"/>
          <w:i w:val="1"/>
          <w:iCs w:val="1"/>
          <w:color w:val="auto"/>
        </w:rPr>
      </w:pPr>
    </w:p>
    <w:p>
      <w:pPr>
        <w:jc w:val="both"/>
        <w:ind w:firstLine="475"/>
        <w:spacing w:after="0" w:line="248"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FF Global Partners LLC (“FFGP”) is an affiliate of the Company’s founder and Global Co-CEO, Mr. Yueting Jia, and has historically exerted significant influence over the Company’s governance. Effective August 13, 2025, during the pendency of the SEC investigation, Mr. Jia was temporarily excluded from oversight of the finance, legal, accounting, and public reporting functions (see Note 16). The Company entered into a Consulting Services Agreement with FFGP effective February 1, 2023, under which FFGP provided strategic and operational advisory services for a monthly fee of $200,000. The agreement automatically renewed on March 6, 2024, for an additional 12-month term and permitted reimbursement of certain documented out-of-pocket expenses, subject to specified limits. The Company terminated the agreement effective March 23, 2025, in connection with entering into a new consulting arrangement with FFGP.</w:t>
      </w:r>
    </w:p>
    <w:p>
      <w:pPr>
        <w:spacing w:after="0" w:line="112" w:lineRule="exact"/>
        <w:rPr>
          <w:sz w:val="20"/>
          <w:szCs w:val="20"/>
          <w:color w:val="auto"/>
        </w:rPr>
      </w:pPr>
    </w:p>
    <w:p>
      <w:pPr>
        <w:jc w:val="both"/>
        <w:ind w:firstLine="475"/>
        <w:spacing w:after="0" w:line="289" w:lineRule="auto"/>
        <w:rPr>
          <w:sz w:val="20"/>
          <w:szCs w:val="20"/>
          <w:color w:val="auto"/>
        </w:rPr>
      </w:pPr>
      <w:r>
        <w:rPr>
          <w:rFonts w:ascii="Times New Roman" w:cs="Times New Roman" w:eastAsia="Times New Roman" w:hAnsi="Times New Roman"/>
          <w:sz w:val="16"/>
          <w:szCs w:val="16"/>
          <w:color w:val="auto"/>
        </w:rPr>
        <w:t>On March 23, 2025, the Company and FFGP entered into a new month-to-month consulting agreement under which Mr. Jia continues to serve as the principal service provider. The revised agreement provides for a fixed monthly consulting fee of $100,000 and includes an annual bonus opportunity of up to $2.4 million. The bonus is contingent on FFGP’s performance and is subject to the sole discretion of the Company’s Board of Directors. The Board is responsible for determining whether performance objectives, if any, have been met and whether a bonus award is warranted. The agreement does not specify quantitative performance targets but allows the Board to consider overall contributions to business strategy, operational execution, and organizational planning.</w:t>
      </w:r>
    </w:p>
    <w:p>
      <w:pPr>
        <w:spacing w:after="0" w:line="92" w:lineRule="exact"/>
        <w:rPr>
          <w:sz w:val="20"/>
          <w:szCs w:val="20"/>
          <w:color w:val="auto"/>
        </w:rPr>
      </w:pPr>
    </w:p>
    <w:p>
      <w:pPr>
        <w:jc w:val="both"/>
        <w:ind w:firstLine="475"/>
        <w:spacing w:after="0" w:line="333" w:lineRule="auto"/>
        <w:rPr>
          <w:sz w:val="20"/>
          <w:szCs w:val="20"/>
          <w:color w:val="auto"/>
        </w:rPr>
      </w:pPr>
      <w:r>
        <w:rPr>
          <w:rFonts w:ascii="Times New Roman" w:cs="Times New Roman" w:eastAsia="Times New Roman" w:hAnsi="Times New Roman"/>
          <w:sz w:val="16"/>
          <w:szCs w:val="16"/>
          <w:color w:val="auto"/>
        </w:rPr>
        <w:t>For the six months ended June 30, 2025, the Company paid approximately $2.8 million to FFGP. As of June 30, 2025 the Company had an Related Party Accounts Payable balance of $0.5 million, and Related Party Accrued Liability balance of $0.8 million related to consulting services provided by FFGP.</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03"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In early 2023, FFGP submitted a reimbursement request for approximately $6.5 million of legal expenses related to governance matters. The Board did not approve the request, and accordingly no liability has been recorded. The matter remains unresolved as of June 30, 2025. The new consulting agreement did not modify, settle, or otherwise address this prior reimbursement claim.</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 Services Payable to Leshi Information Technology Co., Ltd</w:t>
      </w:r>
    </w:p>
    <w:p>
      <w:pPr>
        <w:spacing w:after="0" w:line="138"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The Company has recorded a related party payable to Leshi Information Technology Co., Ltd. within Related party accrued expenses and other current liabilities in the amount of $8.0 million as of June 30, 2025, in connection with advertising services provided to the Company in prior years. LeTV is a Shanghai Stock Exchange-listed public company founded and controlled by Mr. Yueting Jia, the Company’s founder and Global Co-CEO. See Note 16 for change in Company’s governance related to Mr. Jia’s role.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Grow Fandor</w:t>
      </w:r>
    </w:p>
    <w:p>
      <w:pPr>
        <w:spacing w:after="0" w:line="138" w:lineRule="exact"/>
        <w:rPr>
          <w:sz w:val="20"/>
          <w:szCs w:val="20"/>
          <w:color w:val="auto"/>
        </w:rPr>
      </w:pPr>
    </w:p>
    <w:p>
      <w:pPr>
        <w:jc w:val="both"/>
        <w:ind w:firstLine="475"/>
        <w:spacing w:after="0" w:line="250" w:lineRule="auto"/>
        <w:rPr>
          <w:sz w:val="20"/>
          <w:szCs w:val="20"/>
          <w:color w:val="auto"/>
        </w:rPr>
      </w:pPr>
      <w:r>
        <w:rPr>
          <w:rFonts w:ascii="Times New Roman" w:cs="Times New Roman" w:eastAsia="Times New Roman" w:hAnsi="Times New Roman"/>
          <w:sz w:val="18"/>
          <w:szCs w:val="18"/>
          <w:color w:val="auto"/>
        </w:rPr>
        <w:t>During 2024 and 2025, the Company entered into several related party transactions with Grow Fandor Inc. (“Grow Fandor”). Grow Fandor is considered a related party because it is significantly influenced by Mr. Yueting Jia, the Company’s Global Co-CEO, who has a financial and operational interest in the entity. Grow Fandor was co-founded by Mr. Jia and Mr. Jerry Wang, who currently serves as President of the Company and is a significant shareholder in Grow Fandor. See Note 16 for change in Company’s governance related to Mr. Jia’s role. Below is a summary of the Company’s transactions with Grow Fandor and the related accounting treatment:</w:t>
      </w:r>
    </w:p>
    <w:p>
      <w:pPr>
        <w:spacing w:after="0" w:line="212" w:lineRule="exact"/>
        <w:rPr>
          <w:sz w:val="20"/>
          <w:szCs w:val="20"/>
          <w:color w:val="auto"/>
        </w:rPr>
      </w:pPr>
    </w:p>
    <w:p>
      <w:pPr>
        <w:ind w:left="640" w:hanging="318"/>
        <w:spacing w:after="0" w:line="267"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Promissory Note: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September 2024, the Company executed a promissory note with Grow Fandor in the principal amount of $75,000. This note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been classified as “Other Notes” in table above that the summarizes the related party note payable agreements as of June 30, 2025.</w:t>
      </w:r>
    </w:p>
    <w:p>
      <w:pPr>
        <w:spacing w:after="0" w:line="1" w:lineRule="exact"/>
        <w:rPr>
          <w:rFonts w:ascii="Times New Roman" w:cs="Times New Roman" w:eastAsia="Times New Roman" w:hAnsi="Times New Roman"/>
          <w:sz w:val="18"/>
          <w:szCs w:val="18"/>
          <w:color w:val="auto"/>
        </w:rPr>
      </w:pPr>
    </w:p>
    <w:p>
      <w:pPr>
        <w:jc w:val="both"/>
        <w:ind w:left="640" w:hanging="318"/>
        <w:spacing w:after="0" w:line="292" w:lineRule="auto"/>
        <w:tabs>
          <w:tab w:leader="none" w:pos="635"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u w:val="single" w:color="auto"/>
          <w:color w:val="auto"/>
        </w:rPr>
        <w:t>Share Donation: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 October 2024, the Company received a donation of 15,000,000 shares of Class B Common Stock of Grow Fandor from Mr.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Yueting Jia, which represents an approximately 10% ownership interest. Because Grow Fandor is in the preliminary stages of development and significant independent capital has not been raised, management concluded that the shares do not currently have value within the financial statements.</w:t>
      </w:r>
    </w:p>
    <w:p>
      <w:pPr>
        <w:spacing w:after="0" w:line="1" w:lineRule="exact"/>
        <w:rPr>
          <w:rFonts w:ascii="Times New Roman" w:cs="Times New Roman" w:eastAsia="Times New Roman" w:hAnsi="Times New Roman"/>
          <w:sz w:val="16"/>
          <w:szCs w:val="16"/>
          <w:color w:val="auto"/>
        </w:rPr>
      </w:pPr>
    </w:p>
    <w:p>
      <w:pPr>
        <w:jc w:val="both"/>
        <w:ind w:left="640" w:hanging="318"/>
        <w:spacing w:after="0" w:line="247"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Trademark License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October 2024, the Company and Grow Fandor executed the Trademark License Agreement. Under the terms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licensing agreement, Grow Fandor has exclusive licensing rights as the only third-party allowed to use the FF and FX brands and marks during the contract term. In exchange Grow Fandor will pay to the Company: (1) a royalty fee, payable quarterly, calculated as the greater of: (a) 50% of the annual net profit from FF and FX ecosystem products, and (b) 5% of net sales revenue from all relevant brand ecosystem products; and (2) a $250,000 annual base license fee. Grow Fandor paid the initial annual license fee. Subsequent annual license fees will be payable within 30 days after each contract year. The Company recorded the initial license fee as a capital contribution due to the related party nature of the relationship with Grow Fandor and Mr. Yueting Jia’s public statements that the relationship is designed to provide incremental capital to the Company.</w:t>
      </w:r>
    </w:p>
    <w:p>
      <w:pPr>
        <w:spacing w:after="0" w:line="5" w:lineRule="exact"/>
        <w:rPr>
          <w:rFonts w:ascii="Times New Roman" w:cs="Times New Roman" w:eastAsia="Times New Roman" w:hAnsi="Times New Roman"/>
          <w:sz w:val="18"/>
          <w:szCs w:val="18"/>
          <w:color w:val="auto"/>
        </w:rPr>
      </w:pPr>
    </w:p>
    <w:p>
      <w:pPr>
        <w:jc w:val="both"/>
        <w:ind w:left="640" w:hanging="318"/>
        <w:spacing w:after="0" w:line="246"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Sub-lease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June 2025, the Company entered into a sublease agreement with Grow Fandor, for approximately 3,000 square feet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 space at our corporate office location. The term of the sublease is ten months, ending March 31, 2026. Monthly base rent is $4,500, with an additional $3,000 per month for Grow Fandor’s share of Common Area Operating Expenses, which may be deferred and accrue interest at 5% annually. The premises will be used for storage of apparel for e-commerce, office use, and video recording/streaming.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X-Butler Transactions</w:t>
      </w:r>
    </w:p>
    <w:p>
      <w:pPr>
        <w:spacing w:after="0" w:line="151" w:lineRule="exact"/>
        <w:rPr>
          <w:sz w:val="20"/>
          <w:szCs w:val="20"/>
          <w:color w:val="auto"/>
        </w:rPr>
      </w:pPr>
    </w:p>
    <w:p>
      <w:pPr>
        <w:jc w:val="both"/>
        <w:ind w:firstLine="475"/>
        <w:spacing w:after="0" w:line="248" w:lineRule="auto"/>
        <w:rPr>
          <w:sz w:val="20"/>
          <w:szCs w:val="20"/>
          <w:color w:val="auto"/>
        </w:rPr>
      </w:pPr>
      <w:r>
        <w:rPr>
          <w:rFonts w:ascii="Times New Roman" w:cs="Times New Roman" w:eastAsia="Times New Roman" w:hAnsi="Times New Roman"/>
          <w:sz w:val="18"/>
          <w:szCs w:val="18"/>
          <w:color w:val="auto"/>
        </w:rPr>
        <w:t>The Company leased two real properties, located in Rancho Palos Verdes, California (the “Rancho Palos Verdes Properties”), from X-Butler from January 1, 2018, through March 31, 2022. X-Butler in turn leased the Rancho Palos Verdes Properties from Mr. Yueting Jia, the Company’s founder and Global Co-CEO. See Note 16 for change in Company’s governance related to Mr. Jia’s role. The Rancho Palos Verdes Properties were used by the Company to provide long-term or temporary housing to employees of the Company (including a former Global CEO). According to the agreement between the parties, the Company paid X-Butler for rent and certain services, including catering, room services and organization of meetings, external gatherings and events, for the Rancho Palos Verdes Properties. For the six months ended June 30, 2025, the Company paid to X-Butler an immaterial amount, respectively, for rent and business development services rendered to the Company and its executives. The Company has recorded approximately zero and $0.3 million in Accounts Payable as of June 30, 2025 and December 31, 2024, respectively.</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Related Party Transactions</w:t>
      </w:r>
    </w:p>
    <w:p>
      <w:pPr>
        <w:spacing w:after="0" w:line="151" w:lineRule="exact"/>
        <w:rPr>
          <w:sz w:val="20"/>
          <w:szCs w:val="20"/>
          <w:color w:val="auto"/>
        </w:rPr>
      </w:pPr>
    </w:p>
    <w:p>
      <w:pPr>
        <w:ind w:firstLine="475"/>
        <w:spacing w:after="0" w:line="269" w:lineRule="auto"/>
        <w:rPr>
          <w:sz w:val="20"/>
          <w:szCs w:val="20"/>
          <w:color w:val="auto"/>
        </w:rPr>
      </w:pPr>
      <w:r>
        <w:rPr>
          <w:rFonts w:ascii="Times New Roman" w:cs="Times New Roman" w:eastAsia="Times New Roman" w:hAnsi="Times New Roman"/>
          <w:sz w:val="18"/>
          <w:szCs w:val="18"/>
          <w:color w:val="auto"/>
        </w:rPr>
        <w:t>During six months ended June 30, 2025 the Company paid approximately $423,579 to various related parties, primarily members of the Board of Directors.</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60" w:hanging="454"/>
        <w:spacing w:after="0"/>
        <w:tabs>
          <w:tab w:leader="none" w:pos="4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Financing Liabilities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FF ieFactory California (“Hanford”) Financing Arrangement</w:t>
      </w:r>
    </w:p>
    <w:p>
      <w:pPr>
        <w:spacing w:after="0" w:line="153" w:lineRule="exact"/>
        <w:rPr>
          <w:sz w:val="20"/>
          <w:szCs w:val="20"/>
          <w:color w:val="auto"/>
        </w:rPr>
      </w:pPr>
    </w:p>
    <w:p>
      <w:pPr>
        <w:jc w:val="both"/>
        <w:ind w:firstLine="475"/>
        <w:spacing w:after="0" w:line="248" w:lineRule="auto"/>
        <w:rPr>
          <w:sz w:val="20"/>
          <w:szCs w:val="20"/>
          <w:color w:val="auto"/>
        </w:rPr>
      </w:pPr>
      <w:r>
        <w:rPr>
          <w:rFonts w:ascii="Times New Roman" w:cs="Times New Roman" w:eastAsia="Times New Roman" w:hAnsi="Times New Roman"/>
          <w:sz w:val="18"/>
          <w:szCs w:val="18"/>
          <w:color w:val="auto"/>
        </w:rPr>
        <w:t>On October 19, 2023, the Company entered into a sale leaseback transaction whereby it has exercised its option to purchase its FF ieFactory California manufacturing facility located in Hanford California (the “Property”) and simultaneously completed a sale leaseback to Ocean West Capital Partners (“Landlord”) pursuant to that certain Lease Agreement, dated as of October 19, 2023, by and between the Tenant and 10701 Idaho Owner, LLC (the “Lease Agreement”). This Lease Agreement also allows the Tenant access to up to $12.0 million of tenant improvement allowance for the Property. The Lease Agreement is for a term of five years, with a monthly lease rate of $355,197, with a five-year extension option, and the Tenant has an option to purchase the fee interest in the Property at any time after the second year of the lease term. Furthermore, the Tenant has a right of first offer to purchase the Property in the event Landlord desires to sell the Property. The obligations of the Tenant under the lease are guaranteed by the Company pursuant to that certain Guaranty of Lease made by the Company to 10701 Idaho Owner, LLC.</w:t>
      </w:r>
    </w:p>
    <w:p>
      <w:pPr>
        <w:spacing w:after="0" w:line="109" w:lineRule="exact"/>
        <w:rPr>
          <w:sz w:val="20"/>
          <w:szCs w:val="20"/>
          <w:color w:val="auto"/>
        </w:rPr>
      </w:pPr>
    </w:p>
    <w:p>
      <w:pPr>
        <w:jc w:val="both"/>
        <w:ind w:firstLine="475"/>
        <w:spacing w:after="0" w:line="250" w:lineRule="auto"/>
        <w:rPr>
          <w:sz w:val="20"/>
          <w:szCs w:val="20"/>
          <w:color w:val="auto"/>
        </w:rPr>
      </w:pPr>
      <w:r>
        <w:rPr>
          <w:rFonts w:ascii="Times New Roman" w:cs="Times New Roman" w:eastAsia="Times New Roman" w:hAnsi="Times New Roman"/>
          <w:sz w:val="18"/>
          <w:szCs w:val="18"/>
          <w:color w:val="auto"/>
        </w:rPr>
        <w:t>Due to the inclusion of the purchase option in the lease agreement, the Company was considered to have continuing involvement and, thus, accounted for the transaction as a failed sale lease back, with the Property assets subject to the sale leaseback remaining on the balance sheet and the sale proceeds recorded as a liability in accordance with the financing method. The Company recognized a $24.9 million financing obligation at the completion of the transaction, which was recorded to the Other financing liabilities, long term portion on its Unaudited Condensed Consolidated Balance Sheets. No gain or loss was recorded on the failed sale and lease back.</w:t>
      </w:r>
    </w:p>
    <w:p>
      <w:pPr>
        <w:spacing w:after="0" w:line="122"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On March 14, 2024, the Company entered into the First Amendment to the Lease Agreement (the “First Amendment). The First Amendment established a repayment plan requiring the Company to pay an aggregate amount of $1.7 million of past due rent by March 31, 2024. The Company has an original Security Deposit balance of $1.5 million. In December 2024, the Landlord applied $0.6 million of the original Security Deposit to past due rent. In January 2025, the Company paid the Landlord $0.6 million that reinstated the Security Deposit balance.</w:t>
      </w:r>
    </w:p>
    <w:p>
      <w:pPr>
        <w:spacing w:after="0" w:line="116" w:lineRule="exact"/>
        <w:rPr>
          <w:sz w:val="20"/>
          <w:szCs w:val="20"/>
          <w:color w:val="auto"/>
        </w:rPr>
      </w:pPr>
    </w:p>
    <w:p>
      <w:pPr>
        <w:jc w:val="both"/>
        <w:ind w:firstLine="475"/>
        <w:spacing w:after="0" w:line="289" w:lineRule="auto"/>
        <w:rPr>
          <w:sz w:val="20"/>
          <w:szCs w:val="20"/>
          <w:color w:val="auto"/>
        </w:rPr>
      </w:pPr>
      <w:r>
        <w:rPr>
          <w:rFonts w:ascii="Times New Roman" w:cs="Times New Roman" w:eastAsia="Times New Roman" w:hAnsi="Times New Roman"/>
          <w:sz w:val="16"/>
          <w:szCs w:val="16"/>
          <w:color w:val="auto"/>
        </w:rPr>
        <w:t>On August 27, 2024, the Company entered into the Second Amendment to the Lease Agreement (the “Second Amendment”). Under the terms of the original lease agreement, the Company expected to receive $12.0 million in tenant improvement allowance, the repayment of which was included in the scheduled financing obligation payments. In the Second Amendment, the Landlord agreed to fund up to $10.0 million of the costs associated with the replacement of the Property’s roof and the remaining $2.0 million for other improvement costs. The $2.0 million may be reduced by incremental actual costs incurred for the roof replacement and the remaining amount will be contingent on the Company funding up to 66.67% of the other improvement costs.</w:t>
      </w:r>
    </w:p>
    <w:p>
      <w:pPr>
        <w:spacing w:after="0" w:line="79"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As of June 30, 2025 and December 31, 2024, the Company had a leasehold improvement balance of $11.3 million and $6.9 million, respectively, within Property, plant and equipment, net, reflecting amounts funded through the tenant improvement allowance. The repayment of the tenant improvement allowance are included in the scheduled financing obligation payments.</w:t>
      </w:r>
    </w:p>
    <w:p>
      <w:pPr>
        <w:spacing w:after="0" w:line="11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For the three and six months ended June 30, 2025, the Company recorded interest expense of $2.0 million and $3.9 million, respectively.</w:t>
      </w:r>
    </w:p>
    <w:p>
      <w:pPr>
        <w:spacing w:after="0" w:line="14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For the three and six months ended June 30, 2024 the Company recorded interest expense of $1.7 million and $3.5 million, respectively.</w:t>
      </w:r>
    </w:p>
    <w:p>
      <w:pPr>
        <w:spacing w:after="0" w:line="1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financial liability as of June 30, 2025 and December 31, 2024 was $41.3 million and $35.2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Collateralized Loan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 and Terms</w:t>
      </w:r>
    </w:p>
    <w:p>
      <w:pPr>
        <w:spacing w:after="0" w:line="138"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The Collateralized Loan was entered into on July 11, 2024, with Utica Leaseco, LLC. The loan is secured by machinery and equipment owned by the Company. It bears an effective interest rate of 23% and requires 51 monthly payments of $0.1 million, concluding with a $0.5 million balloon payment in October 2028. The loan terms include provisions for adjusting monthly payments based on fluctuations in the prime rate.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Collateralized Loan Activity</w:t>
      </w:r>
    </w:p>
    <w:p>
      <w:pPr>
        <w:spacing w:after="0" w:line="138" w:lineRule="exact"/>
        <w:rPr>
          <w:sz w:val="20"/>
          <w:szCs w:val="20"/>
          <w:color w:val="auto"/>
        </w:rPr>
      </w:pPr>
    </w:p>
    <w:p>
      <w:pPr>
        <w:jc w:val="both"/>
        <w:ind w:firstLine="475"/>
        <w:spacing w:after="0" w:line="249" w:lineRule="auto"/>
        <w:rPr>
          <w:sz w:val="20"/>
          <w:szCs w:val="20"/>
          <w:color w:val="auto"/>
        </w:rPr>
      </w:pPr>
      <w:r>
        <w:rPr>
          <w:rFonts w:ascii="Times New Roman" w:cs="Times New Roman" w:eastAsia="Times New Roman" w:hAnsi="Times New Roman"/>
          <w:sz w:val="18"/>
          <w:szCs w:val="18"/>
          <w:color w:val="auto"/>
        </w:rPr>
        <w:t>As of June 30, 2025 and December 31, 2024, the carrying value of the Collateralized Loan was $4.0 million and $4.3 million, respectively. Of these amounts $0.9 million and $0.8 million, respectively, were included in Other financing liabilities, current portion and $3.1 million and $3.5 million, respectively, were included in Other financing liabilities, long term portion in the Unaudited Condensed Consolidated Balance Sheets. For the three and six months ended June 30, 2025, the Company repaid $0.2 million and $0.4 million of Collateralized Loan principal, respectively. Interest expense for the three and six months ended June 30, 2025 was $0.3 million and $0.6 million, respectively. There was no activity involving the Collateralized Loan during the three and six months ended June 30, 2024.</w:t>
      </w:r>
    </w:p>
    <w:p>
      <w:pPr>
        <w:spacing w:after="0" w:line="1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future scheduled principal maturities of financing obligations as of June 30, 2025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123190</wp:posOffset>
            </wp:positionV>
            <wp:extent cx="7135495" cy="167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5495" cy="167640"/>
                    </a:xfrm>
                    <a:prstGeom prst="rect">
                      <a:avLst/>
                    </a:prstGeom>
                    <a:noFill/>
                  </pic:spPr>
                </pic:pic>
              </a:graphicData>
            </a:graphic>
          </wp:anchor>
        </w:drawing>
      </w:r>
    </w:p>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9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420" w:type="dxa"/>
            <w:vAlign w:val="bottom"/>
          </w:tcPr>
          <w:p>
            <w:pPr>
              <w:spacing w:after="0"/>
              <w:rPr>
                <w:sz w:val="20"/>
                <w:szCs w:val="20"/>
                <w:color w:val="auto"/>
              </w:rPr>
            </w:pPr>
          </w:p>
        </w:tc>
        <w:tc>
          <w:tcPr>
            <w:tcW w:w="1620" w:type="dxa"/>
            <w:vAlign w:val="bottom"/>
          </w:tcPr>
          <w:p>
            <w:pPr>
              <w:jc w:val="right"/>
              <w:ind w:right="652"/>
              <w:spacing w:after="0"/>
              <w:rPr>
                <w:sz w:val="20"/>
                <w:szCs w:val="20"/>
                <w:color w:val="auto"/>
              </w:rPr>
            </w:pPr>
            <w:r>
              <w:rPr>
                <w:rFonts w:ascii="Times New Roman" w:cs="Times New Roman" w:eastAsia="Times New Roman" w:hAnsi="Times New Roman"/>
                <w:sz w:val="18"/>
                <w:szCs w:val="18"/>
                <w:color w:val="auto"/>
              </w:rPr>
              <w:t>Amount</w:t>
            </w:r>
          </w:p>
        </w:tc>
      </w:tr>
      <w:tr>
        <w:trPr>
          <w:trHeight w:val="27"/>
        </w:trPr>
        <w:tc>
          <w:tcPr>
            <w:tcW w:w="3320" w:type="dxa"/>
            <w:vAlign w:val="bottom"/>
            <w:tcBorders>
              <w:bottom w:val="single" w:sz="8" w:color="auto"/>
            </w:tcBorders>
          </w:tcPr>
          <w:p>
            <w:pPr>
              <w:spacing w:after="0"/>
              <w:rPr>
                <w:sz w:val="2"/>
                <w:szCs w:val="2"/>
                <w:color w:val="auto"/>
              </w:rPr>
            </w:pPr>
          </w:p>
        </w:tc>
        <w:tc>
          <w:tcPr>
            <w:tcW w:w="58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2025 </w:t>
            </w:r>
            <w:r>
              <w:rPr>
                <w:rFonts w:ascii="Times New Roman" w:cs="Times New Roman" w:eastAsia="Times New Roman" w:hAnsi="Times New Roman"/>
                <w:sz w:val="18"/>
                <w:szCs w:val="18"/>
                <w:i w:val="1"/>
                <w:iCs w:val="1"/>
                <w:color w:val="auto"/>
              </w:rPr>
              <w:t>(6 months remaining)</w:t>
            </w:r>
          </w:p>
        </w:tc>
        <w:tc>
          <w:tcPr>
            <w:tcW w:w="588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r>
      <w:tr>
        <w:trPr>
          <w:trHeight w:val="22"/>
        </w:trPr>
        <w:tc>
          <w:tcPr>
            <w:tcW w:w="33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31"/>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8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w:t>
            </w: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60,455</w:t>
            </w:r>
          </w:p>
        </w:tc>
      </w:tr>
      <w:tr>
        <w:trPr>
          <w:trHeight w:val="22"/>
        </w:trPr>
        <w:tc>
          <w:tcPr>
            <w:tcW w:w="3320" w:type="dxa"/>
            <w:vAlign w:val="bottom"/>
            <w:tcBorders>
              <w:bottom w:val="single" w:sz="8" w:color="CCEEFF"/>
            </w:tcBorders>
          </w:tcPr>
          <w:p>
            <w:pPr>
              <w:spacing w:after="0" w:line="20" w:lineRule="exact"/>
              <w:rPr>
                <w:sz w:val="1"/>
                <w:szCs w:val="1"/>
                <w:color w:val="auto"/>
              </w:rPr>
            </w:pPr>
          </w:p>
        </w:tc>
        <w:tc>
          <w:tcPr>
            <w:tcW w:w="58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69"/>
        </w:trPr>
        <w:tc>
          <w:tcPr>
            <w:tcW w:w="3320" w:type="dxa"/>
            <w:vAlign w:val="bottom"/>
            <w:tcBorders>
              <w:bottom w:val="single" w:sz="8" w:color="CCEEFF"/>
            </w:tcBorders>
            <w:shd w:val="clear" w:color="auto" w:fill="CCEEFF"/>
          </w:tcPr>
          <w:p>
            <w:pPr>
              <w:spacing w:after="0"/>
              <w:rPr>
                <w:sz w:val="22"/>
                <w:szCs w:val="22"/>
                <w:color w:val="auto"/>
              </w:rPr>
            </w:pPr>
          </w:p>
        </w:tc>
        <w:tc>
          <w:tcPr>
            <w:tcW w:w="58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62,995</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58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ind w:left="520" w:hanging="514"/>
        <w:spacing w:after="0"/>
        <w:tabs>
          <w:tab w:leader="none" w:pos="52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51" w:lineRule="exact"/>
        <w:rPr>
          <w:sz w:val="20"/>
          <w:szCs w:val="20"/>
          <w:color w:val="auto"/>
        </w:rPr>
      </w:pPr>
    </w:p>
    <w:p>
      <w:pPr>
        <w:jc w:val="both"/>
        <w:ind w:firstLine="475"/>
        <w:spacing w:after="0" w:line="247" w:lineRule="auto"/>
        <w:rPr>
          <w:sz w:val="20"/>
          <w:szCs w:val="20"/>
          <w:color w:val="auto"/>
        </w:rPr>
      </w:pPr>
      <w:r>
        <w:rPr>
          <w:rFonts w:ascii="Times New Roman" w:cs="Times New Roman" w:eastAsia="Times New Roman" w:hAnsi="Times New Roman"/>
          <w:sz w:val="18"/>
          <w:szCs w:val="18"/>
          <w:color w:val="auto"/>
        </w:rPr>
        <w:t>The Company determines if an arrangement is a lease at its commencement if the Company is both able to identify an asset and conclude the Company has the right to control the identified asset. Leases are classified as finance or operating based on the principle of whether or not the lease is effectively a financed purchase by the lessee. An ROU asset represents the Company’s right to use an underlying asset for the lease term and a lease liability represents the Company’s obligation to make lease payments related to the lease. The Company recognizes operating and finance lease ROU assets and liabilities at the commencement date based on the present value of lease payments over the lease term. The lease term includes renewal options when it is reasonably certain that the option will be exercised and excludes termination options. The Company’s leases do not provide an implicit rate. Therefore, the Company uses its incremental borrowing rate based on information available at the commencement date to determine the present value of lease payments. The incremental borrowing rate used is estimated based on what the Company would be required to pay for a collateralized loan for a similar asset over a similar term. The Company’s leases do not include any material residual value guarantees, or bargain purchase options.</w:t>
      </w:r>
    </w:p>
    <w:p>
      <w:pPr>
        <w:spacing w:after="0" w:line="114" w:lineRule="exact"/>
        <w:rPr>
          <w:sz w:val="20"/>
          <w:szCs w:val="20"/>
          <w:color w:val="auto"/>
        </w:rPr>
      </w:pPr>
    </w:p>
    <w:p>
      <w:pPr>
        <w:jc w:val="both"/>
        <w:ind w:firstLine="475"/>
        <w:spacing w:after="0" w:line="247" w:lineRule="auto"/>
        <w:rPr>
          <w:sz w:val="20"/>
          <w:szCs w:val="20"/>
          <w:color w:val="auto"/>
        </w:rPr>
      </w:pPr>
      <w:r>
        <w:rPr>
          <w:rFonts w:ascii="Times New Roman" w:cs="Times New Roman" w:eastAsia="Times New Roman" w:hAnsi="Times New Roman"/>
          <w:sz w:val="18"/>
          <w:szCs w:val="18"/>
          <w:color w:val="auto"/>
        </w:rPr>
        <w:t>To the extent that the Company’s agreements have variable lease payments, the Company includes variable lease payments that depend on an index or a rate in the measurement and classification of a lease and exclude those that depend on facts or circumstances occurring after the commencement date, other than the passage of time. Lease expense for operating leases is recognized on a straight-line basis over the lease term and is recorded in operating expenses in the Unaudited Condensed Consolidated Statements of Operations and Comprehensive Loss. Amortization of ROU assets on finance leases is recorded on a straight-line basis within operating expenses in the Unaudited Condensed Consolidated Statements of Operations and Comprehensive Loss. Interest expense incurred on finance lease liabilities is recorded in Interest expense in the Unaudited Condensed Consolidated Statements of Operations and Comprehensive Loss. The Company has elected not to recognize ROU assets and lease liabilities that arise from short-term (12 months or less) leases for any class of underlying asset. Additionally, the Company does not separate lease and non-lease components. Operating leases are included in Operating lease right-of-use assets, net, Operating lease liabilities, current portion and Operating lease liabilities, long term portion in the Company's Unaudited Condensed Consolidated Balance Sheets.</w:t>
      </w:r>
    </w:p>
    <w:p>
      <w:pPr>
        <w:spacing w:after="0" w:line="13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Company’s lease arrangements primarily consist of corporate office, store, and vehicle lease agreements. The leases expire on various dates through</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2027.</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58" w:lineRule="exact"/>
        <w:rPr>
          <w:sz w:val="20"/>
          <w:szCs w:val="20"/>
          <w:color w:val="auto"/>
        </w:rPr>
      </w:pPr>
    </w:p>
    <w:p>
      <w:pPr>
        <w:jc w:val="both"/>
        <w:ind w:firstLine="633"/>
        <w:spacing w:after="0" w:line="304" w:lineRule="auto"/>
        <w:rPr>
          <w:sz w:val="20"/>
          <w:szCs w:val="20"/>
          <w:color w:val="auto"/>
        </w:rPr>
      </w:pPr>
      <w:r>
        <w:rPr>
          <w:rFonts w:ascii="Times New Roman" w:cs="Times New Roman" w:eastAsia="Times New Roman" w:hAnsi="Times New Roman"/>
          <w:sz w:val="16"/>
          <w:szCs w:val="16"/>
          <w:color w:val="auto"/>
        </w:rPr>
        <w:t>As part of the Company’s plan to expand its operations within the United Arab Emirates, the Company signed a lease on May 01, 2025 with Ras Al Khaimah Economic Zone Authority (“RAKEZ”) to rent a warehouse with 10,000 square meters total rentable surface for 5 years and an annual lease payment of AED 3,800,000. The execution of this new lease during the three months ended June 30, 2025, resulted in an increase in right-of-use assets by $4.8 million.</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Impairment</w:t>
      </w:r>
    </w:p>
    <w:p>
      <w:pPr>
        <w:spacing w:after="0" w:line="166"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During the three months ended June 30, 2024, the Company vacated a leased store facility and a leased research facility while working with the landlords to negotiate the related lease terminations. As a result, the Company recognized a lease right-of-use (ROU) asset impairment loss of $7.6 million related to the loss of use of these two facilities. There were no lease impairments during the current year.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Sublease</w:t>
      </w:r>
    </w:p>
    <w:p>
      <w:pPr>
        <w:spacing w:after="0" w:line="166"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In June 2025, the Company entered into a sublease arrangement with Grow Fandor, a related party, whereby Grow Fandor leases 3,000 square feet of office space at the Gardena Corporate Office location for ten months. The area subleased constitutes roughly 2% of the overall rentable space at the Gardena location. The monthly base rent is $4,500 which is recorded as intercompany rental income. Total sublease income recognized for the three and six months ended June 30, 2025 is $4,500.</w:t>
      </w:r>
    </w:p>
    <w:p>
      <w:pPr>
        <w:spacing w:after="0" w:line="114" w:lineRule="exact"/>
        <w:rPr>
          <w:sz w:val="20"/>
          <w:szCs w:val="20"/>
          <w:color w:val="auto"/>
        </w:rPr>
      </w:pPr>
    </w:p>
    <w:p>
      <w:pPr>
        <w:ind w:left="460" w:hanging="454"/>
        <w:spacing w:after="0"/>
        <w:tabs>
          <w:tab w:leader="none" w:pos="4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51" w:lineRule="exact"/>
        <w:rPr>
          <w:sz w:val="20"/>
          <w:szCs w:val="20"/>
          <w:color w:val="auto"/>
        </w:rPr>
      </w:pPr>
    </w:p>
    <w:p>
      <w:pPr>
        <w:jc w:val="both"/>
        <w:ind w:firstLine="475"/>
        <w:spacing w:after="0" w:line="269" w:lineRule="auto"/>
        <w:rPr>
          <w:sz w:val="20"/>
          <w:szCs w:val="20"/>
          <w:color w:val="auto"/>
        </w:rPr>
      </w:pPr>
      <w:r>
        <w:rPr>
          <w:rFonts w:ascii="Times New Roman" w:cs="Times New Roman" w:eastAsia="Times New Roman" w:hAnsi="Times New Roman"/>
          <w:sz w:val="18"/>
          <w:szCs w:val="18"/>
          <w:color w:val="auto"/>
        </w:rPr>
        <w:t>The Company is, from time to time, subject to claims and disputes arising in the normal course of business. In the opinion of management, the outcome of any such claims and disputes cannot be predicted with certainty.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 Against the Company</w:t>
      </w:r>
    </w:p>
    <w:p>
      <w:pPr>
        <w:spacing w:after="0" w:line="166"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As of June 30, 2025 and December 31, 2024, the Company had accrued legal contingencies of $10.1 million and $9.1 million, respectively, recorded within Accrued expenses and other current liabilities and Accounts payable for potential financial exposure related to ongoing legal matters, primarily related to breach of contracts and employment matters, which are deemed both probable of loss and reasonably estimable.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and Derivative Actions</w:t>
      </w:r>
    </w:p>
    <w:p>
      <w:pPr>
        <w:spacing w:after="0" w:line="14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i w:val="1"/>
          <w:iCs w:val="1"/>
          <w:u w:val="single" w:color="auto"/>
          <w:color w:val="auto"/>
        </w:rPr>
        <w:t>Zhou v. Faraday Future Intelligent Electric Inc. f/k/a Property Solutions Acquisition Corp. et al., Case No. 2:21-cv-009914 (U.S. District Court – Central District of California).</w:t>
      </w:r>
    </w:p>
    <w:p>
      <w:pPr>
        <w:spacing w:after="0" w:line="87" w:lineRule="exact"/>
        <w:rPr>
          <w:sz w:val="20"/>
          <w:szCs w:val="20"/>
          <w:color w:val="auto"/>
        </w:rPr>
      </w:pPr>
    </w:p>
    <w:p>
      <w:pPr>
        <w:jc w:val="both"/>
        <w:ind w:firstLine="475"/>
        <w:spacing w:after="0" w:line="279" w:lineRule="auto"/>
        <w:rPr>
          <w:sz w:val="20"/>
          <w:szCs w:val="20"/>
          <w:color w:val="auto"/>
        </w:rPr>
      </w:pPr>
      <w:r>
        <w:rPr>
          <w:rFonts w:ascii="Times New Roman" w:cs="Times New Roman" w:eastAsia="Times New Roman" w:hAnsi="Times New Roman"/>
          <w:sz w:val="16"/>
          <w:szCs w:val="16"/>
          <w:color w:val="auto"/>
        </w:rPr>
        <w:t>On December 23, 2021, a putative class action lawsuit alleging violations of the Exchange Act was filed in the United States District Court, Central District of California, against the Company and its former Chief Executive Officer and Chief Financial Officer, and its then-Chief Product and User Ecosystem Officer (who was promoted to Global Co-CEO in April 2025; See Note 16 for change in Company’s governance related to Mr. Jia’s role), as well as the Co-CEOs of Property Solutions Acquisition Corp. (“PSAC”). On May 6, 2022, the appointed lead plaintiffs in the Zhou putative class action filed an amended complaint alleging violations of Sections 10(b), 14(a) and 20(a) of the Exchange Act, Sections 11 and 15 of the Securities Act, and related “control” person claims for secondary liability under those statutes, seeking unspecified damages. Following motion to dismiss briefing and the subsequent court-ordered dismissal of several of the plaintiffs’ claims, answers were filed and the parties agreed to participate in mediation. On April 27, 2023, the court granted the parties’ joint motion for a temporary stay pending mediation. The parties thereafter participated in a private mediation on June 29, 2023. After further discussions and negotiations, the parties reached an agreement-in-principle to settle the Zhou putative class action. Although denying all allegations, the Company nevertheless agreed to settle the Zhou putative class action for a non-reversionary cash payment of $7.5 million to be funded entirely by the Company’s insurers for the benefit of the settlement class, in exchange for the release of all claims that were or could have been asserted against the Company. The court thereafter granted preliminary approval of the settlement on November 7, 2023, and scheduled a hearing for final approval of the settlement to take place on March 18, 2024. On January 23, 2024, the ostensible lead plaintiff in the Consolidated Delaware Class Action discussed below, filed an Objection to final approval of the settlement (the “Objection”) to which the Company and the other defendants responded on March 11, 2024. On March 18, 2024, the court overruled the Objection in its entirety and entered an Order finally approving the Zhou putative class action settlement.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Farazmand v. Breitfeld et al.</w:t>
      </w:r>
      <w:r>
        <w:rPr>
          <w:rFonts w:ascii="Times New Roman" w:cs="Times New Roman" w:eastAsia="Times New Roman" w:hAnsi="Times New Roman"/>
          <w:sz w:val="18"/>
          <w:szCs w:val="18"/>
          <w:u w:val="single" w:color="auto"/>
          <w:color w:val="auto"/>
        </w:rPr>
        <w:t>, Case No. 2:22-cv-01570 (U.S. District Court – Central District of California).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Zhou v Breitfeld et al.</w:t>
      </w:r>
      <w:r>
        <w:rPr>
          <w:rFonts w:ascii="Times New Roman" w:cs="Times New Roman" w:eastAsia="Times New Roman" w:hAnsi="Times New Roman"/>
          <w:sz w:val="18"/>
          <w:szCs w:val="18"/>
          <w:u w:val="single" w:color="auto"/>
          <w:color w:val="auto"/>
          <w:highlight w:val="white"/>
        </w:rPr>
        <w:t>, Case No. 2:22-cv-01852 (U.S. District Court – Central District of California).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Moubarak v. Breitfeld et al.</w:t>
      </w:r>
      <w:r>
        <w:rPr>
          <w:rFonts w:ascii="Times New Roman" w:cs="Times New Roman" w:eastAsia="Times New Roman" w:hAnsi="Times New Roman"/>
          <w:sz w:val="18"/>
          <w:szCs w:val="18"/>
          <w:u w:val="single" w:color="auto"/>
          <w:color w:val="auto"/>
        </w:rPr>
        <w:t>, Case No. 1:22-cv-00467 (U.S. District Court – District of Delaware).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Wang v. Breitfeld et al.</w:t>
      </w:r>
      <w:r>
        <w:rPr>
          <w:rFonts w:ascii="Times New Roman" w:cs="Times New Roman" w:eastAsia="Times New Roman" w:hAnsi="Times New Roman"/>
          <w:sz w:val="18"/>
          <w:szCs w:val="18"/>
          <w:u w:val="single" w:color="auto"/>
          <w:color w:val="auto"/>
        </w:rPr>
        <w:t>, Case No. 1:22-cv-00525 (U.S. District Court – District of Delaware).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Wallace v. Breitfeld et al.</w:t>
      </w:r>
      <w:r>
        <w:rPr>
          <w:rFonts w:ascii="Times New Roman" w:cs="Times New Roman" w:eastAsia="Times New Roman" w:hAnsi="Times New Roman"/>
          <w:sz w:val="18"/>
          <w:szCs w:val="18"/>
          <w:u w:val="single" w:color="auto"/>
          <w:color w:val="auto"/>
          <w:highlight w:val="white"/>
        </w:rPr>
        <w:t>, Case No. 2023-0639-KSJM (Delaware Court of Chancery).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Ashkan Farazmand and Wangjun Zhou v. Breitfeld, et al., Case No. 2023-1283 (Delaware Court of Chancery).</w:t>
      </w:r>
    </w:p>
    <w:p>
      <w:pPr>
        <w:spacing w:after="0" w:line="131" w:lineRule="exact"/>
        <w:rPr>
          <w:sz w:val="20"/>
          <w:szCs w:val="20"/>
          <w:color w:val="auto"/>
        </w:rPr>
      </w:pPr>
    </w:p>
    <w:p>
      <w:pPr>
        <w:jc w:val="both"/>
        <w:ind w:firstLine="475"/>
        <w:spacing w:after="0" w:line="248" w:lineRule="auto"/>
        <w:rPr>
          <w:sz w:val="20"/>
          <w:szCs w:val="20"/>
          <w:color w:val="auto"/>
        </w:rPr>
      </w:pPr>
      <w:r>
        <w:rPr>
          <w:rFonts w:ascii="Times New Roman" w:cs="Times New Roman" w:eastAsia="Times New Roman" w:hAnsi="Times New Roman"/>
          <w:sz w:val="18"/>
          <w:szCs w:val="18"/>
          <w:color w:val="auto"/>
        </w:rPr>
        <w:t>On March 8 (Farazmand) and March 21 (Zhou), 2022, putative stockholder derivative lawsuits were respectively filed in the United States District Court, Central District of California and were subsequently consolidated in an action entitled In re Faraday Future Intelligent Electric Inc. Case No. 2:22-cv-1570 (the “California Federal Derivative Action”). The California Federal Derivative Action was stayed pending resolution of certain proceedings in the Zhou putative class action discussed above, which stay expired in February 2023. Plaintiffs thereafter filed a verified consolidated amended complaint on June 2, 2023, in response to which the Company and the other defendants filed a motion to dismiss. On January 22, 2024, the court granted in part, and denied in part, the motion to dismiss with leave to amend. On February 6, 2024, the parties filed a stipulation to stay the California Federal Derivative Action pending mediation that was entered by the court on February 12, 2024.</w:t>
      </w:r>
    </w:p>
    <w:p>
      <w:pPr>
        <w:spacing w:after="0" w:line="112"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On April 11 (Moubarak) and April 25 (Wang), 2022, putative stockholder derivative lawsuits were respectively filed in the United States Delaware District Court (collectively, the “Delaware Federal Derivative Actions”). On February 6, 2023, the Delaware Derivative Actions were stayed pending resolution of the pending proceedings in the Zhou putative class action.</w:t>
      </w:r>
    </w:p>
    <w:p>
      <w:pPr>
        <w:spacing w:after="0" w:line="113"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On June 21 (Wallace) and December 22 (Farazmand), 2023, putative derivative lawsuits were respectively filed in the Delaware Court of Chancery (collectively, the “Delaware State Derivative Actions”). The parties stipulated to a stay of the Wallace action which was entered by the court on December 29, 2023.</w:t>
      </w:r>
    </w:p>
    <w:p>
      <w:pPr>
        <w:spacing w:after="0" w:line="100" w:lineRule="exact"/>
        <w:rPr>
          <w:sz w:val="20"/>
          <w:szCs w:val="20"/>
          <w:color w:val="auto"/>
        </w:rPr>
      </w:pPr>
    </w:p>
    <w:p>
      <w:pPr>
        <w:jc w:val="both"/>
        <w:ind w:firstLine="475"/>
        <w:spacing w:after="0" w:line="246" w:lineRule="auto"/>
        <w:rPr>
          <w:sz w:val="20"/>
          <w:szCs w:val="20"/>
          <w:color w:val="auto"/>
        </w:rPr>
      </w:pPr>
      <w:r>
        <w:rPr>
          <w:rFonts w:ascii="Times New Roman" w:cs="Times New Roman" w:eastAsia="Times New Roman" w:hAnsi="Times New Roman"/>
          <w:sz w:val="18"/>
          <w:szCs w:val="18"/>
          <w:color w:val="auto"/>
        </w:rPr>
        <w:t>Each of the foregoing derivative lawsuits purported to assert claims on behalf of the Company against certain of the Company’s current and former officers and directors for alleged violations of the Exchange Act or for various common law claims based upon those officers’ and directors’ alleged breaches of their purported fiduciary duties owed to the Company and/or for their alleged aiding and abetting of those purported breaches, resulting in unspecified damages to the Company. Although the complaints filed in the foregoing lawsuits vary in detail, they are generally premised upon many of the same underlying allegations made in the Zhou putative class action. The parties to the foregoing derivative lawsuits participated in a mediation on May 13, 2024, following which they reached a settlement in principle. On July 19, 2024, the parties entered into a Stipulation and Agreement of Settlement that was filed in the California Federal Derivative Action, which incorporated all of the foregoing derivative lawsuits respectively filed in California and Delaware. On September 3, 2024, the California Federal Derivative Action Court entered an order preliminarily approving the Stipulation and Agreement of Settlement (the “Preliminary Approval Order”) and provided for notice of the same to be made to Current Stockholders. On October 30, 2024, the California Federal Derivative Action Court approved the Settlement Agreement, resolving all of the foregoing derivative lawsuits. Following the approval of the Settlement Agreement, the California Federal Derivative Action was dismissed on October 30, 2024 and the Delaware Federal Derivative Actions were dismissed on November 15, 2024 (Wang) and November 19, 2024 (Moubarak). On December 31, 2024, the parties in the Farazmand filed a stipulation of dismissal which was subsequently entered by the court.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Consolidated Delaware Class Action</w:t>
      </w:r>
    </w:p>
    <w:p>
      <w:pPr>
        <w:spacing w:after="0" w:line="151" w:lineRule="exact"/>
        <w:rPr>
          <w:sz w:val="20"/>
          <w:szCs w:val="20"/>
          <w:color w:val="auto"/>
        </w:rPr>
      </w:pPr>
    </w:p>
    <w:p>
      <w:pPr>
        <w:jc w:val="both"/>
        <w:ind w:firstLine="475"/>
        <w:spacing w:after="0" w:line="246" w:lineRule="auto"/>
        <w:rPr>
          <w:sz w:val="20"/>
          <w:szCs w:val="20"/>
          <w:color w:val="auto"/>
        </w:rPr>
      </w:pPr>
      <w:r>
        <w:rPr>
          <w:rFonts w:ascii="Times New Roman" w:cs="Times New Roman" w:eastAsia="Times New Roman" w:hAnsi="Times New Roman"/>
          <w:sz w:val="18"/>
          <w:szCs w:val="18"/>
          <w:color w:val="auto"/>
        </w:rPr>
        <w:t>On June 14, 2022, a verified stockholder class action complaint was filed in the Delaware Court of Chancery against, among others, the Company, its former Global CEO and CFO, and its then-Chief Product and User Ecosystem Officer (who was promoted to Global Co-CEO in April 2025; See Note 16 for change in Company’s governance related to Mr. Jia’s role), alleging breaches of fiduciary duties (the “Yun Class Action”). On September 21, 2022, a second verified stockholder class action complaint was filed in the Delaware Court of Chancery against, among others, the Company, the Global Co-CEOs and independent directors of PSAC, and certain third-party advisors to PSAC, alleging breaches of fiduciary duties, and aiding and abetting those alleged breaches, in connection with disclosures and stockholder voting leading up to the PSAC/Legacy FF merger (the “Cleveland Class Action”). The Cleveland and Yun Class Actions subsequently were consolidated the complaint in the Cleveland Class Action being designated as the operative pleading (collectively, the “Consolidated Delaware Class Action”). In April 2023, the defendants respectively filed motions to dismiss that complaint. While the defendants’ motions to dismiss were pending, the Central District of California approved the Zhou putative class action settlement. On May 24, 2024, the defendants in the Consolidated Delaware Class Action filed a motion for summary judgment based upon the court-approved settlement agreement in Zhou putative class action on the grounds that among other things, the releases of that settlement agreement barred the claims in the Consolidated Delaware Class Action. On February 10, 2025, the Delaware Court of</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Chancery granted summary judgment and dismissed the Consolidated Delaware Class Action both in its entirety and with prejudice.</w:t>
      </w:r>
    </w:p>
    <w:p>
      <w:pPr>
        <w:spacing w:after="0" w:line="149" w:lineRule="exact"/>
        <w:rPr>
          <w:sz w:val="20"/>
          <w:szCs w:val="20"/>
          <w:color w:val="auto"/>
        </w:rPr>
      </w:pPr>
    </w:p>
    <w:p>
      <w:pPr>
        <w:jc w:val="both"/>
        <w:ind w:firstLine="475"/>
        <w:spacing w:after="0" w:line="247" w:lineRule="auto"/>
        <w:rPr>
          <w:sz w:val="20"/>
          <w:szCs w:val="20"/>
          <w:color w:val="auto"/>
        </w:rPr>
      </w:pPr>
      <w:r>
        <w:rPr>
          <w:rFonts w:ascii="Times New Roman" w:cs="Times New Roman" w:eastAsia="Times New Roman" w:hAnsi="Times New Roman"/>
          <w:sz w:val="18"/>
          <w:szCs w:val="18"/>
          <w:color w:val="auto"/>
        </w:rPr>
        <w:t>Additionally, on September 19, 2022, FF Global, filed a lawsuit in the Chancery Court of the State of Delaware against the Company, seeking the removal of Ms. Susan Swenson and Mr. Brian Krolicki from the Board. On September 27, 2022, the case was dismissed without prejudice pursuant to an agreement between FF Global and FF Top (the “Heads of Agreement”). Shortly following the execution of the Heads of Agreement, FF Global began making additional demands of the Company which were beyond the scope of the terms contemplated by the Heads of Agreement and pertained to, among other things, the Company’s management reporting lines and certain governance matters. On September 30, 2022, FF Global alleged that the Company was in material breach of the spirit of the Heads of Agreement. The Company believes it has complied with the applicable terms of the Heads of Agreement and disputes any characterization to the contrary. Such disputes divert management and Board resources and are costly. There can be no assurance that this or any other dispute between the Company and FF Global will not result in litigation. On October 3, 2022, Ms. Swenson and Mr. Scott Vogel, a member of the Board, tendered their resignation from the Board effective immediately. On October 3, 2022, Mr. Jordan Vogel also tendered his resignation from the Board effective on October 5, 2022. On October 28, 2022, Mr. Brian Krolicki tendered his resignation from the Board effective immediately.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 Initiated by the Company</w:t>
      </w:r>
    </w:p>
    <w:p>
      <w:pPr>
        <w:spacing w:after="0" w:line="153"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The Company has determined there to be financial exposure related to an ongoing legal matter, primarily arising from the bankruptcy of a key supplier. The exposure involves previously recorded deposits and tooling equipment, which have since become subject to legal contingency considerations due to the supplier’s insolvency.</w:t>
      </w:r>
    </w:p>
    <w:p>
      <w:pPr>
        <w:spacing w:after="0" w:line="100" w:lineRule="exact"/>
        <w:rPr>
          <w:sz w:val="20"/>
          <w:szCs w:val="20"/>
          <w:color w:val="auto"/>
        </w:rPr>
      </w:pPr>
    </w:p>
    <w:p>
      <w:pPr>
        <w:jc w:val="both"/>
        <w:ind w:firstLine="475"/>
        <w:spacing w:after="0" w:line="285" w:lineRule="auto"/>
        <w:rPr>
          <w:sz w:val="20"/>
          <w:szCs w:val="20"/>
          <w:color w:val="auto"/>
        </w:rPr>
      </w:pPr>
      <w:r>
        <w:rPr>
          <w:rFonts w:ascii="Times New Roman" w:cs="Times New Roman" w:eastAsia="Times New Roman" w:hAnsi="Times New Roman"/>
          <w:sz w:val="16"/>
          <w:szCs w:val="16"/>
          <w:color w:val="auto"/>
        </w:rPr>
        <w:t>The Company initially recorded $1.9 million in deposits and $12.9 million in tooling equipment in connection with its contractual relationship with a primary supplier. These amounts were originally recognized as a deposit paid for goods and services and tooling received, respectively, and continue to be reflected in their originally recorded accounts on the Consolidated Balance Sheets. However, following the primary supplier’s bankruptcy filing, these balances were identified as at risk, creating potential financial exposure for the Company. The $2.7 million charge consists of a $1.4 million write-off of deposits and a $1.3 million accrual for additional payments the Company expects to have to make to maintain access to its tooling located at vendors of the key supplier (the</w:t>
      </w:r>
    </w:p>
    <w:p>
      <w:pPr>
        <w:spacing w:after="0" w:line="2"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color w:val="auto"/>
        </w:rPr>
        <w:t>“secondary suppliers”). The $1.4 million write-off of deposits reflects the Company's estimate that recovery of that asset is not probable and leaves a remaining exposure of $0.5 million.</w:t>
      </w:r>
    </w:p>
    <w:p>
      <w:pPr>
        <w:spacing w:after="0" w:line="62" w:lineRule="exact"/>
        <w:rPr>
          <w:sz w:val="20"/>
          <w:szCs w:val="20"/>
          <w:color w:val="auto"/>
        </w:rPr>
      </w:pPr>
    </w:p>
    <w:p>
      <w:pPr>
        <w:ind w:right="140" w:firstLine="475"/>
        <w:spacing w:after="0" w:line="241" w:lineRule="auto"/>
        <w:rPr>
          <w:sz w:val="20"/>
          <w:szCs w:val="20"/>
          <w:color w:val="auto"/>
        </w:rPr>
      </w:pPr>
      <w:r>
        <w:rPr>
          <w:rFonts w:ascii="Times New Roman" w:cs="Times New Roman" w:eastAsia="Times New Roman" w:hAnsi="Times New Roman"/>
          <w:sz w:val="18"/>
          <w:szCs w:val="18"/>
          <w:color w:val="auto"/>
        </w:rPr>
        <w:t>The Company does not expect any further financial loss related to tooling. Although the Company has title to the tooling; the secondary suppliers have possession of it. The Company anticipates establishing a direct contractual arrangement with the secondary suppliers. Once in place, these agreements are expected to provide the Company with continued access to the tooling without additional financial exposure.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Action Against Tesca USA and Tesca ABC</w:t>
      </w:r>
    </w:p>
    <w:p>
      <w:pPr>
        <w:spacing w:after="0" w:line="138" w:lineRule="exact"/>
        <w:rPr>
          <w:sz w:val="20"/>
          <w:szCs w:val="20"/>
          <w:color w:val="auto"/>
        </w:rPr>
      </w:pPr>
    </w:p>
    <w:p>
      <w:pPr>
        <w:jc w:val="both"/>
        <w:ind w:firstLine="475"/>
        <w:spacing w:after="0" w:line="248" w:lineRule="auto"/>
        <w:rPr>
          <w:sz w:val="20"/>
          <w:szCs w:val="20"/>
          <w:color w:val="auto"/>
        </w:rPr>
      </w:pPr>
      <w:r>
        <w:rPr>
          <w:rFonts w:ascii="Times New Roman" w:cs="Times New Roman" w:eastAsia="Times New Roman" w:hAnsi="Times New Roman"/>
          <w:sz w:val="18"/>
          <w:szCs w:val="18"/>
          <w:color w:val="auto"/>
        </w:rPr>
        <w:t>On March 6, 2025, Faraday&amp;Future Inc. (“Faraday”) filed a demand for arbitration against Tesca USA, Inc. and Tesca ABC, LLC alleging the breach of an Engineering Services Agreement (“ESA”) between Tesca USA and Faraday&amp;Future Inc., under which Tesca USA was obligated to produce certain items related to automobile seating assembly and frame production. Pursuant to the ESA, Faraday paid Tesca USA approximately $36.0 million for certain parts, tooling, engineering design and development, and other items. According to a Verified Petition Regarding Assignment for the Benefit of Creditors filed in May 2024, Tesca USA, after failing to deliver any of these products or services to Faraday, assigned all its assets to Tesca ABC, a Delaware series limited liability company. Faraday has reason to suspect that Tesca USA may have made one or more large cash transfers to Tesca Group before it commenced the Assignment for Benefit of Creditors. Faraday is seeking in excess of $36.0 million in damages through this arbitration. The Company is unable to evaluate the likelihood of a favorable outcome given the early stages of these legal proceedings.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 Matters</w:t>
      </w:r>
    </w:p>
    <w:p>
      <w:pPr>
        <w:spacing w:after="0" w:line="153" w:lineRule="exact"/>
        <w:rPr>
          <w:sz w:val="20"/>
          <w:szCs w:val="20"/>
          <w:color w:val="auto"/>
        </w:rPr>
      </w:pPr>
    </w:p>
    <w:p>
      <w:pPr>
        <w:jc w:val="both"/>
        <w:ind w:firstLine="475"/>
        <w:spacing w:after="0" w:line="294" w:lineRule="auto"/>
        <w:rPr>
          <w:sz w:val="20"/>
          <w:szCs w:val="20"/>
          <w:color w:val="auto"/>
        </w:rPr>
      </w:pPr>
      <w:r>
        <w:rPr>
          <w:rFonts w:ascii="Times New Roman" w:cs="Times New Roman" w:eastAsia="Times New Roman" w:hAnsi="Times New Roman"/>
          <w:sz w:val="16"/>
          <w:szCs w:val="16"/>
          <w:color w:val="auto"/>
        </w:rPr>
        <w:t>Following the completion of the Special Committee (as defined below) investigation through the date hereof, the Company and certain of its directors and officers have received numerous e-mail communications from a group of self-described “employee whistleblowers” and from various individuals and entities who represented themselves as current investors of the Company. These communications have included various allegations (including, for example, that certain directors have conspired to push the Company into bankruptcy for their own personal gain) and requests for certain organizational and</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0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governance changes. The Company engaged an independent law firm to conduct a thorough independent external investigation with respect to these allegations. The independent investigation found that all such allegations have been without merit.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Legal Matters</w:t>
      </w:r>
    </w:p>
    <w:p>
      <w:pPr>
        <w:spacing w:after="0" w:line="140" w:lineRule="exact"/>
        <w:rPr>
          <w:sz w:val="20"/>
          <w:szCs w:val="20"/>
          <w:color w:val="auto"/>
        </w:rPr>
      </w:pPr>
    </w:p>
    <w:p>
      <w:pPr>
        <w:jc w:val="both"/>
        <w:ind w:firstLine="475"/>
        <w:spacing w:after="0" w:line="247" w:lineRule="auto"/>
        <w:rPr>
          <w:sz w:val="20"/>
          <w:szCs w:val="20"/>
          <w:color w:val="auto"/>
        </w:rPr>
      </w:pPr>
      <w:r>
        <w:rPr>
          <w:rFonts w:ascii="Times New Roman" w:cs="Times New Roman" w:eastAsia="Times New Roman" w:hAnsi="Times New Roman"/>
          <w:sz w:val="18"/>
          <w:szCs w:val="18"/>
          <w:color w:val="auto"/>
        </w:rPr>
        <w:t>On January 30, 2023, Riverside Management Group, LLC (“Riverside”) filed a verified complaint seeking to enforce its alleged contractual right to the advancement of all reasonable costs and expenses, including attorneys’ fees, it has and will incur as a named defendant in the Consolidated Delaware Class Action under its October 13, 2020 Transaction Services Agreement with the Company and Property Solutions Acquisition Sponsor, LLC (the “TSA”), pursuant to which Riverside provided PSAC with advisory services in connection with the PSAC/Legacy FF merger. In addition to seeking the advancement of such costs and expenses, Riverside also sought an award of its attorneys’ fees and costs incurred in enforcing its alleged advancement rights under the TSA, and concurrently filed a Motion for Expedited Proceedings, requesting that trial of the action be conducted on a summary basis and commence within 30 days of the motion’s disposition. The Company subsequently entered into a Stipulation and Order with Riverside under which it would conditionally advance Riverside the reasonable attorneys’ fees and costs it incurs in defense of the Consolidated Delaware Action, subject to, and in express reservation of, the Company’s right to recover all such fees and expenses following disposition of the Consolidated Delaware Class Action which, as noted above, was dismissed, with prejudice, on summary judgment by the Delaware Chancery Court.</w:t>
      </w:r>
    </w:p>
    <w:p>
      <w:pPr>
        <w:spacing w:after="0" w:line="125"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On January 31, 2023, Raymond Handling Solutions, Inc. (“Raymond”), an equipment supplier, filed an action alleging that the Company breached its contract with Raymond and refused to pay for warehouse racking equipment. Raymond requested a judgment in its favor in the amount of $1.1 million. On April 15, 2024, the Company and Raymond executed a Settlement Agreement under which Raymond released all claims in exchange for the return the of racking equipment.</w:t>
      </w:r>
    </w:p>
    <w:p>
      <w:pPr>
        <w:spacing w:after="0" w:line="103" w:lineRule="exact"/>
        <w:rPr>
          <w:sz w:val="20"/>
          <w:szCs w:val="20"/>
          <w:color w:val="auto"/>
        </w:rPr>
      </w:pPr>
    </w:p>
    <w:p>
      <w:pPr>
        <w:jc w:val="both"/>
        <w:ind w:firstLine="475"/>
        <w:spacing w:after="0" w:line="246" w:lineRule="auto"/>
        <w:rPr>
          <w:sz w:val="20"/>
          <w:szCs w:val="20"/>
          <w:color w:val="auto"/>
        </w:rPr>
      </w:pPr>
      <w:r>
        <w:rPr>
          <w:rFonts w:ascii="Times New Roman" w:cs="Times New Roman" w:eastAsia="Times New Roman" w:hAnsi="Times New Roman"/>
          <w:sz w:val="18"/>
          <w:szCs w:val="18"/>
          <w:color w:val="auto"/>
        </w:rPr>
        <w:t>In July 2021, the Company and Palantir entered into a Master Subscription Agreement (“MSA”) setting forth the terms of the Palantir platform hosting arrangement which was expected to be used as a central operating system for data and analytics. On April 26, 2023, the Company received a letter from Palantir Technologies Inc. (“Palantir”) providing a notice of dispute alleging that the Company had not paid outstanding invoices totaling $12.3 million. On July 7, 2023, Palantir filed a Demand for Arbitration against the Company with Judicial Arbitration and Mediation Services, Inc., regarding the parties’ dispute under the MSA in which it alleged that the amount in controversy was $41.5 million. On August 4, 2023, the Company submitted its response to Palantir’s arbitration demand, which response included both affirmative defenses and a general denial of all allegations of Palantir’s arbitration demand. On March 11, 2024, the Company and Palantir executed a Settlement and Release Agreement terminating the MSA and resolving all of the parties’ disputes in exchange for the Company’s agreement to pay Palantir $5.0 million, with a liquidated damages clause of $0.3 million for late payments. This settlement includes mutual waivers and releases of claims to avoid future disputes. On August 9, 2024, the Company and Palantir entered into an amendment to the Settlement and Release Agreement pursuant to which, in lieu of paying the remaining $4.8 million due under the settlement agreement in cash, the parties agreed that the Company would issue, and Palantir would accept, $2.4 million of Class A Common Stock by August 9, 2024, and $2.4 million in Class A Common Stock by October 1, 2024. The August 9, 2024 issuance totaled approximately 11.1 million shares of Common Stock. The Company further agreed to register the shares under the Securities Act for resale by Palantir.</w:t>
      </w:r>
    </w:p>
    <w:p>
      <w:pPr>
        <w:spacing w:after="0" w:line="130" w:lineRule="exact"/>
        <w:rPr>
          <w:sz w:val="20"/>
          <w:szCs w:val="20"/>
          <w:color w:val="auto"/>
        </w:rPr>
      </w:pPr>
    </w:p>
    <w:p>
      <w:pPr>
        <w:jc w:val="both"/>
        <w:ind w:firstLine="475"/>
        <w:spacing w:after="0" w:line="249" w:lineRule="auto"/>
        <w:rPr>
          <w:sz w:val="20"/>
          <w:szCs w:val="20"/>
          <w:color w:val="auto"/>
        </w:rPr>
      </w:pPr>
      <w:r>
        <w:rPr>
          <w:rFonts w:ascii="Times New Roman" w:cs="Times New Roman" w:eastAsia="Times New Roman" w:hAnsi="Times New Roman"/>
          <w:sz w:val="18"/>
          <w:szCs w:val="18"/>
          <w:color w:val="auto"/>
        </w:rPr>
        <w:t>On May 2, 2023, the Company received a notice of Commencement of Arbitration by Envisage Group Developments Inc. USA (“Envisage”) for unpaid invoices relating to professional engineering services and for design and manufacture of a Master Buck cube seeking alleged damages of $1.1 million. At the arbitration hearing, the Company disputed the adequacy of Envisage’s documentation for professional services and contended that no contract exists for Master Buck due to unfulfilled payment conditions. The Company further challenged Envisage’s unilateral alteration of payment terms. In June 2024, the arbitrator issued an award to Envisage totaling $1.1 million. Envisage subsequently filed a motion for attorneys’ fees and costs. Envisage was ultimately awarded a total of $1.4 million. The parties have reached an agreement to settle their dispute for $0.8 million.</w:t>
      </w:r>
    </w:p>
    <w:p>
      <w:pPr>
        <w:spacing w:after="0" w:line="123"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On June 12, 2023, the Company received a letter demanding access to the Company’s books and records in connection with (a) the Company entering into the amended and restated shareholder agreement with FF Top Holding LLC n/k/a FF Global and (b) certain other related matters. Given the early stages of the legal proceedings, the Company is unable to evaluate the likelihood of an unfavorable outcome.</w:t>
      </w:r>
    </w:p>
    <w:p>
      <w:pPr>
        <w:spacing w:after="0" w:line="100" w:lineRule="exact"/>
        <w:rPr>
          <w:sz w:val="20"/>
          <w:szCs w:val="20"/>
          <w:color w:val="auto"/>
        </w:rPr>
      </w:pPr>
    </w:p>
    <w:p>
      <w:pPr>
        <w:jc w:val="both"/>
        <w:ind w:firstLine="475"/>
        <w:spacing w:after="0" w:line="250" w:lineRule="auto"/>
        <w:rPr>
          <w:sz w:val="20"/>
          <w:szCs w:val="20"/>
          <w:color w:val="auto"/>
        </w:rPr>
      </w:pPr>
      <w:r>
        <w:rPr>
          <w:rFonts w:ascii="Times New Roman" w:cs="Times New Roman" w:eastAsia="Times New Roman" w:hAnsi="Times New Roman"/>
          <w:sz w:val="18"/>
          <w:szCs w:val="18"/>
          <w:color w:val="auto"/>
        </w:rPr>
        <w:t>On June 13, 2023, L &amp; W LLC (“Autokiniton”), a provider of tooling for use in the automotive industry, filed an action in State of Michigan 3rd Judicial Circuit County of Wayne Court alleging the Company breached its contract with Autokiniton and refused to fulfill its obligations under the applicable Purchase Order. Autokiniton requested a judgment in the amount of at least $8.1 million. In discovery, the Company conceded that $4.6 million was due and owing under the Purchase Order. In July 2024, the parties subsequently filed a stipulated order and judgment totaling $8.1 million, plus statutory interest, which was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0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entered by the court. The parties are engaged in discussions regarding this matter. In December 2024, the parties reached an agreement to settle their dispute for $3.7 million.</w:t>
      </w:r>
    </w:p>
    <w:p>
      <w:pPr>
        <w:spacing w:after="0" w:line="103" w:lineRule="exact"/>
        <w:rPr>
          <w:sz w:val="20"/>
          <w:szCs w:val="20"/>
          <w:color w:val="auto"/>
        </w:rPr>
      </w:pPr>
    </w:p>
    <w:p>
      <w:pPr>
        <w:jc w:val="both"/>
        <w:ind w:firstLine="475"/>
        <w:spacing w:after="0" w:line="248" w:lineRule="auto"/>
        <w:rPr>
          <w:sz w:val="20"/>
          <w:szCs w:val="20"/>
          <w:color w:val="auto"/>
        </w:rPr>
      </w:pPr>
      <w:r>
        <w:rPr>
          <w:rFonts w:ascii="Times New Roman" w:cs="Times New Roman" w:eastAsia="Times New Roman" w:hAnsi="Times New Roman"/>
          <w:sz w:val="18"/>
          <w:szCs w:val="18"/>
          <w:color w:val="auto"/>
        </w:rPr>
        <w:t>On October 11, 2023, Joseph Hof and Scott McPherson filed a class action lawsuit in Supreme Court of the State of New York, County of New York against Benchmark 237 LLC, Benchmark Real Estate Trust, SLLC, Canvas Investment Partners, LLC, Canvas Property Group, LLC, Juliet Technologies, LLC, and the Company, alleging that the defendants engaged in various scheming practices that discriminatorily impacted the plaintiffs and other class members The court granted the Company’s Motion to Dismiss on January 12, 2024, and dismissed the case on January 18, 2024. The plaintiffs filed an appeal on February 12, 2024 as to the dismissal orders, which appeal subsequently was dismissed due to the plaintiffs’ failure to timely file their appellate briefs. Although Plaintiffs have a year to file a motion to vacate the dismissal based upon a showing good cause, Plaintiff Hof recently filed a motion to seal the record and expressed the Plaintiffs’ desire to cease litigating the matter further.</w:t>
      </w:r>
    </w:p>
    <w:p>
      <w:pPr>
        <w:spacing w:after="0" w:line="112" w:lineRule="exact"/>
        <w:rPr>
          <w:sz w:val="20"/>
          <w:szCs w:val="20"/>
          <w:color w:val="auto"/>
        </w:rPr>
      </w:pPr>
    </w:p>
    <w:p>
      <w:pPr>
        <w:jc w:val="both"/>
        <w:ind w:firstLine="475"/>
        <w:spacing w:after="0" w:line="248" w:lineRule="auto"/>
        <w:rPr>
          <w:sz w:val="20"/>
          <w:szCs w:val="20"/>
          <w:color w:val="auto"/>
        </w:rPr>
      </w:pPr>
      <w:r>
        <w:rPr>
          <w:rFonts w:ascii="Times New Roman" w:cs="Times New Roman" w:eastAsia="Times New Roman" w:hAnsi="Times New Roman"/>
          <w:sz w:val="18"/>
          <w:szCs w:val="18"/>
          <w:color w:val="auto"/>
        </w:rPr>
        <w:t>On December 8, 2023, 10701 Idaho Owner, LLC (“Landlord”) notified the Company of rental defaults amounting to $0.6 million for the months of October to December 2023 and demanded a 5% late fee and 18% annual interest on allegedly overdue amounts. The parties thereafter entered into a First Amendment to the Lease Agreement dated October 19, 2023 to address the Company’s total rent default of $1.1 million, including a $0.1 million, partial payment made on January 26, 2024, and additional late fees and charges of $0.2 million. The amendment established a repayment plan requiring the Company to pay $1.2 million from February 26 to March 31, 2024, and to either replenish or provide a new $0.6 million Letter of Credit. On March 26, 2024, the Landlord served the Company with a Notice to Pay or Quit, demanding payment of $1.0 million within five business days. On April 10, 2024, the Company made a $0.2 million payment to Landlord in exchange for Landlord deferring further action.</w:t>
      </w:r>
    </w:p>
    <w:p>
      <w:pPr>
        <w:spacing w:after="0" w:line="125" w:lineRule="exact"/>
        <w:rPr>
          <w:sz w:val="20"/>
          <w:szCs w:val="20"/>
          <w:color w:val="auto"/>
        </w:rPr>
      </w:pPr>
    </w:p>
    <w:p>
      <w:pPr>
        <w:jc w:val="both"/>
        <w:ind w:firstLine="475"/>
        <w:spacing w:after="0" w:line="250" w:lineRule="auto"/>
        <w:rPr>
          <w:sz w:val="20"/>
          <w:szCs w:val="20"/>
          <w:color w:val="auto"/>
        </w:rPr>
      </w:pPr>
      <w:r>
        <w:rPr>
          <w:rFonts w:ascii="Times New Roman" w:cs="Times New Roman" w:eastAsia="Times New Roman" w:hAnsi="Times New Roman"/>
          <w:sz w:val="18"/>
          <w:szCs w:val="18"/>
          <w:color w:val="auto"/>
        </w:rPr>
        <w:t>On February 14, 2024, Rexford Industrial - 18455 Figueroa, LLC (“Rexford”) filed a Complaint for Unlawful Detainer against Faraday SPE, LLC in the Superior Court of California, County of Los Angeles. The complaint asserted that the Company has failed to pay outstanding rent in the amount of $0.9 million, and sought recovery of reasonable attorney’s fees and damages. This action is based on a breach of a Lease Agreement dated March 8, 2019, for the premises located at 18455 S. Figueroa Street, Gardena, California, and wherein Rexford is requesting forfeiture of the lease. On April 10, 2024, the court issued a Notice of Dismissal, dismissing the Complaint without prejudice.</w:t>
      </w:r>
    </w:p>
    <w:p>
      <w:pPr>
        <w:spacing w:after="0" w:line="109" w:lineRule="exact"/>
        <w:rPr>
          <w:sz w:val="20"/>
          <w:szCs w:val="20"/>
          <w:color w:val="auto"/>
        </w:rPr>
      </w:pPr>
    </w:p>
    <w:p>
      <w:pPr>
        <w:jc w:val="both"/>
        <w:ind w:firstLine="475"/>
        <w:spacing w:after="0" w:line="246" w:lineRule="auto"/>
        <w:rPr>
          <w:sz w:val="20"/>
          <w:szCs w:val="20"/>
          <w:color w:val="auto"/>
        </w:rPr>
      </w:pPr>
      <w:r>
        <w:rPr>
          <w:rFonts w:ascii="Times New Roman" w:cs="Times New Roman" w:eastAsia="Times New Roman" w:hAnsi="Times New Roman"/>
          <w:sz w:val="18"/>
          <w:szCs w:val="18"/>
          <w:color w:val="auto"/>
        </w:rPr>
        <w:t>In February 2024, the Company initiated a lawsuit against Draexlmaier Automotive Technologies of America LLC (“Draexlmaier”) for breach of contract, seeking $3.2 million in damages plus legal costs incurred. The dispute involves two Purchase Orders placed by the Company with Draexlmaier in September 2021 for the development and tooling of FF 91 vehicle consoles. The parties’ agreement included a clause allowing Faraday to terminate the Purchase Orders at any time, with the understanding that Draexlmaier would promptly refund any advanced payments for undelivered items or unperformed work. Faraday met its financial obligations under the agreement and in March 2022, terminated the agreement prior to the start of tooling fabrication and requested a refund of $3.2 million for the undelivered work, which Draexlmaier refund failed to remit. Faraday thereafter issued a final demand for this refund in August 2023, and subsequently initiated its lawsuit against Draexlmaier. In May 2024, Draexlmaier filed an Answer and Counterclaim alleging fraudulent inducement, breach of contract, violations of South Carolina’s Unfair Trade Practices Act, and unjust enrichment, and seeking $5.0 million in damages for breach of contract, as well as unspecified actual, consequential, punitive, and treble damages, and attorneys’ fees and costs. The Company disputes Draexlmaier’s claims and has stated its intention to vigorously defend the action. In June 2025, the court granted each party’s motions to dismiss with respect to the other party’s unjust enrichment claim, but otherwise denied both motions. Given the early stages of these legal proceedings, the Company is unable to evaluate the likelihood of an unfavorable outcome and/or the amount or range of potential loss.</w:t>
      </w:r>
    </w:p>
    <w:p>
      <w:pPr>
        <w:spacing w:after="0" w:line="250" w:lineRule="exact"/>
        <w:rPr>
          <w:sz w:val="20"/>
          <w:szCs w:val="20"/>
          <w:color w:val="auto"/>
        </w:rPr>
      </w:pPr>
    </w:p>
    <w:p>
      <w:pPr>
        <w:jc w:val="both"/>
        <w:ind w:firstLine="475"/>
        <w:spacing w:after="0" w:line="267" w:lineRule="auto"/>
        <w:rPr>
          <w:sz w:val="20"/>
          <w:szCs w:val="20"/>
          <w:color w:val="auto"/>
        </w:rPr>
      </w:pPr>
      <w:r>
        <w:rPr>
          <w:rFonts w:ascii="Times New Roman" w:cs="Times New Roman" w:eastAsia="Times New Roman" w:hAnsi="Times New Roman"/>
          <w:sz w:val="16"/>
          <w:szCs w:val="16"/>
          <w:color w:val="auto"/>
        </w:rPr>
        <w:t>On March 25, 2024, Cooper Standard GmbH (“Cooper Standard”) filed a lawsuit against Faraday&amp;Future Inc. in Superior Court of California, County of Los Angeles, alleging the non-payment of the estimated sum of $1.5 million that was purportedly in breach of contractual obligations set forth in purchase orders, a Letter of Tool Acceptance, and invoices to facilitate the supply of automotive products and services for the FF 91 vehicle from August 2021 to December 2022. The parties have tentatively reached a settlement and are in the process of memorializing their agreement. In June 2025, the parties reached 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to settle their dispute for $0.8 million</w:t>
      </w:r>
      <w:r>
        <w:rPr>
          <w:rFonts w:ascii="Times New Roman" w:cs="Times New Roman" w:eastAsia="Times New Roman" w:hAnsi="Times New Roman"/>
          <w:sz w:val="21"/>
          <w:szCs w:val="21"/>
          <w:color w:val="auto"/>
        </w:rPr>
        <w:t>.</w:t>
      </w:r>
    </w:p>
    <w:p>
      <w:pPr>
        <w:spacing w:after="0" w:line="126" w:lineRule="exact"/>
        <w:rPr>
          <w:sz w:val="20"/>
          <w:szCs w:val="20"/>
          <w:color w:val="auto"/>
        </w:rPr>
      </w:pPr>
    </w:p>
    <w:p>
      <w:pPr>
        <w:jc w:val="both"/>
        <w:ind w:firstLine="475"/>
        <w:spacing w:after="0" w:line="294" w:lineRule="auto"/>
        <w:rPr>
          <w:sz w:val="20"/>
          <w:szCs w:val="20"/>
          <w:color w:val="auto"/>
        </w:rPr>
      </w:pPr>
      <w:r>
        <w:rPr>
          <w:rFonts w:ascii="Times New Roman" w:cs="Times New Roman" w:eastAsia="Times New Roman" w:hAnsi="Times New Roman"/>
          <w:sz w:val="16"/>
          <w:szCs w:val="16"/>
          <w:color w:val="auto"/>
        </w:rPr>
        <w:t>On March 27 and March 29, 2024, Jose Guerrero and Victoria Xie, the Company’s former Senior Director of Sales and Aftersales, and Go-to-Market Project Manager and Launch Manager, respectively, filed wrongful termination lawsuits against Faraday&amp;Future Inc. and certain of its officers in Superior Court of California, County of Los Angeles, each of which seeks compensatory, general, and special damages in an amount not less than $1.0 million. On April 19, 2024, another former employee, Karimul Khan, submitted a request for arbitration against the same group of defendants without quantifying the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0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alleged damages sought. Given the early stages of these legal proceedings, the Company is unable to evaluate the likelihood of an unfavorable outcome and/or the amount or range of potential loss.</w:t>
      </w:r>
    </w:p>
    <w:p>
      <w:pPr>
        <w:spacing w:after="0" w:line="103"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On August 9, 2024, Jeffrey D. Prol, as trustee of the Founding Future Creditors Trust, filed a lawsuit against the Company seeking to compel the production of certain books and records for inspection and requesting attorney’s fees and costs. The plaintiff is demanding inspection to allegedly value his shares of the Company. In March 2025, plaintiff agreed to dismiss the lawsuit without prejudice and a stipulation to dismiss was filed and granted.</w:t>
      </w:r>
    </w:p>
    <w:p>
      <w:pPr>
        <w:spacing w:after="0" w:line="100"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On August 1, 2024, Yun Han, former Chief Accounting Officer and Interim Chief Financial Officer, filed an arbitration demand claiming that she is owed certain monetary amounts and restricted stock units, pursuant to various agreements with the Company and collectively, totaling approximately $1.2 million. Given the early stages of the proceedings, the Company is unable to evaluate the likelihood of an unfavorable outcome and/or the amount or range of potential loss.</w:t>
      </w:r>
    </w:p>
    <w:p>
      <w:pPr>
        <w:spacing w:after="0" w:line="116" w:lineRule="exact"/>
        <w:rPr>
          <w:sz w:val="20"/>
          <w:szCs w:val="20"/>
          <w:color w:val="auto"/>
        </w:rPr>
      </w:pPr>
    </w:p>
    <w:p>
      <w:pPr>
        <w:jc w:val="both"/>
        <w:ind w:firstLine="475"/>
        <w:spacing w:after="0" w:line="315" w:lineRule="auto"/>
        <w:rPr>
          <w:sz w:val="20"/>
          <w:szCs w:val="20"/>
          <w:color w:val="auto"/>
        </w:rPr>
      </w:pPr>
      <w:r>
        <w:rPr>
          <w:rFonts w:ascii="Times New Roman" w:cs="Times New Roman" w:eastAsia="Times New Roman" w:hAnsi="Times New Roman"/>
          <w:sz w:val="18"/>
          <w:szCs w:val="18"/>
          <w:color w:val="auto"/>
        </w:rPr>
        <w:t>In March 2025, BXP filed a lawsuit against the Company, alleging unpaid rent and a balance of approximately $1.0 million under a lease agreement signed with the Company. The parties agreed to settle their dispute for $0.4 million.</w:t>
      </w:r>
    </w:p>
    <w:p>
      <w:pPr>
        <w:spacing w:after="0" w:line="63" w:lineRule="exact"/>
        <w:rPr>
          <w:sz w:val="20"/>
          <w:szCs w:val="20"/>
          <w:color w:val="auto"/>
        </w:rPr>
      </w:pPr>
    </w:p>
    <w:p>
      <w:pPr>
        <w:jc w:val="both"/>
        <w:ind w:firstLine="475"/>
        <w:spacing w:after="0" w:line="248" w:lineRule="auto"/>
        <w:rPr>
          <w:sz w:val="20"/>
          <w:szCs w:val="20"/>
          <w:color w:val="auto"/>
        </w:rPr>
      </w:pPr>
      <w:r>
        <w:rPr>
          <w:rFonts w:ascii="Times New Roman" w:cs="Times New Roman" w:eastAsia="Times New Roman" w:hAnsi="Times New Roman"/>
          <w:sz w:val="18"/>
          <w:szCs w:val="18"/>
          <w:color w:val="auto"/>
        </w:rPr>
        <w:t>In May 2025, Costamp Group, as assignee of Vantage Cast Europe, s.r.l. (“Vantage”), filed a lawsuit against the Company, alleging the non-payment of the estimated sum of €2.8 million. Plaintiff alleges that in or about March 2022, Faraday contracted with Vantage to supply automotive component parts pursuant to Faraday's unique specifications. In or about May 2022, Vantage, in reliance on the contract with Faraday, contracted with Costamp Group (a subsidiary of Plaintiff) to supply automotive component parts to Vantage. The claim alleges that Vantage and Costamp Group fully complied with their obligations in manufacturing automotive component parts pursuant to Faraday's specifications and that Vantage sent Faraday invoices and Faraday accepted and paid for its initial orders, but has since refused to accept delivery of the specially manufactured automotive components. Given the early stages of the proceedings, the Company is unable to evaluate the likelihood of an unfavorable outcome and/or the amount or range of potential loss.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Dispute with Noteholders</w:t>
      </w:r>
    </w:p>
    <w:p>
      <w:pPr>
        <w:spacing w:after="0" w:line="151"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In August 2023 and September 2023, the Company received correspondence from each of Senyun, MHL and V W Investment alleging that the Company had entered into oral agreements to compensate those investors for any losses in connection with converting their notes into shares of the Company in order to support the Company’s proposals at the August 2023 special stockholders meeting. The Company is unaware of any such oral agreements and is contesting these claims on multiple grounds.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Committee Investigation</w:t>
      </w:r>
    </w:p>
    <w:p>
      <w:pPr>
        <w:spacing w:after="0" w:line="138" w:lineRule="exact"/>
        <w:rPr>
          <w:sz w:val="20"/>
          <w:szCs w:val="20"/>
          <w:color w:val="auto"/>
        </w:rPr>
      </w:pPr>
    </w:p>
    <w:p>
      <w:pPr>
        <w:jc w:val="both"/>
        <w:ind w:firstLine="475"/>
        <w:spacing w:after="0" w:line="248" w:lineRule="auto"/>
        <w:rPr>
          <w:sz w:val="20"/>
          <w:szCs w:val="20"/>
          <w:color w:val="auto"/>
        </w:rPr>
      </w:pPr>
      <w:r>
        <w:rPr>
          <w:rFonts w:ascii="Times New Roman" w:cs="Times New Roman" w:eastAsia="Times New Roman" w:hAnsi="Times New Roman"/>
          <w:sz w:val="18"/>
          <w:szCs w:val="18"/>
          <w:color w:val="auto"/>
        </w:rPr>
        <w:t>As previously disclosed on November 15, 2021, the Board established a special committee of independent directors (“Special Committee”) to investigate allegations of inaccurate Company disclosures, including those made in an October 2021 short seller report and whistleblower allegations, which resulted in the Company being unable to timely file its third quarter 2021 Quarterly Report on Form 10-Q, Annual Report on Form 10-K for the year ended December 31, 2021, first quarter 2022 Quarterly Report on Form 10-Q and amended Registration Statement on Form S-1 (File No. 333-258993). The Special Committee engaged outside independent legal counsel and a forensic accounting firm to assist with its review. On February 1, 2022, the Company announced that the Special Committee completed its review. On April 14, 2022, the Company announced the completion of additional investigative work based on the Special Committee’s findings which was performed under the direction of the Executive Chairperson, reporting to the Audit Committee. In connection with the Special Committee’s review and subsequent investigative work, the following findings were made: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03" w:lineRule="exact"/>
        <w:rPr>
          <w:sz w:val="20"/>
          <w:szCs w:val="20"/>
          <w:color w:val="auto"/>
        </w:rPr>
      </w:pPr>
    </w:p>
    <w:p>
      <w:pPr>
        <w:jc w:val="both"/>
        <w:ind w:left="800" w:hanging="320"/>
        <w:spacing w:after="0" w:line="257" w:lineRule="auto"/>
        <w:tabs>
          <w:tab w:leader="none" w:pos="79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Business Combination, statements made by certain Company employees to certain investors describing the role of Mr. Yueting Jia, within the Company were inaccurate and his involvement in the management of the Company post-Business Combination was more significant than what had been represented to certain investors.</w:t>
      </w:r>
    </w:p>
    <w:p>
      <w:pPr>
        <w:spacing w:after="0" w:line="7" w:lineRule="exact"/>
        <w:rPr>
          <w:rFonts w:ascii="Times New Roman" w:cs="Times New Roman" w:eastAsia="Times New Roman" w:hAnsi="Times New Roman"/>
          <w:sz w:val="18"/>
          <w:szCs w:val="18"/>
          <w:color w:val="auto"/>
        </w:rPr>
      </w:pPr>
    </w:p>
    <w:p>
      <w:pPr>
        <w:jc w:val="both"/>
        <w:ind w:left="800" w:hanging="320"/>
        <w:spacing w:after="0" w:line="254" w:lineRule="auto"/>
        <w:tabs>
          <w:tab w:leader="none" w:pos="79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statements leading up to the Business Combination that it had received more than 14,000 reservations for the FF 91 vehicle were potentially misleading because only several hundred of those reservations were paid, while the others (totaling 14,000) were unpaid indications of interest.</w:t>
      </w:r>
    </w:p>
    <w:p>
      <w:pPr>
        <w:spacing w:after="0" w:line="2" w:lineRule="exact"/>
        <w:rPr>
          <w:rFonts w:ascii="Times New Roman" w:cs="Times New Roman" w:eastAsia="Times New Roman" w:hAnsi="Times New Roman"/>
          <w:sz w:val="18"/>
          <w:szCs w:val="18"/>
          <w:color w:val="auto"/>
        </w:rPr>
      </w:pPr>
    </w:p>
    <w:p>
      <w:pPr>
        <w:ind w:left="800" w:hanging="320"/>
        <w:spacing w:after="0" w:line="267" w:lineRule="auto"/>
        <w:tabs>
          <w:tab w:leader="none" w:pos="79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Consistent with the Company’s previous public disclosures regarding identified material weaknesses in its internal control over financial reporting, the Company’s internal control over financial reporting required an upgrade in personnel and systems.</w:t>
      </w:r>
    </w:p>
    <w:p>
      <w:pPr>
        <w:spacing w:after="0" w:line="1" w:lineRule="exact"/>
        <w:rPr>
          <w:rFonts w:ascii="Times New Roman" w:cs="Times New Roman" w:eastAsia="Times New Roman" w:hAnsi="Times New Roman"/>
          <w:sz w:val="18"/>
          <w:szCs w:val="18"/>
          <w:color w:val="auto"/>
        </w:rPr>
      </w:pPr>
    </w:p>
    <w:p>
      <w:pPr>
        <w:ind w:left="800" w:hanging="320"/>
        <w:spacing w:after="0"/>
        <w:tabs>
          <w:tab w:leader="none" w:pos="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corporate culture failed to sufficiently prioritize compliance.</w:t>
      </w:r>
    </w:p>
    <w:p>
      <w:pPr>
        <w:spacing w:after="0" w:line="30" w:lineRule="exact"/>
        <w:rPr>
          <w:rFonts w:ascii="Times New Roman" w:cs="Times New Roman" w:eastAsia="Times New Roman" w:hAnsi="Times New Roman"/>
          <w:sz w:val="18"/>
          <w:szCs w:val="18"/>
          <w:color w:val="auto"/>
        </w:rPr>
      </w:pPr>
    </w:p>
    <w:p>
      <w:pPr>
        <w:ind w:left="800" w:hanging="320"/>
        <w:spacing w:after="0" w:line="267" w:lineRule="auto"/>
        <w:tabs>
          <w:tab w:leader="none" w:pos="79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Jia’s role as an intermediary in leasing certain properties which were subsequently leased to the Company was not disclosed in the Company’s corporate housing disclosures.</w:t>
      </w:r>
    </w:p>
    <w:p>
      <w:pPr>
        <w:spacing w:after="0" w:line="1" w:lineRule="exact"/>
        <w:rPr>
          <w:rFonts w:ascii="Times New Roman" w:cs="Times New Roman" w:eastAsia="Times New Roman" w:hAnsi="Times New Roman"/>
          <w:sz w:val="18"/>
          <w:szCs w:val="18"/>
          <w:color w:val="auto"/>
        </w:rPr>
      </w:pPr>
    </w:p>
    <w:p>
      <w:pPr>
        <w:ind w:left="800" w:hanging="320"/>
        <w:spacing w:after="0" w:line="269" w:lineRule="auto"/>
        <w:tabs>
          <w:tab w:leader="none" w:pos="79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preparing the Company’s related party transaction disclosures, the Company failed to investigate and identify the sources of loans received from individuals and entities associated with Company employees.</w:t>
      </w:r>
    </w:p>
    <w:p>
      <w:pPr>
        <w:spacing w:after="0" w:line="103"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In addition, the investigation found that certain individuals failed to fully disclose to individuals involved in the preparation of the Company’s SEC filings their relationships with certain related parties and affiliated entities in connection with, and following, the Business Combination, and failed to fully disclose relevant information, including but not limited to, information in connection with related parties and corporate governance to the Company’s former independent registered public accounting firm PricewaterhouseCoopers LLP.</w:t>
      </w:r>
    </w:p>
    <w:p>
      <w:pPr>
        <w:spacing w:after="0" w:line="103" w:lineRule="exact"/>
        <w:rPr>
          <w:sz w:val="20"/>
          <w:szCs w:val="20"/>
          <w:color w:val="auto"/>
        </w:rPr>
      </w:pPr>
    </w:p>
    <w:p>
      <w:pPr>
        <w:jc w:val="both"/>
        <w:ind w:firstLine="475"/>
        <w:spacing w:after="0" w:line="250" w:lineRule="auto"/>
        <w:rPr>
          <w:sz w:val="20"/>
          <w:szCs w:val="20"/>
          <w:color w:val="auto"/>
        </w:rPr>
      </w:pPr>
      <w:r>
        <w:rPr>
          <w:rFonts w:ascii="Times New Roman" w:cs="Times New Roman" w:eastAsia="Times New Roman" w:hAnsi="Times New Roman"/>
          <w:sz w:val="18"/>
          <w:szCs w:val="18"/>
          <w:color w:val="auto"/>
        </w:rPr>
        <w:t>The investigation also found that certain individuals failed to cooperate and withheld potentially relevant information in connection with the Special Committee investigation. Among such individuals were non-executive officers or members of the management team of the Company, and remedial action was taken with respect to such individuals based on the extent of their non-cooperation and/or withholding of information. The failure to cooperate with the investigation was taken into consideration in connection with the remedial actions outlined below with respect to Jerry Wang, and withholding of information also affected the remedial action taken with respect to Matthias Aydt.</w:t>
      </w:r>
    </w:p>
    <w:p>
      <w:pPr>
        <w:spacing w:after="0" w:line="122"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Based on the results of the investigation, the Special Committee concluded that, except as described above, the other substantive allegations of inaccurate Company disclosures that it evaluated, were not supported by the evidence reviewed. Although the investigation did not change any of the above findings with respect to the substantive allegations of inaccurate Company disclosures, the investigation did confirm the need for remedial actions to help ensure enhanced focus on compliance and disclosure within the Company.</w:t>
      </w:r>
    </w:p>
    <w:p>
      <w:pPr>
        <w:spacing w:after="0" w:line="116" w:lineRule="exact"/>
        <w:rPr>
          <w:sz w:val="20"/>
          <w:szCs w:val="20"/>
          <w:color w:val="auto"/>
        </w:rPr>
      </w:pPr>
    </w:p>
    <w:p>
      <w:pPr>
        <w:jc w:val="both"/>
        <w:ind w:firstLine="475"/>
        <w:spacing w:after="0" w:line="259" w:lineRule="auto"/>
        <w:rPr>
          <w:sz w:val="20"/>
          <w:szCs w:val="20"/>
          <w:color w:val="auto"/>
        </w:rPr>
      </w:pPr>
      <w:r>
        <w:rPr>
          <w:rFonts w:ascii="Times New Roman" w:cs="Times New Roman" w:eastAsia="Times New Roman" w:hAnsi="Times New Roman"/>
          <w:sz w:val="18"/>
          <w:szCs w:val="18"/>
          <w:color w:val="auto"/>
        </w:rPr>
        <w:t>Based on the results of the Special Committee investigation and subsequent investigative work described above, the Board approved the following remedial actions designed to enhance oversight and corporate governance of the Company: </w:t>
      </w:r>
    </w:p>
    <w:p>
      <w:pPr>
        <w:spacing w:after="0" w:line="2" w:lineRule="exact"/>
        <w:rPr>
          <w:sz w:val="20"/>
          <w:szCs w:val="20"/>
          <w:color w:val="auto"/>
        </w:rPr>
      </w:pPr>
    </w:p>
    <w:p>
      <w:pPr>
        <w:ind w:left="800" w:hanging="320"/>
        <w:spacing w:after="0"/>
        <w:tabs>
          <w:tab w:leader="none" w:pos="80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appointment of Susan Swenson, a former member of the Board, to the then newly created position of Executive Chairperson of the Company.</w:t>
      </w:r>
    </w:p>
    <w:p>
      <w:pPr>
        <w:spacing w:after="0" w:line="66" w:lineRule="exact"/>
        <w:rPr>
          <w:rFonts w:ascii="Times New Roman" w:cs="Times New Roman" w:eastAsia="Times New Roman" w:hAnsi="Times New Roman"/>
          <w:sz w:val="16"/>
          <w:szCs w:val="16"/>
          <w:color w:val="auto"/>
        </w:rPr>
      </w:pPr>
    </w:p>
    <w:p>
      <w:pPr>
        <w:ind w:left="800" w:hanging="320"/>
        <w:spacing w:after="0"/>
        <w:tabs>
          <w:tab w:leader="none" w:pos="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Carsten Breitfeld, the Company’s former Global CEO, reporting directly to Ms. Swenson and receiving a 25% annual base salary reduction;</w:t>
      </w:r>
    </w:p>
    <w:p>
      <w:pPr>
        <w:spacing w:after="0" w:line="43" w:lineRule="exact"/>
        <w:rPr>
          <w:rFonts w:ascii="Times New Roman" w:cs="Times New Roman" w:eastAsia="Times New Roman" w:hAnsi="Times New Roman"/>
          <w:sz w:val="18"/>
          <w:szCs w:val="18"/>
          <w:color w:val="auto"/>
        </w:rPr>
      </w:pPr>
    </w:p>
    <w:p>
      <w:pPr>
        <w:jc w:val="both"/>
        <w:ind w:left="800" w:hanging="320"/>
        <w:spacing w:after="0" w:line="246" w:lineRule="auto"/>
        <w:tabs>
          <w:tab w:leader="none" w:pos="79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removal of Mr. Jia as an executive officer, who would continue in his position as Chief Product &amp; User Ecosystem Officer of the Company. Certain dual-reporting arrangements were eliminated with respect to Mr. Jia, who also was required to report directly to Ms. Swenson, a non-independent director nominated by FF Top. Please see “Risk Factors–</w:t>
      </w:r>
      <w:r>
        <w:rPr>
          <w:rFonts w:ascii="Times New Roman" w:cs="Times New Roman" w:eastAsia="Times New Roman" w:hAnsi="Times New Roman"/>
          <w:sz w:val="18"/>
          <w:szCs w:val="18"/>
          <w:i w:val="1"/>
          <w:iCs w:val="1"/>
          <w:color w:val="auto"/>
        </w:rPr>
        <w:t>Risks Related to our Business and Industry–Yueting Jia and FF Global, over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which Mr. Jia exercises significant influence, have control over our management, business and operations, and may use this control in ways that are not aligned with our business or financial objectives or strategies or that are otherwise inconsistent with our interests.</w:t>
      </w:r>
      <w:r>
        <w:rPr>
          <w:rFonts w:ascii="Times New Roman" w:cs="Times New Roman" w:eastAsia="Times New Roman" w:hAnsi="Times New Roman"/>
          <w:sz w:val="18"/>
          <w:szCs w:val="18"/>
          <w:color w:val="auto"/>
        </w:rPr>
        <w:t>” Mr. Jia also received a 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base salary reduction, and his role was limited from a policy-making position to focusing on (a) Product and Mobility Ecosystem and (b) Internet, Artificial Intelligence, and Advanced R&amp;D technology. On February 26, 2023, after an assessment by the Board of the Company’s management structure, the Board approved Mr. Yueting Jia (alongside Mr. Xuefeng Chen) reporting directly to the Board, as well as FF’s product, mobility ecosystem, I.A.I., and advanced R&amp;D technology departments reporting directly to Mr. Jia. The Board also approved the Company’s user ecosystem, capital markets, human resources and administration, corporate strategy and China departments reporting to both Mr. Jia and Mr. Xuefeng in accordance with processes and controls to be determined by the Board after consultation with the Company’s management. Based on the changes to his responsibilities within the Company, the Board determined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97" w:lineRule="exact"/>
        <w:rPr>
          <w:sz w:val="20"/>
          <w:szCs w:val="20"/>
          <w:color w:val="auto"/>
        </w:rPr>
      </w:pPr>
    </w:p>
    <w:p>
      <w:pPr>
        <w:ind w:left="800"/>
        <w:spacing w:after="0" w:line="267" w:lineRule="auto"/>
        <w:rPr>
          <w:sz w:val="20"/>
          <w:szCs w:val="20"/>
          <w:color w:val="auto"/>
        </w:rPr>
      </w:pPr>
      <w:r>
        <w:rPr>
          <w:rFonts w:ascii="Times New Roman" w:cs="Times New Roman" w:eastAsia="Times New Roman" w:hAnsi="Times New Roman"/>
          <w:sz w:val="18"/>
          <w:szCs w:val="18"/>
          <w:color w:val="auto"/>
        </w:rPr>
        <w:t>that Mr. Jia is an “officer” of the Company within the meaning of Section 16 of the Exchange Act and an “executive officer” of the Company under Rule 3b-7 under the Exchange Act;</w:t>
      </w:r>
    </w:p>
    <w:p>
      <w:pPr>
        <w:spacing w:after="0" w:line="1" w:lineRule="exact"/>
        <w:rPr>
          <w:sz w:val="20"/>
          <w:szCs w:val="20"/>
          <w:color w:val="auto"/>
        </w:rPr>
      </w:pPr>
    </w:p>
    <w:p>
      <w:pPr>
        <w:jc w:val="both"/>
        <w:ind w:left="800" w:hanging="320"/>
        <w:spacing w:after="0" w:line="254" w:lineRule="auto"/>
        <w:tabs>
          <w:tab w:leader="none" w:pos="79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24, 2025, the Company announced the appointment of Mr. Yueting Jia as Global Co-Chief Executive Officer ("Global Co-CEO"), jointly leading the Company alongside Matthias Aydt, with a focus on advancing user ecosystem development, supply chain management, EV R&amp;D, finance, legal, and China and Middle East operations;</w:t>
      </w:r>
    </w:p>
    <w:p>
      <w:pPr>
        <w:spacing w:after="0" w:line="2" w:lineRule="exact"/>
        <w:rPr>
          <w:rFonts w:ascii="Times New Roman" w:cs="Times New Roman" w:eastAsia="Times New Roman" w:hAnsi="Times New Roman"/>
          <w:sz w:val="18"/>
          <w:szCs w:val="18"/>
          <w:color w:val="auto"/>
        </w:rPr>
      </w:pPr>
    </w:p>
    <w:p>
      <w:pPr>
        <w:jc w:val="both"/>
        <w:ind w:left="800" w:hanging="320"/>
        <w:spacing w:after="0" w:line="257" w:lineRule="auto"/>
        <w:tabs>
          <w:tab w:leader="none" w:pos="79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Matthias Aydt, then Senior Vice President, Business Development and Product Definition and a director of the Company, and currently Global Co-CEO and a director of the Company, being placed on probation as an executive officer for a six-month period, during which period he remained a non-independent member of the Board, and which probationary period has since ended;</w:t>
      </w:r>
    </w:p>
    <w:p>
      <w:pPr>
        <w:spacing w:after="0" w:line="7" w:lineRule="exact"/>
        <w:rPr>
          <w:rFonts w:ascii="Times New Roman" w:cs="Times New Roman" w:eastAsia="Times New Roman" w:hAnsi="Times New Roman"/>
          <w:sz w:val="18"/>
          <w:szCs w:val="18"/>
          <w:color w:val="auto"/>
        </w:rPr>
      </w:pPr>
    </w:p>
    <w:p>
      <w:pPr>
        <w:jc w:val="both"/>
        <w:ind w:left="800" w:hanging="320"/>
        <w:spacing w:after="0" w:line="283" w:lineRule="auto"/>
        <w:tabs>
          <w:tab w:leader="none" w:pos="796"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appointment of Jordan Vogel as Lead Independent Director; certain changes to the composition of Board committees, including Brian Krolicki stepping down from his role as Chairman of the Board and Chair of the Nominating and Corporate Governance Committee and becoming a member of the Audit and Compensation Committees of the Board; Jordan Vogel stepping down from the Nominating and Corporate Governance Committee; and Scott Vogel becoming the Chair of the Audit Committee and the Nominating and Corporate Governance Committee of the Board;</w:t>
      </w:r>
    </w:p>
    <w:p>
      <w:pPr>
        <w:spacing w:after="0" w:line="2" w:lineRule="exact"/>
        <w:rPr>
          <w:rFonts w:ascii="Times New Roman" w:cs="Times New Roman" w:eastAsia="Times New Roman" w:hAnsi="Times New Roman"/>
          <w:sz w:val="16"/>
          <w:szCs w:val="16"/>
          <w:color w:val="auto"/>
        </w:rPr>
      </w:pPr>
    </w:p>
    <w:p>
      <w:pPr>
        <w:jc w:val="both"/>
        <w:ind w:left="800" w:hanging="320"/>
        <w:spacing w:after="0" w:line="257" w:lineRule="auto"/>
        <w:tabs>
          <w:tab w:leader="none" w:pos="79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suspension without pay of Jiawei (“Jerry”) Wang, the Company’s former Vice President, Global Capital Markets, who subsequently notified the Board of his decision to resign from the Company on April 10, 2022, but remained with the Company as a consultant and was subsequently appointed President of the Company on March 24, 2025;</w:t>
      </w:r>
    </w:p>
    <w:p>
      <w:pPr>
        <w:spacing w:after="0" w:line="7" w:lineRule="exact"/>
        <w:rPr>
          <w:rFonts w:ascii="Times New Roman" w:cs="Times New Roman" w:eastAsia="Times New Roman" w:hAnsi="Times New Roman"/>
          <w:sz w:val="18"/>
          <w:szCs w:val="18"/>
          <w:color w:val="auto"/>
        </w:rPr>
      </w:pPr>
    </w:p>
    <w:p>
      <w:pPr>
        <w:jc w:val="both"/>
        <w:ind w:left="800" w:hanging="320"/>
        <w:spacing w:after="0" w:line="257" w:lineRule="auto"/>
        <w:tabs>
          <w:tab w:leader="none" w:pos="79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assessment and enhancement of Company’s policies and procedures regarding financial accounting and reporting and the upgrading of the Company’s internal control over financial accounting and reporting, including by hiring additional financial reporting and accounting support, in each case at the direction of the Audit Committee;</w:t>
      </w:r>
    </w:p>
    <w:p>
      <w:pPr>
        <w:spacing w:after="0" w:line="7" w:lineRule="exact"/>
        <w:rPr>
          <w:rFonts w:ascii="Times New Roman" w:cs="Times New Roman" w:eastAsia="Times New Roman" w:hAnsi="Times New Roman"/>
          <w:sz w:val="18"/>
          <w:szCs w:val="18"/>
          <w:color w:val="auto"/>
        </w:rPr>
      </w:pPr>
    </w:p>
    <w:p>
      <w:pPr>
        <w:jc w:val="both"/>
        <w:ind w:left="800" w:hanging="320"/>
        <w:spacing w:after="0" w:line="254" w:lineRule="auto"/>
        <w:tabs>
          <w:tab w:leader="none" w:pos="79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enhanced controls around the Company’s contracting and related party transactions, including regular attestations by the Company’s employees with authority to bind the Company to contracts and related party transactions, for purposes of enabling the Company to make complete and accurate disclosures regarding related party transactions;</w:t>
      </w:r>
    </w:p>
    <w:p>
      <w:pPr>
        <w:spacing w:after="0" w:line="2" w:lineRule="exact"/>
        <w:rPr>
          <w:rFonts w:ascii="Times New Roman" w:cs="Times New Roman" w:eastAsia="Times New Roman" w:hAnsi="Times New Roman"/>
          <w:sz w:val="18"/>
          <w:szCs w:val="18"/>
          <w:color w:val="auto"/>
        </w:rPr>
      </w:pPr>
    </w:p>
    <w:p>
      <w:pPr>
        <w:ind w:left="800" w:hanging="320"/>
        <w:spacing w:after="0" w:line="267" w:lineRule="auto"/>
        <w:tabs>
          <w:tab w:leader="none" w:pos="79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hiring of a Compliance Officer with the title of Deputy General Counsel (hired in March 2023), to report on a dotted line to the Chair of the Audit committee, and a Director of Risks and Internal Controls; and assessing and enhancing FF’s compliance policies and procedures;</w:t>
      </w:r>
    </w:p>
    <w:p>
      <w:pPr>
        <w:spacing w:after="0" w:line="1" w:lineRule="exact"/>
        <w:rPr>
          <w:rFonts w:ascii="Times New Roman" w:cs="Times New Roman" w:eastAsia="Times New Roman" w:hAnsi="Times New Roman"/>
          <w:sz w:val="18"/>
          <w:szCs w:val="18"/>
          <w:color w:val="auto"/>
        </w:rPr>
      </w:pPr>
    </w:p>
    <w:p>
      <w:pPr>
        <w:ind w:left="800" w:hanging="320"/>
        <w:spacing w:after="0"/>
        <w:tabs>
          <w:tab w:leader="none" w:pos="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a comprehensive training program for all directors and officers regarding, among other things, internal Company policies;</w:t>
      </w:r>
    </w:p>
    <w:p>
      <w:pPr>
        <w:spacing w:after="0" w:line="43" w:lineRule="exact"/>
        <w:rPr>
          <w:rFonts w:ascii="Times New Roman" w:cs="Times New Roman" w:eastAsia="Times New Roman" w:hAnsi="Times New Roman"/>
          <w:sz w:val="18"/>
          <w:szCs w:val="18"/>
          <w:color w:val="auto"/>
        </w:rPr>
      </w:pPr>
    </w:p>
    <w:p>
      <w:pPr>
        <w:ind w:left="800" w:hanging="320"/>
        <w:spacing w:after="0"/>
        <w:tabs>
          <w:tab w:leader="none" w:pos="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separation of Jarret Johnson, FF’s Vice President, General Counsel and Secretary; and</w:t>
      </w:r>
    </w:p>
    <w:p>
      <w:pPr>
        <w:spacing w:after="0" w:line="30" w:lineRule="exact"/>
        <w:rPr>
          <w:rFonts w:ascii="Times New Roman" w:cs="Times New Roman" w:eastAsia="Times New Roman" w:hAnsi="Times New Roman"/>
          <w:sz w:val="18"/>
          <w:szCs w:val="18"/>
          <w:color w:val="auto"/>
        </w:rPr>
      </w:pPr>
    </w:p>
    <w:p>
      <w:pPr>
        <w:ind w:left="800" w:hanging="320"/>
        <w:spacing w:after="0" w:line="269" w:lineRule="auto"/>
        <w:tabs>
          <w:tab w:leader="none" w:pos="79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disciplinary actions and terminations of employment with respect to other Company employees (none of whom is an executive officer).</w:t>
      </w:r>
    </w:p>
    <w:p>
      <w:pPr>
        <w:spacing w:after="0" w:line="103" w:lineRule="exact"/>
        <w:rPr>
          <w:sz w:val="20"/>
          <w:szCs w:val="20"/>
          <w:color w:val="auto"/>
        </w:rPr>
      </w:pPr>
    </w:p>
    <w:p>
      <w:pPr>
        <w:jc w:val="both"/>
        <w:ind w:firstLine="475"/>
        <w:spacing w:after="0" w:line="246" w:lineRule="auto"/>
        <w:rPr>
          <w:sz w:val="20"/>
          <w:szCs w:val="20"/>
          <w:color w:val="auto"/>
        </w:rPr>
      </w:pPr>
      <w:r>
        <w:rPr>
          <w:rFonts w:ascii="Times New Roman" w:cs="Times New Roman" w:eastAsia="Times New Roman" w:hAnsi="Times New Roman"/>
          <w:sz w:val="18"/>
          <w:szCs w:val="18"/>
          <w:color w:val="auto"/>
        </w:rPr>
        <w:t>As of March 3, 2025, the Company is continuing to implement certain of the remedial actions approved by the Board. However, certain of these remedial actions are no longer in effect and no assurance can be provided that those remedial measures that continue to be implemented will be implemented in a timely manner or at all or will be successful to prevent inaccurate disclosures in the future. Please see “</w:t>
      </w:r>
      <w:r>
        <w:rPr>
          <w:rFonts w:ascii="Times New Roman" w:cs="Times New Roman" w:eastAsia="Times New Roman" w:hAnsi="Times New Roman"/>
          <w:sz w:val="18"/>
          <w:szCs w:val="18"/>
          <w:i w:val="1"/>
          <w:iCs w:val="1"/>
          <w:color w:val="auto"/>
        </w:rPr>
        <w:t>Risk Factors – Risks Related to our Business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Industry – We have taken remedial measures in response to the Special Committee findings, which may be unsuccessful</w:t>
      </w:r>
      <w:r>
        <w:rPr>
          <w:rFonts w:ascii="Times New Roman" w:cs="Times New Roman" w:eastAsia="Times New Roman" w:hAnsi="Times New Roman"/>
          <w:sz w:val="18"/>
          <w:szCs w:val="18"/>
          <w:color w:val="auto"/>
        </w:rPr>
        <w:t>” included in the Form 10-K. There can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no assurance that such remedial measures will be successful. In addition, there can be no assurance that such remedial measures will be fully implemented in light of the recent corporate governance agreements with FF Top and FF Global and the recent assessment by the Board of FF’s management structure, including management roles, responsibilities and reporting lines and changes to the Board.” However, pursuant to the Heads of Agreement, the Company has implemented certain governance changes that impact certain of the above-discussed remedial actions. On October 3, 2022, Ms. Swenson tendered her resignation from her role as both Executive Chairperson and member of the Board effective immediately. In addition, on October 3, 2022, Mr. Scott Vogel resigned from the Board effective immediately and Mr. Jordan Vogel resigned effective on October 5, 2022. On October 28, 2022, Mr. Brian Krolicki tendered his resignation from the Board effective immediately. On December 15, 2022, Mr. Lee Liu tendered his resignation from the Board, which resignation was effective on December 18, 2022. On December 18, 2022, Mr. Jie Sheng was appointed to the Board, effective immediately, following the resignation of Mr. Liu. On December 25, 2022, Mr. Edwin Goh tendered his resignation from the Board, which resignation was effective on December 26, 2022. On December 27, 2022, Ms. Ke Sun was appointed to the Board, effective immediately, following the resignation of Mr. Goh. Mr. Sheng and Ms. Sun are designees of FF Top pursuant to the Amended Shareholder Agreement. On December 26, 2022, Dr. Carsten Breitfeld tendered his resignation from the Board, which resignation was effective immediately. On December 27, 2022, Mr. Xuefeng Chen was appointed to the Board, effective immediately, following the resignation of Dr. Breitfeld. On January 20, 2023, Mr. Qing Ye tendered his resignation from the Board, which</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resignation was effective immediately. Mr. Ye remained a consultant of the Company as an independent contractor until November 18, 2023. On January 25, 2023, Mr. Chui Tin Mok was appointed to the Board, effective immediately, following the resignation of Mr. Ye. Each of Ms. Ke Sun and Mr. Xuefeng Chen have subsequently resigned from the Board.</w:t>
      </w:r>
    </w:p>
    <w:p>
      <w:pPr>
        <w:spacing w:after="0" w:line="113" w:lineRule="exact"/>
        <w:rPr>
          <w:sz w:val="20"/>
          <w:szCs w:val="20"/>
          <w:color w:val="auto"/>
        </w:rPr>
      </w:pPr>
    </w:p>
    <w:p>
      <w:pPr>
        <w:jc w:val="both"/>
        <w:ind w:firstLine="475"/>
        <w:spacing w:after="0" w:line="283" w:lineRule="auto"/>
        <w:rPr>
          <w:sz w:val="20"/>
          <w:szCs w:val="20"/>
          <w:color w:val="auto"/>
        </w:rPr>
      </w:pPr>
      <w:r>
        <w:rPr>
          <w:rFonts w:ascii="Times New Roman" w:cs="Times New Roman" w:eastAsia="Times New Roman" w:hAnsi="Times New Roman"/>
          <w:sz w:val="16"/>
          <w:szCs w:val="16"/>
          <w:color w:val="auto"/>
        </w:rPr>
        <w:t>Subsequent to the Company announcing the completion of the Special Committee investigation on February 1, 2022, certain members of the management team and employees of the Company received a notice of preservation and subpoena from the staff of the SEC stating that the SEC had commenced a formal investigation relating to the matters that were the subject of the Special Committee investigation. The Company, which had previously voluntarily contacted the SEC in connection with the Special Committee investigation in October 2021, is cooperating fully with the SEC’s investigation. The outcome of such an investigation is difficult to predict. The Company has incurred, and may continue to incur, significant expenses related to legal and other professional services in connection with the SEC investigation. At this stage, the Company is unable to assess whether any material loss or adverse effect is reasonably possible as a result of the SEC’s investigation or to estimate the range of any potential loss. In addition, in June 2022, the Company received a preliminary request for information from the U.S. Department of Justice (the “DOJ”) in connection with the matters that were the subject of the Special Committee investigation. The Company has responded to that request and intends to fully cooperate with any future requests from the DOJ.</w:t>
      </w:r>
    </w:p>
    <w:p>
      <w:pPr>
        <w:spacing w:after="0" w:line="296" w:lineRule="exact"/>
        <w:rPr>
          <w:sz w:val="20"/>
          <w:szCs w:val="20"/>
          <w:color w:val="auto"/>
        </w:rPr>
      </w:pPr>
    </w:p>
    <w:p>
      <w:pPr>
        <w:jc w:val="both"/>
        <w:ind w:firstLine="475"/>
        <w:spacing w:after="0" w:line="249" w:lineRule="auto"/>
        <w:rPr>
          <w:sz w:val="20"/>
          <w:szCs w:val="20"/>
          <w:color w:val="auto"/>
        </w:rPr>
      </w:pPr>
      <w:r>
        <w:rPr>
          <w:rFonts w:ascii="Times New Roman" w:cs="Times New Roman" w:eastAsia="Times New Roman" w:hAnsi="Times New Roman"/>
          <w:sz w:val="18"/>
          <w:szCs w:val="18"/>
          <w:color w:val="auto"/>
        </w:rPr>
        <w:t>On June 26, 2025, the Company received a “Wells Notice” from the staff of the SEC stating that the SEC staff made a preliminary determination to recommend that the SEC file an enforcement action against the Company alleging violations of various anti-fraud provisions of the federal securities laws. The SEC staff informed the Company that the alleged violations of anti-fraud provisions of the federal securities laws pertain to purported false or misleading statements in connection with the Company’s 2021 PIPE and SPAC listing, relating to (i) related party transactions, and (ii) Mr. Jia’s role in the Company. An enforcement action may seek an injunction or cease-and-desist order against future violations of provisions of the federal securities laws, the imposition of civil monetary penalties, disgorgement or other equitable relief within the SEC’s authority, or any combination of the foregoing.</w:t>
      </w:r>
    </w:p>
    <w:p>
      <w:pPr>
        <w:spacing w:after="0" w:line="12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June 27, 2025, Jiawei (Jerry) Wang, the Global President of the Company, received a Wells Notice from the SEC, and on June 30, 2025, Mr. Jia received a Wells Notice from the SEC. Each of these notices also states that the SEC staff made a preliminary determination to recommend that the SEC file an enforcement action against Mr. Wang and Mr. Jia alleging similar violations in their individual capacities of various anti-fraud provisions of the federal securities laws detailed above. An enforcement action may seek any of the above-referenced remedies, as well as a bar from serving as an officer or director of a public company. Two other former Company employees also received Wells Notices.</w:t>
      </w:r>
    </w:p>
    <w:p>
      <w:pPr>
        <w:spacing w:after="0" w:line="109"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6"/>
          <w:szCs w:val="16"/>
          <w:color w:val="auto"/>
        </w:rPr>
        <w:t>A Wells Notice is neither a formal charge of wrongdoing nor a final determination that the recipient has violated any law but is a preliminary determination by the SEC staff to recommend to the Commissioners of the SEC that a civil enforcement action or administrative proceeding be brought against the recipients. The Company and Messrs. Jia and Wang plan to engage with the SEC staff about why an enforcement action is not warranted. If the SEC determines to seek an enforcement action against the Company, Mr. Jia, and/or Mr. Wang, the SEC would need to proceed through a formal process, including formal court process for the director and officer bar, during which the Company, Mr. Jia and/or Mr. Wang, as applicable, could defend themselves.</w:t>
      </w:r>
    </w:p>
    <w:p>
      <w:pPr>
        <w:spacing w:after="0" w:line="92"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Other than disclosed herein, as of the date hereof the Company is not a party to any legal proceedings the outcome of which, if determined adversely to the Company, would individually or in the aggregate be reasonably expected to have a material adverse effect on the Company’s business, financial condition, or results of operations.</w:t>
      </w:r>
    </w:p>
    <w:p>
      <w:pPr>
        <w:spacing w:after="0" w:line="111" w:lineRule="exact"/>
        <w:rPr>
          <w:sz w:val="20"/>
          <w:szCs w:val="20"/>
          <w:color w:val="auto"/>
        </w:rPr>
      </w:pPr>
    </w:p>
    <w:p>
      <w:pPr>
        <w:ind w:left="480" w:hanging="474"/>
        <w:spacing w:after="0"/>
        <w:tabs>
          <w:tab w:leader="none" w:pos="48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authorized, issued and outstanding stock,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000" w:type="dxa"/>
            <w:vAlign w:val="bottom"/>
          </w:tcPr>
          <w:p>
            <w:pPr>
              <w:spacing w:after="0"/>
              <w:rPr>
                <w:sz w:val="19"/>
                <w:szCs w:val="19"/>
                <w:color w:val="auto"/>
              </w:rPr>
            </w:pPr>
          </w:p>
        </w:tc>
        <w:tc>
          <w:tcPr>
            <w:tcW w:w="2940" w:type="dxa"/>
            <w:vAlign w:val="bottom"/>
            <w:tcBorders>
              <w:bottom w:val="single" w:sz="8" w:color="auto"/>
            </w:tcBorders>
            <w:gridSpan w:val="3"/>
          </w:tcPr>
          <w:p>
            <w:pPr>
              <w:jc w:val="right"/>
              <w:ind w:right="934"/>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300" w:type="dxa"/>
            <w:vAlign w:val="bottom"/>
            <w:tcBorders>
              <w:bottom w:val="single" w:sz="8" w:color="auto"/>
            </w:tcBorders>
          </w:tcPr>
          <w:p>
            <w:pPr>
              <w:spacing w:after="0"/>
              <w:rPr>
                <w:sz w:val="19"/>
                <w:szCs w:val="19"/>
                <w:color w:val="auto"/>
              </w:rPr>
            </w:pPr>
          </w:p>
        </w:tc>
      </w:tr>
      <w:tr>
        <w:trPr>
          <w:trHeight w:val="195"/>
        </w:trPr>
        <w:tc>
          <w:tcPr>
            <w:tcW w:w="8000" w:type="dxa"/>
            <w:vAlign w:val="bottom"/>
          </w:tcPr>
          <w:p>
            <w:pPr>
              <w:spacing w:after="0"/>
              <w:rPr>
                <w:sz w:val="16"/>
                <w:szCs w:val="16"/>
                <w:color w:val="auto"/>
              </w:rPr>
            </w:pPr>
          </w:p>
        </w:tc>
        <w:tc>
          <w:tcPr>
            <w:tcW w:w="15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Authorized</w:t>
            </w:r>
          </w:p>
        </w:tc>
        <w:tc>
          <w:tcPr>
            <w:tcW w:w="142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33"/>
        </w:trPr>
        <w:tc>
          <w:tcPr>
            <w:tcW w:w="8000" w:type="dxa"/>
            <w:vAlign w:val="bottom"/>
          </w:tcPr>
          <w:p>
            <w:pPr>
              <w:spacing w:after="0"/>
              <w:rPr>
                <w:sz w:val="20"/>
                <w:szCs w:val="20"/>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6"/>
                <w:szCs w:val="16"/>
                <w:b w:val="1"/>
                <w:bCs w:val="1"/>
                <w:color w:val="auto"/>
              </w:rPr>
              <w:t>Issued Shares</w:t>
            </w:r>
          </w:p>
        </w:tc>
        <w:tc>
          <w:tcPr>
            <w:tcW w:w="300" w:type="dxa"/>
            <w:vAlign w:val="bottom"/>
          </w:tcPr>
          <w:p>
            <w:pPr>
              <w:spacing w:after="0"/>
              <w:rPr>
                <w:sz w:val="20"/>
                <w:szCs w:val="20"/>
                <w:color w:val="auto"/>
              </w:rPr>
            </w:pPr>
          </w:p>
        </w:tc>
      </w:tr>
      <w:tr>
        <w:trPr>
          <w:trHeight w:val="244"/>
        </w:trPr>
        <w:tc>
          <w:tcPr>
            <w:tcW w:w="8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B Preferred Stock</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9,000,000</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4,400,232</w:t>
            </w:r>
          </w:p>
        </w:tc>
        <w:tc>
          <w:tcPr>
            <w:tcW w:w="300" w:type="dxa"/>
            <w:vAlign w:val="bottom"/>
          </w:tcPr>
          <w:p>
            <w:pPr>
              <w:spacing w:after="0"/>
              <w:rPr>
                <w:sz w:val="20"/>
                <w:szCs w:val="20"/>
                <w:color w:val="auto"/>
              </w:rPr>
            </w:pPr>
          </w:p>
        </w:tc>
      </w:tr>
      <w:tr>
        <w:trPr>
          <w:trHeight w:val="27"/>
        </w:trPr>
        <w:tc>
          <w:tcPr>
            <w:tcW w:w="80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162,815,625</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122,722,249</w:t>
            </w:r>
          </w:p>
        </w:tc>
        <w:tc>
          <w:tcPr>
            <w:tcW w:w="300" w:type="dxa"/>
            <w:vAlign w:val="bottom"/>
            <w:tcBorders>
              <w:bottom w:val="single" w:sz="8" w:color="CCEEFF"/>
            </w:tcBorders>
            <w:shd w:val="clear" w:color="auto" w:fill="CCEEFF"/>
          </w:tcPr>
          <w:p>
            <w:pPr>
              <w:spacing w:after="0"/>
              <w:rPr>
                <w:sz w:val="21"/>
                <w:szCs w:val="21"/>
                <w:color w:val="auto"/>
              </w:rPr>
            </w:pPr>
          </w:p>
        </w:tc>
      </w:tr>
      <w:tr>
        <w:trPr>
          <w:trHeight w:val="237"/>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B Common Stock</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4,429,688</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6,667</w:t>
            </w:r>
          </w:p>
        </w:tc>
        <w:tc>
          <w:tcPr>
            <w:tcW w:w="300" w:type="dxa"/>
            <w:vAlign w:val="bottom"/>
          </w:tcPr>
          <w:p>
            <w:pPr>
              <w:spacing w:after="0"/>
              <w:rPr>
                <w:sz w:val="20"/>
                <w:szCs w:val="20"/>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r>
      <w:tr>
        <w:trPr>
          <w:trHeight w:val="282"/>
        </w:trPr>
        <w:tc>
          <w:tcPr>
            <w:tcW w:w="800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180,145,313</w:t>
            </w:r>
          </w:p>
        </w:tc>
        <w:tc>
          <w:tcPr>
            <w:tcW w:w="10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127,129,148</w:t>
            </w:r>
          </w:p>
        </w:tc>
        <w:tc>
          <w:tcPr>
            <w:tcW w:w="300" w:type="dxa"/>
            <w:vAlign w:val="bottom"/>
            <w:tcBorders>
              <w:bottom w:val="single" w:sz="8" w:color="CCEEFF"/>
            </w:tcBorders>
            <w:shd w:val="clear" w:color="auto" w:fill="CCEEFF"/>
          </w:tcPr>
          <w:p>
            <w:pPr>
              <w:spacing w:after="0"/>
              <w:rPr>
                <w:sz w:val="24"/>
                <w:szCs w:val="24"/>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r>
      <w:tr>
        <w:trPr>
          <w:trHeight w:val="454"/>
        </w:trPr>
        <w:tc>
          <w:tcPr>
            <w:tcW w:w="8000" w:type="dxa"/>
            <w:vAlign w:val="bottom"/>
          </w:tcPr>
          <w:p>
            <w:pPr>
              <w:spacing w:after="0"/>
              <w:rPr>
                <w:sz w:val="24"/>
                <w:szCs w:val="24"/>
                <w:color w:val="auto"/>
              </w:rPr>
            </w:pPr>
          </w:p>
        </w:tc>
        <w:tc>
          <w:tcPr>
            <w:tcW w:w="2940" w:type="dxa"/>
            <w:vAlign w:val="bottom"/>
            <w:tcBorders>
              <w:bottom w:val="single" w:sz="8" w:color="auto"/>
            </w:tcBorders>
            <w:gridSpan w:val="3"/>
          </w:tcPr>
          <w:p>
            <w:pPr>
              <w:jc w:val="right"/>
              <w:ind w:right="594"/>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300" w:type="dxa"/>
            <w:vAlign w:val="bottom"/>
            <w:tcBorders>
              <w:bottom w:val="single" w:sz="8" w:color="auto"/>
            </w:tcBorders>
          </w:tcPr>
          <w:p>
            <w:pPr>
              <w:spacing w:after="0"/>
              <w:rPr>
                <w:sz w:val="24"/>
                <w:szCs w:val="24"/>
                <w:color w:val="auto"/>
              </w:rPr>
            </w:pPr>
          </w:p>
        </w:tc>
      </w:tr>
      <w:tr>
        <w:trPr>
          <w:trHeight w:val="195"/>
        </w:trPr>
        <w:tc>
          <w:tcPr>
            <w:tcW w:w="8000" w:type="dxa"/>
            <w:vAlign w:val="bottom"/>
          </w:tcPr>
          <w:p>
            <w:pPr>
              <w:spacing w:after="0"/>
              <w:rPr>
                <w:sz w:val="16"/>
                <w:szCs w:val="16"/>
                <w:color w:val="auto"/>
              </w:rPr>
            </w:pPr>
          </w:p>
        </w:tc>
        <w:tc>
          <w:tcPr>
            <w:tcW w:w="15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Authorized</w:t>
            </w:r>
          </w:p>
        </w:tc>
        <w:tc>
          <w:tcPr>
            <w:tcW w:w="142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33"/>
        </w:trPr>
        <w:tc>
          <w:tcPr>
            <w:tcW w:w="8000" w:type="dxa"/>
            <w:vAlign w:val="bottom"/>
          </w:tcPr>
          <w:p>
            <w:pPr>
              <w:spacing w:after="0"/>
              <w:rPr>
                <w:sz w:val="20"/>
                <w:szCs w:val="20"/>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6"/>
                <w:szCs w:val="16"/>
                <w:b w:val="1"/>
                <w:bCs w:val="1"/>
                <w:color w:val="auto"/>
              </w:rPr>
              <w:t>Issued Shares</w:t>
            </w:r>
          </w:p>
        </w:tc>
        <w:tc>
          <w:tcPr>
            <w:tcW w:w="300" w:type="dxa"/>
            <w:vAlign w:val="bottom"/>
          </w:tcPr>
          <w:p>
            <w:pPr>
              <w:spacing w:after="0"/>
              <w:rPr>
                <w:sz w:val="20"/>
                <w:szCs w:val="20"/>
                <w:color w:val="auto"/>
              </w:rPr>
            </w:pPr>
          </w:p>
        </w:tc>
      </w:tr>
      <w:tr>
        <w:trPr>
          <w:trHeight w:val="244"/>
        </w:trPr>
        <w:tc>
          <w:tcPr>
            <w:tcW w:w="8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w:t>
            </w:r>
          </w:p>
        </w:tc>
      </w:tr>
      <w:tr>
        <w:trPr>
          <w:trHeight w:val="237"/>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99,815,625</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65,919,127</w:t>
            </w:r>
          </w:p>
        </w:tc>
        <w:tc>
          <w:tcPr>
            <w:tcW w:w="300" w:type="dxa"/>
            <w:vAlign w:val="bottom"/>
          </w:tcPr>
          <w:p>
            <w:pPr>
              <w:spacing w:after="0"/>
              <w:rPr>
                <w:sz w:val="20"/>
                <w:szCs w:val="20"/>
                <w:color w:val="auto"/>
              </w:rPr>
            </w:pPr>
          </w:p>
        </w:tc>
      </w:tr>
      <w:tr>
        <w:trPr>
          <w:trHeight w:val="27"/>
        </w:trPr>
        <w:tc>
          <w:tcPr>
            <w:tcW w:w="80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64"/>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B Common Stock</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4,429,688</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6,667</w:t>
            </w:r>
          </w:p>
        </w:tc>
        <w:tc>
          <w:tcPr>
            <w:tcW w:w="300" w:type="dxa"/>
            <w:vAlign w:val="bottom"/>
            <w:tcBorders>
              <w:bottom w:val="single" w:sz="8" w:color="CCEEFF"/>
            </w:tcBorders>
            <w:shd w:val="clear" w:color="auto" w:fill="CCEEFF"/>
          </w:tcPr>
          <w:p>
            <w:pPr>
              <w:spacing w:after="0"/>
              <w:rPr>
                <w:sz w:val="22"/>
                <w:szCs w:val="22"/>
                <w:color w:val="auto"/>
              </w:rPr>
            </w:pPr>
          </w:p>
        </w:tc>
      </w:tr>
      <w:tr>
        <w:trPr>
          <w:trHeight w:val="230"/>
        </w:trPr>
        <w:tc>
          <w:tcPr>
            <w:tcW w:w="8000" w:type="dxa"/>
            <w:vAlign w:val="bottom"/>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114,245,313</w:t>
            </w:r>
          </w:p>
        </w:tc>
        <w:tc>
          <w:tcPr>
            <w:tcW w:w="100" w:type="dxa"/>
            <w:vAlign w:val="bottom"/>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65,925,795</w:t>
            </w:r>
          </w:p>
        </w:tc>
        <w:tc>
          <w:tcPr>
            <w:tcW w:w="300" w:type="dxa"/>
            <w:vAlign w:val="bottom"/>
          </w:tcPr>
          <w:p>
            <w:pPr>
              <w:spacing w:after="0"/>
              <w:rPr>
                <w:sz w:val="19"/>
                <w:szCs w:val="19"/>
                <w:color w:val="auto"/>
              </w:rPr>
            </w:pPr>
          </w:p>
        </w:tc>
      </w:tr>
      <w:tr>
        <w:trPr>
          <w:trHeight w:val="27"/>
        </w:trPr>
        <w:tc>
          <w:tcPr>
            <w:tcW w:w="80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r>
      <w:tr>
        <w:trPr>
          <w:trHeight w:val="20"/>
        </w:trPr>
        <w:tc>
          <w:tcPr>
            <w:tcW w:w="80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vertAlign w:val="superscript"/>
        </w:rPr>
        <w:t>(a)</w:t>
      </w:r>
      <w:r>
        <w:rPr>
          <w:rFonts w:ascii="Times New Roman" w:cs="Times New Roman" w:eastAsia="Times New Roman" w:hAnsi="Times New Roman"/>
          <w:sz w:val="18"/>
          <w:szCs w:val="18"/>
          <w:color w:val="auto"/>
        </w:rPr>
        <w:t xml:space="preserve"> Series A Preferred Stock</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Amendments to the Company’s Certificate of Incorporation</w:t>
      </w:r>
    </w:p>
    <w:p>
      <w:pPr>
        <w:spacing w:after="0" w:line="140" w:lineRule="exact"/>
        <w:rPr>
          <w:sz w:val="20"/>
          <w:szCs w:val="20"/>
          <w:color w:val="auto"/>
        </w:rPr>
      </w:pPr>
    </w:p>
    <w:p>
      <w:pPr>
        <w:jc w:val="both"/>
        <w:ind w:firstLine="475"/>
        <w:spacing w:after="0" w:line="249" w:lineRule="auto"/>
        <w:rPr>
          <w:sz w:val="20"/>
          <w:szCs w:val="20"/>
          <w:color w:val="auto"/>
        </w:rPr>
      </w:pPr>
      <w:r>
        <w:rPr>
          <w:rFonts w:ascii="Times New Roman" w:cs="Times New Roman" w:eastAsia="Times New Roman" w:hAnsi="Times New Roman"/>
          <w:sz w:val="18"/>
          <w:szCs w:val="18"/>
          <w:color w:val="auto"/>
        </w:rPr>
        <w:t>The Company has amended its Certificate of Incorporation multiple times since the Business Combination. The most recent amendment increased the number of shares of Preferred Stock that may be issued to 12,900,000. The Preferred Stock shall have such designations, rights and preferences as may be determined from time to time by the Board. The Board is empowered, without stockholder approval, to issue the Preferred Stock with dividend, liquidation, conversion, voting or other rights which could adversely affect the voting power or other rights of the holders of Common Stock; provided that any issuance of preferred stock with more than one vote per share will require the prior approval of the holders of a majority of the outstanding shares of Class B Common Stock.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Increase in Authorized Shares, Reverse Stock Split, Adjustments to Share Reserves (July/August 2024)</w:t>
      </w:r>
    </w:p>
    <w:p>
      <w:pPr>
        <w:spacing w:after="0" w:line="151"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At the annual meeting of the Company’s stockholders held on July 31, 2024, the Company’s stockholders approved an increase in the authorized shares of Common Stock from 11,582,813 to 104,245,313, increasing the total number of authorized shares of the Common Stock and preferred stock from 12,582,813 to 114,245,313. On August 1, 2024, the Company filed an amendment to the Company’s Third Amended and Restated Certificate of Incorporation, as amended, with the office of the Secretary of State of the State of Delaware to effect such increase.</w:t>
      </w:r>
    </w:p>
    <w:p>
      <w:pPr>
        <w:spacing w:after="0" w:line="103" w:lineRule="exact"/>
        <w:rPr>
          <w:sz w:val="20"/>
          <w:szCs w:val="20"/>
          <w:color w:val="auto"/>
        </w:rPr>
      </w:pPr>
    </w:p>
    <w:p>
      <w:pPr>
        <w:jc w:val="both"/>
        <w:ind w:firstLine="475"/>
        <w:spacing w:after="0" w:line="247" w:lineRule="auto"/>
        <w:rPr>
          <w:sz w:val="20"/>
          <w:szCs w:val="20"/>
          <w:color w:val="auto"/>
        </w:rPr>
      </w:pPr>
      <w:r>
        <w:rPr>
          <w:rFonts w:ascii="Times New Roman" w:cs="Times New Roman" w:eastAsia="Times New Roman" w:hAnsi="Times New Roman"/>
          <w:sz w:val="18"/>
          <w:szCs w:val="18"/>
          <w:color w:val="auto"/>
        </w:rPr>
        <w:t>Also at the annual meeting of the Company’s stockholders held on July 31, 2024, the Company’s stockholders approved an amendment to the Company’s Third Amended and Restated Certificate of Incorporation, as amended, to effect the reverse stock split of the outstanding Common Stock by a ratio of between 1-for-2 and 1-for-40, with such ratio to be determined in the discretion of the Board and with such action to be effected at such time and date, if at all, as determined by the Board within one year after the conclusion of the annual meeting, and a corresponding reduction in the total number of shares of Common Stock the Company is authorized to issue. The Board subsequently approved the implementation of the 1-for-40 stock split ratio (the “Third Reverse Stock Split”), and the Company filed an amendment (the “Fourth Certificate of Amendment”) to the Company’s Third Amended and Restated Certificate of Incorporation with the Secretary of State of the State of Delaware to effect the Third Reverse Stock Split and to set the number of authorized shares of Common Stock to 104,245,313. Pursuant to the Fourth Certificate of Amendment, effective after market close on August 16, 2024 (the “Effective Time”), every 40 shares of the issued and outstanding Common Stock were automatically converted into one share of Common Stock, without any change in par value per share, and the number of authorized shares of Common Stock were reduced to 104,245,313.</w:t>
      </w:r>
    </w:p>
    <w:p>
      <w:pPr>
        <w:spacing w:after="0" w:line="125"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The Class A Common Stock began trading on The Nasdaq Capital Market on a split-adjusted basis for the August 2024 Reverse Stock Split at the opening of trading on August 19, 2024, under the symbol “FFIE” with a new CUSIP number (307359 885). The Class B Common Stock also received a new CUSIP number (307359 877).</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03"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The Company’s Public Warrants continued to trade on The Nasdaq Capital Market under the symbol “FFIEW,” with the CUSIP number unchanged. However, under the terms of the applicable warrant agreement, the number of shares of Class A Common Stock issuable upon exercise of each warrant was proportionately decreased, and the exercise price adjusted. Accordingly, for the Company’s warrants trading under the symbol “FFIEW,” every 40 warrants became exercisable for one share of Class A Common Stock at an exercise price of $110,400.00 per share of Class A Common Stock.</w:t>
      </w:r>
    </w:p>
    <w:p>
      <w:pPr>
        <w:spacing w:after="0" w:line="116" w:lineRule="exact"/>
        <w:rPr>
          <w:sz w:val="20"/>
          <w:szCs w:val="20"/>
          <w:color w:val="auto"/>
        </w:rPr>
      </w:pPr>
    </w:p>
    <w:p>
      <w:pPr>
        <w:jc w:val="both"/>
        <w:ind w:firstLine="475"/>
        <w:spacing w:after="0" w:line="249" w:lineRule="auto"/>
        <w:rPr>
          <w:sz w:val="20"/>
          <w:szCs w:val="20"/>
          <w:color w:val="auto"/>
        </w:rPr>
      </w:pPr>
      <w:r>
        <w:rPr>
          <w:rFonts w:ascii="Times New Roman" w:cs="Times New Roman" w:eastAsia="Times New Roman" w:hAnsi="Times New Roman"/>
          <w:sz w:val="18"/>
          <w:szCs w:val="18"/>
          <w:color w:val="auto"/>
        </w:rPr>
        <w:t>At the Effective Time, the number of shares of Common Stock reserved for issuance under the 2021 SI Plan (as defined below), the Company’s Smart King Ltd. Equity Incentive Plan, and the Company’s Smart King Ltd. Special Talent Incentive Plan (collectively, the “Plans”), as well as the number of shares subject to the then-outstanding awards under each of the Plans, were proportionately adjusted, using the 1-for-40 ratio, rounded down to the nearest whole share. In addition, the exercise price of the then-outstanding options under each of the Plans was proportionately adjusted, using the 1-for-40 ratio, rounded up to the nearest whole cent. Proportionate adjustments were made to the number of shares of Common Stock issuable upon exercise or conversion of the Company’s outstanding warrants and convertible securities, as well as the applicable exercise or conversion prices.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Trading Symbols (March 2025)</w:t>
      </w:r>
    </w:p>
    <w:p>
      <w:pPr>
        <w:spacing w:after="0" w:line="151" w:lineRule="exact"/>
        <w:rPr>
          <w:sz w:val="20"/>
          <w:szCs w:val="20"/>
          <w:color w:val="auto"/>
        </w:rPr>
      </w:pPr>
    </w:p>
    <w:p>
      <w:pPr>
        <w:jc w:val="both"/>
        <w:ind w:firstLine="475"/>
        <w:spacing w:after="0" w:line="269" w:lineRule="auto"/>
        <w:rPr>
          <w:sz w:val="20"/>
          <w:szCs w:val="20"/>
          <w:color w:val="auto"/>
        </w:rPr>
      </w:pPr>
      <w:r>
        <w:rPr>
          <w:rFonts w:ascii="Times New Roman" w:cs="Times New Roman" w:eastAsia="Times New Roman" w:hAnsi="Times New Roman"/>
          <w:sz w:val="18"/>
          <w:szCs w:val="18"/>
          <w:color w:val="auto"/>
        </w:rPr>
        <w:t>Effective March 10, 2025, the Class A Common Stock and Public Warrants currently trade under the new ticker symbols “FFAI” and “FFAIW,” respectively, on The Nasdaq Capital Market.</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Increase in Authorized Shares (March 2025)</w:t>
      </w:r>
    </w:p>
    <w:p>
      <w:pPr>
        <w:spacing w:after="0" w:line="151"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At the special meeting of the Company’s stockholders held on March 7, 2025, the Company’s stockholders approved an increase in the authorized shares of Common Stock from 104,245,313 to 129,245,313, increasing the total number of authorized shares of the Common Stock and preferred stock from 114,245,313 to 139,245,313. On March 10, 2025, the Company filed a Fifth Certificate of Amendment (the “Fifth Certificate of Amendment”) to the Company’s Third Amended and Restated Certificate of Incorporation with the Secretary of State of the State of Delaware to effect such increase.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Increase in Authorized Shares (May 2025)</w:t>
      </w:r>
    </w:p>
    <w:p>
      <w:pPr>
        <w:spacing w:after="0" w:line="138"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On May 29, 2025, the Company filed a Seventh Certificate of Amendment to its Third Amended and Restated Certificate of Incorporation with the Secretary of State of the State of Delaware. This amendment was adopted in accordance with Section 242 of the Delaware General Corporation Law, following stockholder approval at the special meeting held on May 24, 2025.</w:t>
      </w:r>
    </w:p>
    <w:p>
      <w:pPr>
        <w:spacing w:after="0" w:line="113"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The amendment increased the number of authorized shares of Class A Common Stock from 124,815,625 to 162,815,625 and authorized 4,429,688 shares of Class B Common Stock, bringing the total number of authorized Common Stock shares to 167,245,313. It also increased the number of authorized shares of Preferred Stock from 10,000,000 to 12,900,000 and eliminated the Series A Preferred Stock designation. The increase in Preferred Stock authorization supports the Company’s outstanding and future preferred equity issuances.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A Preferred Stock</w:t>
      </w:r>
    </w:p>
    <w:p>
      <w:pPr>
        <w:spacing w:after="0" w:line="151" w:lineRule="exact"/>
        <w:rPr>
          <w:sz w:val="20"/>
          <w:szCs w:val="20"/>
          <w:color w:val="auto"/>
        </w:rPr>
      </w:pPr>
    </w:p>
    <w:p>
      <w:pPr>
        <w:jc w:val="both"/>
        <w:ind w:firstLine="475"/>
        <w:spacing w:after="0" w:line="250" w:lineRule="auto"/>
        <w:rPr>
          <w:sz w:val="20"/>
          <w:szCs w:val="20"/>
          <w:color w:val="auto"/>
        </w:rPr>
      </w:pPr>
      <w:r>
        <w:rPr>
          <w:rFonts w:ascii="Times New Roman" w:cs="Times New Roman" w:eastAsia="Times New Roman" w:hAnsi="Times New Roman"/>
          <w:sz w:val="18"/>
          <w:szCs w:val="18"/>
          <w:color w:val="auto"/>
        </w:rPr>
        <w:t>On January 28, 2025, in connection with a purchase agreement entered into with Mr. Aydt, the Company’s Global Co-CEO, the Company filed a Certificate of Designation of Preferences, Rights and Limitations of Series A Preferred Stock (the “Series A COD”) with the Secretary of State of the State of Delaware. The Series A COD designated one share of the Company’s Preferred Stock as Series A preferred stock, par value $0.0001 per share (the “Series A Preferred”) and established the preferences, rights and limitations thereof. The closing of the sale and purchase of the shares of the Series A Preferred was completed on January 28, 2025 for a purchase price of $100.00.</w:t>
      </w:r>
    </w:p>
    <w:p>
      <w:pPr>
        <w:spacing w:after="0" w:line="1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Series A Preferred was redeemed on March 7, 2025, for a redemption price of $100.00, following the annual meeting of stockholders.</w:t>
      </w:r>
    </w:p>
    <w:p>
      <w:pPr>
        <w:spacing w:after="0" w:line="136"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On April 17, 2025, in connection with a purchase agreement entered into with Mr. Aydt, the Company’s Global Co-CEO, the Company filed the Series A COD with the Secretary of State of the State of Delaware. The Series A COD designated one share of the Company’s Preferred Stock, par value $0.0001 per share and established the preferences, rights and limitations thereof. The closing of the sale and purchase of the shares of the Preferred was completed on April 17, 2025 for a purchase price of $100.00.</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03"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The Series A Preferred Stock was redeemed on May 28, 2025, for a redemption price of $100.00, following the annual meeting of stockholders. On May 29, 2025, the Company filed a Certificate of Elimination with the Secretary of State of the State of Delaware to cancel the designation of the Series A Preferred.</w:t>
      </w:r>
    </w:p>
    <w:p>
      <w:pPr>
        <w:spacing w:after="0" w:line="113" w:lineRule="exact"/>
        <w:rPr>
          <w:sz w:val="20"/>
          <w:szCs w:val="20"/>
          <w:color w:val="auto"/>
        </w:rPr>
      </w:pPr>
    </w:p>
    <w:p>
      <w:pPr>
        <w:jc w:val="both"/>
        <w:ind w:firstLine="633"/>
        <w:spacing w:after="0" w:line="333" w:lineRule="auto"/>
        <w:rPr>
          <w:sz w:val="20"/>
          <w:szCs w:val="20"/>
          <w:color w:val="auto"/>
        </w:rPr>
      </w:pPr>
      <w:r>
        <w:rPr>
          <w:rFonts w:ascii="Times New Roman" w:cs="Times New Roman" w:eastAsia="Times New Roman" w:hAnsi="Times New Roman"/>
          <w:sz w:val="16"/>
          <w:szCs w:val="16"/>
          <w:color w:val="auto"/>
        </w:rPr>
        <w:t>The share of Series A Preferred Stock, each time it was designated and issued, had no voting rights except with respect to certain share authorization proposals in which the outstanding share of Series A Preferred Stock had 3,000,000,000 votes with respect to the Share Authorization Proposals.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B Preferred Stock</w:t>
      </w:r>
    </w:p>
    <w:p>
      <w:pPr>
        <w:spacing w:after="0" w:line="151" w:lineRule="exact"/>
        <w:rPr>
          <w:sz w:val="20"/>
          <w:szCs w:val="20"/>
          <w:color w:val="auto"/>
        </w:rPr>
      </w:pPr>
    </w:p>
    <w:p>
      <w:pPr>
        <w:jc w:val="both"/>
        <w:ind w:firstLine="475"/>
        <w:spacing w:after="0" w:line="267" w:lineRule="auto"/>
        <w:rPr>
          <w:sz w:val="20"/>
          <w:szCs w:val="20"/>
          <w:color w:val="auto"/>
        </w:rPr>
      </w:pPr>
      <w:r>
        <w:rPr>
          <w:rFonts w:ascii="Times New Roman" w:cs="Times New Roman" w:eastAsia="Times New Roman" w:hAnsi="Times New Roman"/>
          <w:sz w:val="18"/>
          <w:szCs w:val="18"/>
          <w:color w:val="auto"/>
        </w:rPr>
        <w:t>On April 3, 2025, in connection with the initial closing under the 2025 March Unsecured SPA, the Company filed a Certificate of Designation of Preferences, Rights and Limitations of Series B Preferred Stock (the “Series B COD”) with the Secretary of State of the State of Delaware, as amended on</w:t>
      </w:r>
    </w:p>
    <w:p>
      <w:pPr>
        <w:spacing w:after="0" w:line="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April 9, 2025. The Series B COD authorized 9,000,000 shares of the Company’s preferred stock as Series B Preferred Stock, par value $0.0001 per share (the “Series B Preferred Stock”), and established the preferences, rights, and limitations thereof.</w:t>
      </w:r>
    </w:p>
    <w:p>
      <w:pPr>
        <w:spacing w:after="0" w:line="103"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The Series B Preferred Stock does not carry dividend rights and is generally non-transferable without the prior written consent of the Board of Directors. Each share entitles the holder to one vote and votes together with the Common Stock as a single class on all matters submitted to stockholders, except where a separate class vote is required by law.</w:t>
      </w:r>
    </w:p>
    <w:p>
      <w:pPr>
        <w:spacing w:after="0" w:line="100"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In the event of any liquidation, dissolution, or winding up of the Company, each share of Series B Preferred Stock is entitled to receive a priority distribution equal to the then-effective conversion price under the related convertible notes. Upon the conversion of a holder’s convertible notes into Class A Common Stock, an equal number of Series B Preferred shares are automatically redeemed and retired without any additional consideration.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w:t>
      </w:r>
    </w:p>
    <w:p>
      <w:pPr>
        <w:spacing w:after="0" w:line="138"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The holders of Class A Common Stock and Class B Common Stock are entitled to one vote for each share held of record on all matters to be voted on by stockholders until the occurrence of a Qualifying Equity Market Capitalization, following which holders of Class B Common Stock shall be entitled to ten votes per share and shall continue to be entitled to ten votes per share regardless of whether the Qualifying Equity Market Capitalization shall continue to exist or not thereafter.</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w:t>
      </w:r>
    </w:p>
    <w:p>
      <w:pPr>
        <w:spacing w:after="0" w:line="151" w:lineRule="exact"/>
        <w:rPr>
          <w:sz w:val="20"/>
          <w:szCs w:val="20"/>
          <w:color w:val="auto"/>
        </w:rPr>
      </w:pPr>
    </w:p>
    <w:p>
      <w:pPr>
        <w:jc w:val="both"/>
        <w:ind w:firstLine="475"/>
        <w:spacing w:after="0" w:line="269" w:lineRule="auto"/>
        <w:rPr>
          <w:sz w:val="20"/>
          <w:szCs w:val="20"/>
          <w:color w:val="auto"/>
        </w:rPr>
      </w:pPr>
      <w:r>
        <w:rPr>
          <w:rFonts w:ascii="Times New Roman" w:cs="Times New Roman" w:eastAsia="Times New Roman" w:hAnsi="Times New Roman"/>
          <w:sz w:val="18"/>
          <w:szCs w:val="18"/>
          <w:color w:val="auto"/>
        </w:rPr>
        <w:t>Shares of Class B Common Stock have the right to convert into shares of Class A Common Stock at any time at the rate of one share of Class A Common Stock for each share of Class B Common Stock. Class A Common Stock does not have the right to convert into Class B Common Stock.</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w:t>
      </w:r>
    </w:p>
    <w:p>
      <w:pPr>
        <w:spacing w:after="0" w:line="151"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winding-up of the Corporation, after payment or provision for payment of the debts and other liabilities of the Corporation, the holders of the shares of the Common Stock shall be entitled to receive all the remaining assets of the Corporation available for distribution to its stockholders, ratably in proportion to the number of shares of the Common Stock held by them.</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4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number of outstanding warrants to purchase the Company’s Class A Common Stock as of June 30, 2025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280" w:type="dxa"/>
            <w:vAlign w:val="bottom"/>
            <w:tcBorders>
              <w:bottom w:val="single" w:sz="8" w:color="CCEEFF"/>
            </w:tcBorders>
          </w:tcPr>
          <w:p>
            <w:pPr>
              <w:spacing w:after="0"/>
              <w:rPr>
                <w:sz w:val="19"/>
                <w:szCs w:val="19"/>
                <w:color w:val="auto"/>
              </w:rPr>
            </w:pPr>
          </w:p>
        </w:tc>
        <w:tc>
          <w:tcPr>
            <w:tcW w:w="19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Number of Warrants</w:t>
            </w:r>
          </w:p>
        </w:tc>
        <w:tc>
          <w:tcPr>
            <w:tcW w:w="8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Exercise Price</w:t>
            </w:r>
          </w:p>
        </w:tc>
        <w:tc>
          <w:tcPr>
            <w:tcW w:w="80" w:type="dxa"/>
            <w:vAlign w:val="bottom"/>
            <w:tcBorders>
              <w:bottom w:val="single" w:sz="8" w:color="CCEEFF"/>
            </w:tcBorders>
          </w:tcPr>
          <w:p>
            <w:pPr>
              <w:spacing w:after="0"/>
              <w:rPr>
                <w:sz w:val="19"/>
                <w:szCs w:val="19"/>
                <w:color w:val="auto"/>
              </w:rPr>
            </w:pPr>
          </w:p>
        </w:tc>
        <w:tc>
          <w:tcPr>
            <w:tcW w:w="3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Expiration Date</w:t>
            </w:r>
          </w:p>
        </w:tc>
      </w:tr>
      <w:tr>
        <w:trPr>
          <w:trHeight w:val="244"/>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Ares Warrants</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5,776,657</w:t>
            </w:r>
          </w:p>
        </w:tc>
        <w:tc>
          <w:tcPr>
            <w:tcW w:w="162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$1.16</w:t>
            </w:r>
          </w:p>
        </w:tc>
        <w:tc>
          <w:tcPr>
            <w:tcW w:w="80" w:type="dxa"/>
            <w:vAlign w:val="bottom"/>
            <w:tcBorders>
              <w:bottom w:val="single" w:sz="8" w:color="CCEEFF"/>
            </w:tcBorders>
            <w:shd w:val="clear" w:color="auto" w:fill="CCEEFF"/>
          </w:tcPr>
          <w:p>
            <w:pPr>
              <w:spacing w:after="0"/>
              <w:rPr>
                <w:sz w:val="21"/>
                <w:szCs w:val="21"/>
                <w:color w:val="auto"/>
              </w:rPr>
            </w:pPr>
          </w:p>
        </w:tc>
        <w:tc>
          <w:tcPr>
            <w:tcW w:w="3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August 5, 2027</w:t>
            </w:r>
          </w:p>
        </w:tc>
      </w:tr>
      <w:tr>
        <w:trPr>
          <w:trHeight w:val="219"/>
        </w:trPr>
        <w:tc>
          <w:tcPr>
            <w:tcW w:w="42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(a) $1.16 or (b)</w:t>
            </w:r>
          </w:p>
        </w:tc>
        <w:tc>
          <w:tcPr>
            <w:tcW w:w="3340" w:type="dxa"/>
            <w:vAlign w:val="bottom"/>
          </w:tcPr>
          <w:p>
            <w:pPr>
              <w:spacing w:after="0"/>
              <w:rPr>
                <w:sz w:val="19"/>
                <w:szCs w:val="19"/>
                <w:color w:val="auto"/>
              </w:rPr>
            </w:pP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SPA Warrants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15,433</w:t>
            </w: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$8,568.00</w:t>
            </w:r>
          </w:p>
        </w:tc>
        <w:tc>
          <w:tcPr>
            <w:tcW w:w="80" w:type="dxa"/>
            <w:vAlign w:val="bottom"/>
          </w:tcPr>
          <w:p>
            <w:pPr>
              <w:spacing w:after="0"/>
              <w:rPr>
                <w:sz w:val="19"/>
                <w:szCs w:val="19"/>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Various through June 9, 2032</w:t>
            </w:r>
          </w:p>
        </w:tc>
      </w:tr>
      <w:tr>
        <w:trPr>
          <w:trHeight w:val="27"/>
        </w:trPr>
        <w:tc>
          <w:tcPr>
            <w:tcW w:w="4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340" w:type="dxa"/>
            <w:vAlign w:val="bottom"/>
          </w:tcPr>
          <w:p>
            <w:pPr>
              <w:spacing w:after="0"/>
              <w:rPr>
                <w:sz w:val="2"/>
                <w:szCs w:val="2"/>
                <w:color w:val="auto"/>
              </w:rPr>
            </w:pPr>
          </w:p>
        </w:tc>
      </w:tr>
      <w:tr>
        <w:trPr>
          <w:trHeight w:val="244"/>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Junior SPA Warrants</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5,931,638</w:t>
            </w:r>
          </w:p>
        </w:tc>
        <w:tc>
          <w:tcPr>
            <w:tcW w:w="162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$1.16</w:t>
            </w:r>
          </w:p>
        </w:tc>
        <w:tc>
          <w:tcPr>
            <w:tcW w:w="80" w:type="dxa"/>
            <w:vAlign w:val="bottom"/>
            <w:tcBorders>
              <w:bottom w:val="single" w:sz="8" w:color="CCEEFF"/>
            </w:tcBorders>
            <w:shd w:val="clear" w:color="auto" w:fill="CCEEFF"/>
          </w:tcPr>
          <w:p>
            <w:pPr>
              <w:spacing w:after="0"/>
              <w:rPr>
                <w:sz w:val="21"/>
                <w:szCs w:val="21"/>
                <w:color w:val="auto"/>
              </w:rPr>
            </w:pPr>
          </w:p>
        </w:tc>
        <w:tc>
          <w:tcPr>
            <w:tcW w:w="3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Various through September 30, 2029</w:t>
            </w:r>
          </w:p>
        </w:tc>
      </w:tr>
      <w:tr>
        <w:trPr>
          <w:trHeight w:val="237"/>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 Unsecured SPA Warrants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25,874,953</w:t>
            </w: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3"/>
              </w:rPr>
              <w:t>$1.22</w:t>
            </w:r>
          </w:p>
        </w:tc>
        <w:tc>
          <w:tcPr>
            <w:tcW w:w="80" w:type="dxa"/>
            <w:vAlign w:val="bottom"/>
          </w:tcPr>
          <w:p>
            <w:pPr>
              <w:spacing w:after="0"/>
              <w:rPr>
                <w:sz w:val="20"/>
                <w:szCs w:val="20"/>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Various through January 21, 2030</w:t>
            </w:r>
          </w:p>
        </w:tc>
      </w:tr>
      <w:tr>
        <w:trPr>
          <w:trHeight w:val="27"/>
        </w:trPr>
        <w:tc>
          <w:tcPr>
            <w:tcW w:w="4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340" w:type="dxa"/>
            <w:vAlign w:val="bottom"/>
          </w:tcPr>
          <w:p>
            <w:pPr>
              <w:spacing w:after="0"/>
              <w:rPr>
                <w:sz w:val="2"/>
                <w:szCs w:val="2"/>
                <w:color w:val="auto"/>
              </w:rPr>
            </w:pPr>
          </w:p>
        </w:tc>
      </w:tr>
      <w:tr>
        <w:trPr>
          <w:trHeight w:val="244"/>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March Unsecured SPA Warrants</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24,672,312</w:t>
            </w:r>
          </w:p>
        </w:tc>
        <w:tc>
          <w:tcPr>
            <w:tcW w:w="162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$1.46</w:t>
            </w:r>
          </w:p>
        </w:tc>
        <w:tc>
          <w:tcPr>
            <w:tcW w:w="80" w:type="dxa"/>
            <w:vAlign w:val="bottom"/>
            <w:tcBorders>
              <w:bottom w:val="single" w:sz="8" w:color="CCEEFF"/>
            </w:tcBorders>
            <w:shd w:val="clear" w:color="auto" w:fill="CCEEFF"/>
          </w:tcPr>
          <w:p>
            <w:pPr>
              <w:spacing w:after="0"/>
              <w:rPr>
                <w:sz w:val="21"/>
                <w:szCs w:val="21"/>
                <w:color w:val="auto"/>
              </w:rPr>
            </w:pPr>
          </w:p>
        </w:tc>
        <w:tc>
          <w:tcPr>
            <w:tcW w:w="3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Various through July 11, 2030</w:t>
            </w:r>
          </w:p>
        </w:tc>
      </w:tr>
      <w:tr>
        <w:trPr>
          <w:trHeight w:val="237"/>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$110,400.00</w:t>
            </w:r>
          </w:p>
        </w:tc>
        <w:tc>
          <w:tcPr>
            <w:tcW w:w="80" w:type="dxa"/>
            <w:vAlign w:val="bottom"/>
          </w:tcPr>
          <w:p>
            <w:pPr>
              <w:spacing w:after="0"/>
              <w:rPr>
                <w:sz w:val="20"/>
                <w:szCs w:val="20"/>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21, 2026</w:t>
            </w:r>
          </w:p>
        </w:tc>
      </w:tr>
      <w:tr>
        <w:trPr>
          <w:trHeight w:val="27"/>
        </w:trPr>
        <w:tc>
          <w:tcPr>
            <w:tcW w:w="4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340" w:type="dxa"/>
            <w:vAlign w:val="bottom"/>
          </w:tcPr>
          <w:p>
            <w:pPr>
              <w:spacing w:after="0"/>
              <w:rPr>
                <w:sz w:val="2"/>
                <w:szCs w:val="2"/>
                <w:color w:val="auto"/>
              </w:rPr>
            </w:pPr>
          </w:p>
        </w:tc>
      </w:tr>
      <w:tr>
        <w:trPr>
          <w:trHeight w:val="264"/>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Warrants</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2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$110,400.00</w:t>
            </w:r>
          </w:p>
        </w:tc>
        <w:tc>
          <w:tcPr>
            <w:tcW w:w="80" w:type="dxa"/>
            <w:vAlign w:val="bottom"/>
            <w:tcBorders>
              <w:bottom w:val="single" w:sz="8" w:color="CCEEFF"/>
            </w:tcBorders>
            <w:shd w:val="clear" w:color="auto" w:fill="CCEEFF"/>
          </w:tcPr>
          <w:p>
            <w:pPr>
              <w:spacing w:after="0"/>
              <w:rPr>
                <w:sz w:val="22"/>
                <w:szCs w:val="22"/>
                <w:color w:val="auto"/>
              </w:rPr>
            </w:pPr>
          </w:p>
        </w:tc>
        <w:tc>
          <w:tcPr>
            <w:tcW w:w="3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July 21, 2026</w:t>
            </w:r>
          </w:p>
        </w:tc>
      </w:tr>
      <w:tr>
        <w:trPr>
          <w:trHeight w:val="222"/>
        </w:trPr>
        <w:tc>
          <w:tcPr>
            <w:tcW w:w="4280" w:type="dxa"/>
            <w:vAlign w:val="bottom"/>
          </w:tcPr>
          <w:p>
            <w:pPr>
              <w:spacing w:after="0"/>
              <w:rPr>
                <w:sz w:val="19"/>
                <w:szCs w:val="19"/>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62,273,458</w:t>
            </w: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340" w:type="dxa"/>
            <w:vAlign w:val="bottom"/>
          </w:tcPr>
          <w:p>
            <w:pPr>
              <w:spacing w:after="0"/>
              <w:rPr>
                <w:sz w:val="19"/>
                <w:szCs w:val="19"/>
                <w:color w:val="auto"/>
              </w:rPr>
            </w:pPr>
          </w:p>
        </w:tc>
      </w:tr>
      <w:tr>
        <w:trPr>
          <w:trHeight w:val="22"/>
        </w:trPr>
        <w:tc>
          <w:tcPr>
            <w:tcW w:w="42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bl>
    <w:p>
      <w:pPr>
        <w:spacing w:after="0" w:line="20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number of outstanding warrants to purchase the Company’s Class A Common Stock as of December 31, 2024 were as follows: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100" w:type="dxa"/>
            <w:vAlign w:val="bottom"/>
            <w:tcBorders>
              <w:bottom w:val="single" w:sz="8" w:color="CCEEFF"/>
            </w:tcBorders>
          </w:tcPr>
          <w:p>
            <w:pPr>
              <w:spacing w:after="0"/>
              <w:rPr>
                <w:sz w:val="19"/>
                <w:szCs w:val="19"/>
                <w:color w:val="auto"/>
              </w:rPr>
            </w:pPr>
          </w:p>
        </w:tc>
        <w:tc>
          <w:tcPr>
            <w:tcW w:w="19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Number of Warrants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00" w:type="dxa"/>
            <w:vAlign w:val="bottom"/>
            <w:tcBorders>
              <w:bottom w:val="single" w:sz="8" w:color="CCEEFF"/>
            </w:tcBorders>
          </w:tcPr>
          <w:p>
            <w:pPr>
              <w:spacing w:after="0"/>
              <w:rPr>
                <w:sz w:val="19"/>
                <w:szCs w:val="19"/>
                <w:color w:val="auto"/>
              </w:rPr>
            </w:pPr>
          </w:p>
        </w:tc>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Expiration Date</w:t>
            </w:r>
          </w:p>
        </w:tc>
      </w:tr>
      <w:tr>
        <w:trPr>
          <w:trHeight w:val="244"/>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Ares warrants</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5,776,657</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3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August 5, 2027</w:t>
            </w:r>
          </w:p>
        </w:tc>
      </w:tr>
      <w:tr>
        <w:trPr>
          <w:trHeight w:val="237"/>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SPA Warrants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15,238</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0"/>
                <w:szCs w:val="20"/>
                <w:color w:val="auto"/>
              </w:rPr>
            </w:pPr>
          </w:p>
        </w:tc>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Various through November 1, 2031</w:t>
            </w:r>
          </w:p>
        </w:tc>
      </w:tr>
      <w:tr>
        <w:trPr>
          <w:trHeight w:val="27"/>
        </w:trPr>
        <w:tc>
          <w:tcPr>
            <w:tcW w:w="4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500" w:type="dxa"/>
            <w:vAlign w:val="bottom"/>
          </w:tcPr>
          <w:p>
            <w:pPr>
              <w:spacing w:after="0"/>
              <w:rPr>
                <w:sz w:val="2"/>
                <w:szCs w:val="2"/>
                <w:color w:val="auto"/>
              </w:rPr>
            </w:pPr>
          </w:p>
        </w:tc>
      </w:tr>
      <w:tr>
        <w:trPr>
          <w:trHeight w:val="244"/>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Junior SPA Warrants</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5,931,638</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3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Various through September 30, 2029</w:t>
            </w:r>
          </w:p>
        </w:tc>
      </w:tr>
      <w:tr>
        <w:trPr>
          <w:trHeight w:val="237"/>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 Unsecured SPA Warrants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10,788,746</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20"/>
                <w:szCs w:val="20"/>
                <w:color w:val="auto"/>
              </w:rPr>
            </w:pPr>
          </w:p>
        </w:tc>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December 31, 2029</w:t>
            </w:r>
          </w:p>
        </w:tc>
      </w:tr>
      <w:tr>
        <w:trPr>
          <w:trHeight w:val="27"/>
        </w:trPr>
        <w:tc>
          <w:tcPr>
            <w:tcW w:w="4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500" w:type="dxa"/>
            <w:vAlign w:val="bottom"/>
          </w:tcPr>
          <w:p>
            <w:pPr>
              <w:spacing w:after="0"/>
              <w:rPr>
                <w:sz w:val="2"/>
                <w:szCs w:val="2"/>
                <w:color w:val="auto"/>
              </w:rPr>
            </w:pPr>
          </w:p>
        </w:tc>
      </w:tr>
      <w:tr>
        <w:trPr>
          <w:trHeight w:val="244"/>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110,400.00</w:t>
            </w:r>
          </w:p>
        </w:tc>
        <w:tc>
          <w:tcPr>
            <w:tcW w:w="100" w:type="dxa"/>
            <w:vAlign w:val="bottom"/>
            <w:tcBorders>
              <w:bottom w:val="single" w:sz="8" w:color="CCEEFF"/>
            </w:tcBorders>
            <w:shd w:val="clear" w:color="auto" w:fill="CCEEFF"/>
          </w:tcPr>
          <w:p>
            <w:pPr>
              <w:spacing w:after="0"/>
              <w:rPr>
                <w:sz w:val="21"/>
                <w:szCs w:val="21"/>
                <w:color w:val="auto"/>
              </w:rPr>
            </w:pPr>
          </w:p>
        </w:tc>
        <w:tc>
          <w:tcPr>
            <w:tcW w:w="3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July 21, 2026</w:t>
            </w:r>
          </w:p>
        </w:tc>
      </w:tr>
      <w:tr>
        <w:trPr>
          <w:trHeight w:val="237"/>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Warrants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110,400.00</w:t>
            </w:r>
          </w:p>
        </w:tc>
        <w:tc>
          <w:tcPr>
            <w:tcW w:w="100" w:type="dxa"/>
            <w:vAlign w:val="bottom"/>
          </w:tcPr>
          <w:p>
            <w:pPr>
              <w:spacing w:after="0"/>
              <w:rPr>
                <w:sz w:val="20"/>
                <w:szCs w:val="20"/>
                <w:color w:val="auto"/>
              </w:rPr>
            </w:pPr>
          </w:p>
        </w:tc>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July 21, 2026</w:t>
            </w:r>
          </w:p>
        </w:tc>
      </w:tr>
      <w:tr>
        <w:trPr>
          <w:trHeight w:val="27"/>
        </w:trPr>
        <w:tc>
          <w:tcPr>
            <w:tcW w:w="41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r>
      <w:tr>
        <w:trPr>
          <w:trHeight w:val="282"/>
        </w:trPr>
        <w:tc>
          <w:tcPr>
            <w:tcW w:w="4100" w:type="dxa"/>
            <w:vAlign w:val="bottom"/>
            <w:tcBorders>
              <w:bottom w:val="single" w:sz="8" w:color="CCEEFF"/>
            </w:tcBorders>
            <w:shd w:val="clear" w:color="auto" w:fill="CCEEFF"/>
          </w:tcPr>
          <w:p>
            <w:pPr>
              <w:spacing w:after="0"/>
              <w:rPr>
                <w:sz w:val="24"/>
                <w:szCs w:val="24"/>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22,514,744</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500" w:type="dxa"/>
            <w:vAlign w:val="bottom"/>
            <w:tcBorders>
              <w:bottom w:val="single" w:sz="8" w:color="CCEEFF"/>
            </w:tcBorders>
            <w:shd w:val="clear" w:color="auto" w:fill="CCEEFF"/>
          </w:tcPr>
          <w:p>
            <w:pPr>
              <w:spacing w:after="0"/>
              <w:rPr>
                <w:sz w:val="24"/>
                <w:szCs w:val="24"/>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r>
    </w:tbl>
    <w:p>
      <w:pPr>
        <w:spacing w:after="0" w:line="23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There were no warrants exercised during the six months ended June 30, 2025 and 2024.</w:t>
      </w:r>
    </w:p>
    <w:p>
      <w:pPr>
        <w:spacing w:after="0" w:line="149"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The above Ares warrants and SPA Portfolio Note warrants contain full ratchet anti-dilution price protection that requires the exercise price to be adjusted if the Company sells shares of Common Stock below the current exercise price. There were not any dilutive events during the six months ended June 30, 2025 and 2024.</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Insufficient Authorized Shares</w:t>
      </w:r>
    </w:p>
    <w:p>
      <w:pPr>
        <w:spacing w:after="0" w:line="151" w:lineRule="exact"/>
        <w:rPr>
          <w:sz w:val="20"/>
          <w:szCs w:val="20"/>
          <w:color w:val="auto"/>
        </w:rPr>
      </w:pPr>
    </w:p>
    <w:p>
      <w:pPr>
        <w:jc w:val="both"/>
        <w:ind w:firstLine="475"/>
        <w:spacing w:after="0" w:line="248" w:lineRule="auto"/>
        <w:rPr>
          <w:sz w:val="20"/>
          <w:szCs w:val="20"/>
          <w:color w:val="auto"/>
        </w:rPr>
      </w:pPr>
      <w:r>
        <w:rPr>
          <w:rFonts w:ascii="Times New Roman" w:cs="Times New Roman" w:eastAsia="Times New Roman" w:hAnsi="Times New Roman"/>
          <w:sz w:val="18"/>
          <w:szCs w:val="18"/>
          <w:color w:val="auto"/>
        </w:rPr>
        <w:t xml:space="preserve">From time to time, certain of the Company’s equity-linked financial instruments may be classified as derivative liabilities under ASC 815,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Hedging</w:t>
      </w:r>
      <w:r>
        <w:rPr>
          <w:rFonts w:ascii="Times New Roman" w:cs="Times New Roman" w:eastAsia="Times New Roman" w:hAnsi="Times New Roman"/>
          <w:sz w:val="18"/>
          <w:szCs w:val="18"/>
          <w:color w:val="auto"/>
        </w:rPr>
        <w:t>, due to the Company having insufficient authorized shares to fully settle the equity-linked financial instruments in shares. In such case,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 applies a sequencing policy under ASC 815-40, </w:t>
      </w:r>
      <w:r>
        <w:rPr>
          <w:rFonts w:ascii="Times New Roman" w:cs="Times New Roman" w:eastAsia="Times New Roman" w:hAnsi="Times New Roman"/>
          <w:sz w:val="18"/>
          <w:szCs w:val="18"/>
          <w:i w:val="1"/>
          <w:iCs w:val="1"/>
          <w:color w:val="auto"/>
        </w:rPr>
        <w:t>Contracts in Entity’s Own Equity</w:t>
      </w:r>
      <w:r>
        <w:rPr>
          <w:rFonts w:ascii="Times New Roman" w:cs="Times New Roman" w:eastAsia="Times New Roman" w:hAnsi="Times New Roman"/>
          <w:sz w:val="18"/>
          <w:szCs w:val="18"/>
          <w:color w:val="auto"/>
        </w:rPr>
        <w:t>, whereby, in the event that reclassification of contracts from equity to assets or liabilities is necessary due to the Company’s inability to demonstrate it has sufficient authorized shares to settle the equity-linked financial instrument in shares, the Company will reclassify contracts that have overlapping settlement dates with the latest inception date as derivative instruments. The contracts reclassified as derivative instruments are recognized at fair value with changes in fair value recognized in earnings until such time as the conditions giving rise to such derivative liability classification were settled or the Company has sufficient authorized, unissued shares to settle such contracts with shares. The Company has elected to apply the same sequencing policy for share-based compensation arrangements if the Company granted share-based payment arrangements where the Company may have insufficient shares to settle the contract.</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80" w:hanging="474"/>
        <w:spacing w:after="0"/>
        <w:tabs>
          <w:tab w:leader="none" w:pos="4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Plan</w:t>
      </w:r>
    </w:p>
    <w:p>
      <w:pPr>
        <w:spacing w:after="0" w:line="153" w:lineRule="exact"/>
        <w:rPr>
          <w:sz w:val="20"/>
          <w:szCs w:val="20"/>
          <w:color w:val="auto"/>
        </w:rPr>
      </w:pPr>
    </w:p>
    <w:p>
      <w:pPr>
        <w:jc w:val="both"/>
        <w:ind w:firstLine="475"/>
        <w:spacing w:after="0" w:line="249" w:lineRule="auto"/>
        <w:rPr>
          <w:sz w:val="20"/>
          <w:szCs w:val="20"/>
          <w:color w:val="auto"/>
        </w:rPr>
      </w:pPr>
      <w:r>
        <w:rPr>
          <w:rFonts w:ascii="Times New Roman" w:cs="Times New Roman" w:eastAsia="Times New Roman" w:hAnsi="Times New Roman"/>
          <w:sz w:val="18"/>
          <w:szCs w:val="18"/>
          <w:color w:val="auto"/>
        </w:rPr>
        <w:t>In July 2021, the Company adopted the 2021 Stock Incentive Plan (“2021 Plan”). The 2021 Plan allows the Board to grant up to 5,164 incentive and nonqualified stock options, restricted shares, unrestricted shares, restricted share units, and other stock-based awards for the Class A Common Stock to employees, directors, and non-employees. The number of shares of Class A Common Stock available under the 2021 Plan will increase annually on the first day of each calendar year, beginning with the calendar year ending December 31, 2024, and continuing until (and including) the calendar year ending December 31, 2031. Annual increases are equal to the lesser of (i) 5 percent of the number of shares of Class A Common Stock issued and outstanding on December 31 of the immediately preceding fiscal year and (ii) an amount determined by the Board.</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 of the effective date of the 2021 Plan, no further stock awards have been or will be granted under the EI Plan or STI Plan (defined below).</w:t>
      </w:r>
    </w:p>
    <w:p>
      <w:pPr>
        <w:spacing w:after="0" w:line="149"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At the annual meeting of stockholders held on July 31, 2024, the Company’s stockholders approved (among other proposals) an amendment to the 2021 Plan to increase the number of shares of Class A Common Stock available for issuance under the 2021 Plan by an additional 2,206,324 shares, subject to proportionate adjustment for stock splits and similar events as provided in the 2021 Plan. As of June 30, 2025 and 2024 the Company had 535,027 and 2,469,957 shares of Class A Common Stock available for future issuance under the 2021 SI Plan.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 Awards</w:t>
      </w:r>
    </w:p>
    <w:p>
      <w:pPr>
        <w:spacing w:after="0" w:line="138" w:lineRule="exact"/>
        <w:rPr>
          <w:sz w:val="20"/>
          <w:szCs w:val="20"/>
          <w:color w:val="auto"/>
        </w:rPr>
      </w:pPr>
    </w:p>
    <w:p>
      <w:pPr>
        <w:jc w:val="both"/>
        <w:ind w:firstLine="475"/>
        <w:spacing w:after="0" w:line="269" w:lineRule="auto"/>
        <w:rPr>
          <w:sz w:val="20"/>
          <w:szCs w:val="20"/>
          <w:color w:val="auto"/>
        </w:rPr>
      </w:pPr>
      <w:r>
        <w:rPr>
          <w:rFonts w:ascii="Times New Roman" w:cs="Times New Roman" w:eastAsia="Times New Roman" w:hAnsi="Times New Roman"/>
          <w:sz w:val="18"/>
          <w:szCs w:val="18"/>
          <w:color w:val="auto"/>
        </w:rPr>
        <w:t>As of June 30, 2025, the total unrecognized stock-based compensation expense for stock options granted under the 2021 Plan was less than $0.1 million, which is expected to be recognized over a weighted average period of 1.24 years.</w:t>
      </w:r>
    </w:p>
    <w:p>
      <w:pPr>
        <w:spacing w:after="0" w:line="10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There were no options granted under the 2021 Plan during the three and six months ended June 30, 2025.</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38" w:lineRule="exact"/>
        <w:rPr>
          <w:sz w:val="20"/>
          <w:szCs w:val="20"/>
          <w:color w:val="auto"/>
        </w:rPr>
      </w:pPr>
    </w:p>
    <w:p>
      <w:pPr>
        <w:jc w:val="both"/>
        <w:ind w:firstLine="475"/>
        <w:spacing w:after="0" w:line="269" w:lineRule="auto"/>
        <w:rPr>
          <w:sz w:val="20"/>
          <w:szCs w:val="20"/>
          <w:color w:val="auto"/>
        </w:rPr>
      </w:pPr>
      <w:r>
        <w:rPr>
          <w:rFonts w:ascii="Times New Roman" w:cs="Times New Roman" w:eastAsia="Times New Roman" w:hAnsi="Times New Roman"/>
          <w:sz w:val="18"/>
          <w:szCs w:val="18"/>
          <w:color w:val="auto"/>
        </w:rPr>
        <w:t>As of June 30, 2025, the total unrecognized stock-based compensation expense for RSUs granted under the 2021 Plan was $0.3 million which is expected to be recognized over a weighted average period of 2.29 years.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EI Plan</w:t>
      </w:r>
    </w:p>
    <w:p>
      <w:pPr>
        <w:spacing w:after="0" w:line="153"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On February 1, 2018, the Board adopted the Equity Incentive Plan (“EI Plan”), under which the Board authorized the grant of up to 4,416 incentive and nonqualified stock options, restricted stock, unrestricted stock, restricted stock units, and other stock-based awards for Legacy FF’s Class A Ordinary Stock to employees, directors and non-employees.</w:t>
      </w:r>
    </w:p>
    <w:p>
      <w:pPr>
        <w:spacing w:after="0" w:line="100"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On the closing date and in connection with the Business Combination, each of the Legacy FF’s outstanding options under the EI Plan immediately prior to the closing of the Business Combination remained outstanding and converted into the right to purchase the Company’s Class A Common Stock based on the Exchange Ratio.</w:t>
      </w:r>
    </w:p>
    <w:p>
      <w:pPr>
        <w:spacing w:after="0" w:line="113" w:lineRule="exact"/>
        <w:rPr>
          <w:sz w:val="20"/>
          <w:szCs w:val="20"/>
          <w:color w:val="auto"/>
        </w:rPr>
      </w:pPr>
    </w:p>
    <w:p>
      <w:pPr>
        <w:jc w:val="both"/>
        <w:ind w:firstLine="475"/>
        <w:spacing w:after="0" w:line="269" w:lineRule="auto"/>
        <w:rPr>
          <w:sz w:val="20"/>
          <w:szCs w:val="20"/>
          <w:color w:val="auto"/>
        </w:rPr>
      </w:pPr>
      <w:r>
        <w:rPr>
          <w:rFonts w:ascii="Times New Roman" w:cs="Times New Roman" w:eastAsia="Times New Roman" w:hAnsi="Times New Roman"/>
          <w:sz w:val="18"/>
          <w:szCs w:val="18"/>
          <w:color w:val="auto"/>
        </w:rPr>
        <w:t>As of June 30, 2025, the total unrecognized stock-based compensation expense for stock options granted under the EI Plan was less than $0.1 million which is expected to be recognized over a weighted average period that is less than 1.00 year.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STI Plan</w:t>
      </w:r>
    </w:p>
    <w:p>
      <w:pPr>
        <w:spacing w:after="0" w:line="140"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On May 2, 2019, the Company adopted its Special Talent Incentive Plan (“STI Plan”) under which the Board may grant up to 1,472 incentive and nonqualified stock options, restricted shares, unrestricted shares, restricted share units, and other stock-based awards for Legacy FF’s Class A Ordinary Stock to employees, directors, and non-employees.</w:t>
      </w:r>
    </w:p>
    <w:p>
      <w:pPr>
        <w:spacing w:after="0" w:line="113" w:lineRule="exact"/>
        <w:rPr>
          <w:sz w:val="20"/>
          <w:szCs w:val="20"/>
          <w:color w:val="auto"/>
        </w:rPr>
      </w:pPr>
    </w:p>
    <w:p>
      <w:pPr>
        <w:jc w:val="both"/>
        <w:ind w:firstLine="475"/>
        <w:spacing w:after="0" w:line="269" w:lineRule="auto"/>
        <w:rPr>
          <w:sz w:val="20"/>
          <w:szCs w:val="20"/>
          <w:color w:val="auto"/>
        </w:rPr>
      </w:pPr>
      <w:r>
        <w:rPr>
          <w:rFonts w:ascii="Times New Roman" w:cs="Times New Roman" w:eastAsia="Times New Roman" w:hAnsi="Times New Roman"/>
          <w:sz w:val="18"/>
          <w:szCs w:val="18"/>
          <w:color w:val="auto"/>
        </w:rPr>
        <w:t>The STI Plan does not specify a limit on the number of stock options that can be issued under the plan. Per the terms of the STI Plan the Company must reserve and keep available a sufficient number of shares to satisfy the requirements of the STI Plan.</w:t>
      </w:r>
    </w:p>
    <w:p>
      <w:pPr>
        <w:spacing w:after="0" w:line="103" w:lineRule="exact"/>
        <w:rPr>
          <w:sz w:val="20"/>
          <w:szCs w:val="20"/>
          <w:color w:val="auto"/>
        </w:rPr>
      </w:pPr>
    </w:p>
    <w:p>
      <w:pPr>
        <w:jc w:val="both"/>
        <w:ind w:firstLine="475"/>
        <w:spacing w:after="0" w:line="269" w:lineRule="auto"/>
        <w:rPr>
          <w:sz w:val="20"/>
          <w:szCs w:val="20"/>
          <w:color w:val="auto"/>
        </w:rPr>
      </w:pPr>
      <w:r>
        <w:rPr>
          <w:rFonts w:ascii="Times New Roman" w:cs="Times New Roman" w:eastAsia="Times New Roman" w:hAnsi="Times New Roman"/>
          <w:sz w:val="18"/>
          <w:szCs w:val="18"/>
          <w:color w:val="auto"/>
        </w:rPr>
        <w:t>As of June 30, 2025, the total unrecognized stock-based compensation expense for stock options granted under the STI Plan was less than $0.1 million, which is expected to be recognized over a weighted average period that is less than 1.00 year.</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Awards Outside of Company’s Equity Incentive Plans</w:t>
      </w:r>
    </w:p>
    <w:p>
      <w:pPr>
        <w:spacing w:after="0" w:line="151"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Effective April 23, 2025, the Company entered into an offer letter with Mr. Yueting Jia, under which he was appointed to serve as Global Co-CEO. See Note 16 for change in Company’s governance related to Mr. Jia’s role. In connection with his service, Mr. Jia is eligible to receive contingent equity awards if the Company achieves certain stock price or market capitalization milestones. These awards are made outside of the Company’s existing equity incentive plans.</w:t>
      </w:r>
    </w:p>
    <w:p>
      <w:pPr>
        <w:spacing w:after="0" w:line="10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equity award structure consists of two phases:</w:t>
      </w:r>
    </w:p>
    <w:p>
      <w:pPr>
        <w:spacing w:after="0" w:line="149" w:lineRule="exact"/>
        <w:rPr>
          <w:sz w:val="20"/>
          <w:szCs w:val="20"/>
          <w:color w:val="auto"/>
        </w:rPr>
      </w:pPr>
    </w:p>
    <w:p>
      <w:pPr>
        <w:jc w:val="both"/>
        <w:ind w:left="640" w:hanging="318"/>
        <w:spacing w:after="0" w:line="257" w:lineRule="auto"/>
        <w:tabs>
          <w:tab w:leader="none" w:pos="6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For every $5.00 increase in the Company's daily closing stock price or $700.0 million increase in market capitalization, measured from April 23, 2025, Mr. Jia is eligible to receive restricted stock units (RSUs) equal to 1% of the Company's outstanding shares at the time the milestone is achieved. Awards under this phase are capped at 5% of the Company’s outstanding shares.</w:t>
      </w:r>
    </w:p>
    <w:p>
      <w:pPr>
        <w:spacing w:after="0" w:line="100" w:lineRule="exact"/>
        <w:rPr>
          <w:rFonts w:ascii="Times New Roman" w:cs="Times New Roman" w:eastAsia="Times New Roman" w:hAnsi="Times New Roman"/>
          <w:sz w:val="18"/>
          <w:szCs w:val="18"/>
          <w:color w:val="auto"/>
        </w:rPr>
      </w:pPr>
    </w:p>
    <w:p>
      <w:pPr>
        <w:ind w:left="640" w:hanging="318"/>
        <w:spacing w:after="0" w:line="333" w:lineRule="auto"/>
        <w:tabs>
          <w:tab w:leader="none" w:pos="635"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Phase 2: After reaching the 5% cap under Phase 1, Mr. Jia is eligible to receive additional RSUs for each $20.00 increase in stock price or $3.0 billion increase in market capitalization, again equal to 1% of outstanding shares per milestone, up to a cumulative total of 9% of outstanding shares.</w:t>
      </w:r>
    </w:p>
    <w:p>
      <w:pPr>
        <w:spacing w:after="0" w:line="57" w:lineRule="exact"/>
        <w:rPr>
          <w:sz w:val="20"/>
          <w:szCs w:val="20"/>
          <w:color w:val="auto"/>
        </w:rPr>
      </w:pPr>
    </w:p>
    <w:p>
      <w:pPr>
        <w:jc w:val="both"/>
        <w:ind w:firstLine="475"/>
        <w:spacing w:after="0" w:line="250" w:lineRule="auto"/>
        <w:rPr>
          <w:sz w:val="20"/>
          <w:szCs w:val="20"/>
          <w:color w:val="auto"/>
        </w:rPr>
      </w:pPr>
      <w:r>
        <w:rPr>
          <w:rFonts w:ascii="Times New Roman" w:cs="Times New Roman" w:eastAsia="Times New Roman" w:hAnsi="Times New Roman"/>
          <w:sz w:val="18"/>
          <w:szCs w:val="18"/>
          <w:color w:val="auto"/>
        </w:rPr>
        <w:t>To qualify for any award, the applicable stock price or market capitalization level must be sustained for at least 15 consecutive trading days. The effects of stock splits, dividends, mergers, or acquisitions are excluded from milestone calculations. There is no expiration date associated with achievement of the award. The award qualifies for equity accounting pursuant to the provisions of ASC 718, however, since the Company has insufficient authorized but unissued shares the award is presented as a liability within Accrued Expenses and Other Current Liabilities in the Condensed Consolidated Balance Sheet for the period ended June 30, 2025.</w:t>
      </w:r>
    </w:p>
    <w:p>
      <w:pPr>
        <w:spacing w:after="0" w:line="122"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The fair value of Mr. Jia’s award at inception was $10.3 million with an estimated total derived service period of 7.61 years. The derived service periods for the various award tranches range from 3.8 to 7.6 years, with expected milestone achievement dates between 2029 and 2032. As of June 30, 2025 the fair value of Mr. Jia’s award is $19.5 million with a remaining total derived service period of 7.42 years. The Company will recognize expense for Mr. Jia’s award using the accelerated attribution method.</w:t>
      </w:r>
    </w:p>
    <w:p>
      <w:pPr>
        <w:spacing w:after="0" w:line="103"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 xml:space="preserve">Mr. Jia’s award was valued using a Monte Carlo simulation model based on a Geometric Brownian Motion framework. While Mr. Jia’s award is liability classified due to the Company’s insufficient authorized but unissued share reserves, the Company has made the election not to revise the estimated derived service period in connection with the periodic re-measurement of the award. Details on key assumptions and inputs used in valuing Mr. Jia’s award can be found at Note 14, </w:t>
      </w:r>
      <w:r>
        <w:rPr>
          <w:rFonts w:ascii="Times New Roman" w:cs="Times New Roman" w:eastAsia="Times New Roman" w:hAnsi="Times New Roman"/>
          <w:sz w:val="18"/>
          <w:szCs w:val="18"/>
          <w:i w:val="1"/>
          <w:iCs w:val="1"/>
          <w:color w:val="auto"/>
        </w:rPr>
        <w:t>Fair Value of Financial Instruments.</w:t>
      </w:r>
    </w:p>
    <w:p>
      <w:pPr>
        <w:spacing w:after="0" w:line="116" w:lineRule="exact"/>
        <w:rPr>
          <w:sz w:val="20"/>
          <w:szCs w:val="20"/>
          <w:color w:val="auto"/>
        </w:rPr>
      </w:pPr>
    </w:p>
    <w:p>
      <w:pPr>
        <w:jc w:val="both"/>
        <w:ind w:firstLine="475"/>
        <w:spacing w:after="0" w:line="269" w:lineRule="auto"/>
        <w:rPr>
          <w:sz w:val="20"/>
          <w:szCs w:val="20"/>
          <w:color w:val="auto"/>
        </w:rPr>
      </w:pPr>
      <w:r>
        <w:rPr>
          <w:rFonts w:ascii="Times New Roman" w:cs="Times New Roman" w:eastAsia="Times New Roman" w:hAnsi="Times New Roman"/>
          <w:sz w:val="18"/>
          <w:szCs w:val="18"/>
          <w:color w:val="auto"/>
        </w:rPr>
        <w:t>The Company began recognizing expense for Mr. Jia’s market-based awards, which are in addition to his annual equity plan, at the inception of the arrangement. The compensation expense recognized in the three and six months ended June 30, 2025 was $0.7 million.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6" w:lineRule="exact"/>
        <w:rPr>
          <w:sz w:val="20"/>
          <w:szCs w:val="20"/>
          <w:color w:val="auto"/>
        </w:rPr>
      </w:pPr>
    </w:p>
    <w:p>
      <w:pPr>
        <w:jc w:val="both"/>
        <w:ind w:firstLine="633"/>
        <w:spacing w:after="0" w:line="247" w:lineRule="auto"/>
        <w:rPr>
          <w:sz w:val="20"/>
          <w:szCs w:val="20"/>
          <w:color w:val="auto"/>
        </w:rPr>
      </w:pPr>
      <w:r>
        <w:rPr>
          <w:rFonts w:ascii="Times New Roman" w:cs="Times New Roman" w:eastAsia="Times New Roman" w:hAnsi="Times New Roman"/>
          <w:sz w:val="18"/>
          <w:szCs w:val="18"/>
          <w:color w:val="auto"/>
        </w:rPr>
        <w:t>The following table presents stock-based compensation expense for all of the Company’s 2021 Plan, EI Plan, STI Plan and Common Units of FF Global included in each respective expense category in the Unaudited Condensed Consolidated Statements of Operations and Comprehensive Loss is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3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3"/>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4"/>
          </w:tcPr>
          <w:p>
            <w:pPr>
              <w:jc w:val="right"/>
              <w:ind w:right="694"/>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31"/>
        </w:trPr>
        <w:tc>
          <w:tcPr>
            <w:tcW w:w="43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44"/>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7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37"/>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7"/>
        </w:trPr>
        <w:tc>
          <w:tcPr>
            <w:tcW w:w="4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64"/>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30"/>
        </w:trPr>
        <w:tc>
          <w:tcPr>
            <w:tcW w:w="4320" w:type="dxa"/>
            <w:vAlign w:val="bottom"/>
          </w:tcPr>
          <w:p>
            <w:pPr>
              <w:spacing w:after="0"/>
              <w:rPr>
                <w:sz w:val="19"/>
                <w:szCs w:val="19"/>
                <w:color w:val="auto"/>
              </w:rPr>
            </w:pPr>
          </w:p>
        </w:tc>
        <w:tc>
          <w:tcPr>
            <w:tcW w:w="38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tcPr>
          <w:p>
            <w:pPr>
              <w:spacing w:after="0"/>
              <w:rPr>
                <w:sz w:val="19"/>
                <w:szCs w:val="19"/>
                <w:color w:val="auto"/>
              </w:rPr>
            </w:pPr>
          </w:p>
        </w:tc>
        <w:tc>
          <w:tcPr>
            <w:tcW w:w="1160" w:type="dxa"/>
            <w:vAlign w:val="bottom"/>
            <w:tcBorders>
              <w:top w:val="single" w:sz="8" w:color="auto"/>
            </w:tcBorders>
          </w:tcPr>
          <w:p>
            <w:pPr>
              <w:jc w:val="right"/>
              <w:ind w:right="97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Pr>
          <w:p>
            <w:pPr>
              <w:spacing w:after="0"/>
              <w:rPr>
                <w:sz w:val="19"/>
                <w:szCs w:val="19"/>
                <w:color w:val="auto"/>
              </w:rPr>
            </w:pPr>
          </w:p>
        </w:tc>
        <w:tc>
          <w:tcPr>
            <w:tcW w:w="40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00" w:type="dxa"/>
            <w:vAlign w:val="bottom"/>
          </w:tcPr>
          <w:p>
            <w:pPr>
              <w:spacing w:after="0"/>
              <w:rPr>
                <w:sz w:val="19"/>
                <w:szCs w:val="19"/>
                <w:color w:val="auto"/>
              </w:rPr>
            </w:pPr>
          </w:p>
        </w:tc>
        <w:tc>
          <w:tcPr>
            <w:tcW w:w="38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w:t>
            </w:r>
          </w:p>
        </w:tc>
      </w:tr>
      <w:tr>
        <w:trPr>
          <w:trHeight w:val="27"/>
        </w:trPr>
        <w:tc>
          <w:tcPr>
            <w:tcW w:w="43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4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67" w:lineRule="exact"/>
        <w:rPr>
          <w:sz w:val="20"/>
          <w:szCs w:val="20"/>
          <w:color w:val="auto"/>
        </w:rPr>
      </w:pPr>
    </w:p>
    <w:p>
      <w:pPr>
        <w:ind w:left="480" w:hanging="474"/>
        <w:spacing w:after="0"/>
        <w:tabs>
          <w:tab w:leader="none" w:pos="48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Payable &amp; Related Party Notes Payable</w:t>
      </w:r>
    </w:p>
    <w:p>
      <w:pPr>
        <w:spacing w:after="0" w:line="153" w:lineRule="exact"/>
        <w:rPr>
          <w:sz w:val="20"/>
          <w:szCs w:val="20"/>
          <w:color w:val="auto"/>
        </w:rPr>
      </w:pPr>
    </w:p>
    <w:p>
      <w:pPr>
        <w:jc w:val="both"/>
        <w:ind w:firstLine="475"/>
        <w:spacing w:after="0" w:line="248" w:lineRule="auto"/>
        <w:rPr>
          <w:sz w:val="20"/>
          <w:szCs w:val="20"/>
          <w:color w:val="auto"/>
        </w:rPr>
      </w:pPr>
      <w:r>
        <w:rPr>
          <w:rFonts w:ascii="Times New Roman" w:cs="Times New Roman" w:eastAsia="Times New Roman" w:hAnsi="Times New Roman"/>
          <w:sz w:val="18"/>
          <w:szCs w:val="18"/>
          <w:color w:val="auto"/>
        </w:rPr>
        <w:t xml:space="preserve">The Company has elected to measure certain notes payable and related party notes payable at fair value. Specifically, the SPA Portfolio Notes or notes convertible into SPA Portfolio Notes as they contain embedded liquidation premiums with conversion rights that represent embedded derivatives (see Note 7, </w:t>
      </w:r>
      <w:r>
        <w:rPr>
          <w:rFonts w:ascii="Times New Roman" w:cs="Times New Roman" w:eastAsia="Times New Roman" w:hAnsi="Times New Roman"/>
          <w:sz w:val="18"/>
          <w:szCs w:val="18"/>
          <w:i w:val="1"/>
          <w:iCs w:val="1"/>
          <w:color w:val="auto"/>
        </w:rPr>
        <w:t xml:space="preserve">Notes Payable </w:t>
      </w:r>
      <w:r>
        <w:rPr>
          <w:rFonts w:ascii="Times New Roman" w:cs="Times New Roman" w:eastAsia="Times New Roman" w:hAnsi="Times New Roman"/>
          <w:sz w:val="18"/>
          <w:szCs w:val="18"/>
          <w:color w:val="auto"/>
        </w:rPr>
        <w:t>and Note 8,</w:t>
      </w:r>
      <w:r>
        <w:rPr>
          <w:rFonts w:ascii="Times New Roman" w:cs="Times New Roman" w:eastAsia="Times New Roman" w:hAnsi="Times New Roman"/>
          <w:sz w:val="18"/>
          <w:szCs w:val="18"/>
          <w:i w:val="1"/>
          <w:iCs w:val="1"/>
          <w:color w:val="auto"/>
        </w:rPr>
        <w:t xml:space="preserve"> Related Party Transactions</w:t>
      </w:r>
      <w:r>
        <w:rPr>
          <w:rFonts w:ascii="Times New Roman" w:cs="Times New Roman" w:eastAsia="Times New Roman" w:hAnsi="Times New Roman"/>
          <w:sz w:val="18"/>
          <w:szCs w:val="18"/>
          <w:color w:val="auto"/>
        </w:rPr>
        <w:t>). The Company uses a binomial lattice model and discounted cash flow methodology to value the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carried at fair value. The significant assumptions used in the models include the volatility of the Class A Common Stock, the Company’s expectations around the full ratchet anti-dilution and other triggering events, the Company’s debt discount rate based on a CCC rating, annual dividend yield, the risk free rate, and the expected life of the instrument. Fair value measurements associated with the notes payable and related party notes payable represent Level 3 valuations under the fair value hierarchy.</w:t>
      </w:r>
    </w:p>
    <w:p>
      <w:pPr>
        <w:spacing w:after="0" w:line="112"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The fair value adjustments related to notes payables and related party notes payable were recorded in Change in fair value of notes payable, warrant liabilities, and derivative call options or Change in fair value of related party notes payable, warrant liabilities, and derivative call options, respectively, in the Unaudited Condensed Consolidated Statements of Operations and Comprehensive Loss.</w:t>
      </w:r>
    </w:p>
    <w:p>
      <w:pPr>
        <w:spacing w:after="0" w:line="111" w:lineRule="exact"/>
        <w:rPr>
          <w:sz w:val="20"/>
          <w:szCs w:val="20"/>
          <w:color w:val="auto"/>
        </w:rPr>
      </w:pPr>
    </w:p>
    <w:p>
      <w:pPr>
        <w:jc w:val="both"/>
        <w:ind w:firstLine="475"/>
        <w:spacing w:after="0" w:line="272" w:lineRule="auto"/>
        <w:rPr>
          <w:sz w:val="20"/>
          <w:szCs w:val="20"/>
          <w:color w:val="auto"/>
        </w:rPr>
      </w:pPr>
      <w:r>
        <w:rPr>
          <w:rFonts w:ascii="Times New Roman" w:cs="Times New Roman" w:eastAsia="Times New Roman" w:hAnsi="Times New Roman"/>
          <w:sz w:val="18"/>
          <w:szCs w:val="18"/>
          <w:color w:val="auto"/>
        </w:rPr>
        <w:t xml:space="preserve">For notes payable and related party notes payable where the Company did not elect the fair value option pursuant to </w:t>
      </w:r>
      <w:r>
        <w:rPr>
          <w:rFonts w:ascii="Times New Roman" w:cs="Times New Roman" w:eastAsia="Times New Roman" w:hAnsi="Times New Roman"/>
          <w:sz w:val="18"/>
          <w:szCs w:val="18"/>
          <w:i w:val="1"/>
          <w:iCs w:val="1"/>
          <w:color w:val="auto"/>
        </w:rPr>
        <w:t>ASC 825, Financial Instruments,</w:t>
      </w:r>
      <w:r>
        <w:rPr>
          <w:rFonts w:ascii="Times New Roman" w:cs="Times New Roman" w:eastAsia="Times New Roman" w:hAnsi="Times New Roman"/>
          <w:sz w:val="18"/>
          <w:szCs w:val="18"/>
          <w:color w:val="auto"/>
        </w:rPr>
        <w:t xml:space="preserve"> the carrying value approximates the fair value of the obligation.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SPA Portfolio Note Warrants</w:t>
      </w:r>
    </w:p>
    <w:p>
      <w:pPr>
        <w:spacing w:after="0" w:line="153" w:lineRule="exact"/>
        <w:rPr>
          <w:sz w:val="20"/>
          <w:szCs w:val="20"/>
          <w:color w:val="auto"/>
        </w:rPr>
      </w:pPr>
    </w:p>
    <w:p>
      <w:pPr>
        <w:jc w:val="both"/>
        <w:ind w:firstLine="475"/>
        <w:spacing w:after="0" w:line="294" w:lineRule="auto"/>
        <w:rPr>
          <w:sz w:val="20"/>
          <w:szCs w:val="20"/>
          <w:color w:val="auto"/>
        </w:rPr>
      </w:pPr>
      <w:r>
        <w:rPr>
          <w:rFonts w:ascii="Times New Roman" w:cs="Times New Roman" w:eastAsia="Times New Roman" w:hAnsi="Times New Roman"/>
          <w:sz w:val="16"/>
          <w:szCs w:val="16"/>
          <w:color w:val="auto"/>
        </w:rPr>
        <w:t>The Company is required to measure certain SPA Portfolio Note warrants at fair value. The Company uses a Monte Carlo simulation model to measure the fair value of the liability classified SPA Warrants, where the significant assumptions used include the volatility of the Company’s Class A Common Stock, the Company’s expectations around the full ratchet anti-dilution and other triggering events, the contractual term of the warrant, the risk-free rate and annual dividend yield. Fair value measurements associated with the liability-classified warrants represent Level 3 valuations under the fair value hierarchy.</w:t>
      </w:r>
    </w:p>
    <w:p>
      <w:pPr>
        <w:spacing w:after="0" w:line="88"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The fair value adjustments related to the liability classified warrants were recorded in Change in fair value of notes payable, warrant liabilities, and derivative call options or Change in fair value of related party notes payable, warrant liabilities, and derivative call options, in the Unaudited Condensed Consolidated Statements of Operations and Comprehensive Loss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Call Options</w:t>
      </w:r>
    </w:p>
    <w:p>
      <w:pPr>
        <w:spacing w:after="0" w:line="153" w:lineRule="exact"/>
        <w:rPr>
          <w:sz w:val="20"/>
          <w:szCs w:val="20"/>
          <w:color w:val="auto"/>
        </w:rPr>
      </w:pPr>
    </w:p>
    <w:p>
      <w:pPr>
        <w:jc w:val="both"/>
        <w:ind w:firstLine="475"/>
        <w:spacing w:after="0" w:line="247" w:lineRule="auto"/>
        <w:rPr>
          <w:sz w:val="20"/>
          <w:szCs w:val="20"/>
          <w:color w:val="auto"/>
        </w:rPr>
      </w:pPr>
      <w:r>
        <w:rPr>
          <w:rFonts w:ascii="Times New Roman" w:cs="Times New Roman" w:eastAsia="Times New Roman" w:hAnsi="Times New Roman"/>
          <w:sz w:val="18"/>
          <w:szCs w:val="18"/>
          <w:color w:val="auto"/>
        </w:rPr>
        <w:t>Holders of the Junior Secured SPA Notes, the 2024 Unsecured SPA Notes, and 2025 March Unsecured SPA Notes were issued Incremental Warrants to purchase additional notes on the same terms and conditions up to the amounts originally funded under their commitments. The Company estimates the fair value of the Incremental Warrants using both a binomial lattice model and Monte Carlo simulation to value the Incremental Warrants as the Incremental Warrants entitle the holder to the relevant SPA Portfolio Note and SPA Portfolio Warrant upon exercise. The significant assumptions used include the volatility of the Company’s Class A Common Stock, the Company’s expectations around the full ratchet anti-dilution and other triggering events, the contractual term of the Incremental Warrants, the risk-free rate and annual dividend yield. The underlying convertible notes and the warrants issuable upon the exercise of the Incremental Warrant were assumed to be exercisable up to the maximum allowable amount. Additionally, the terms of these instruments were presumed to be consistent with those of the convertible notes and warrants issued in connection with the Incremental Warrants. Fair value measurements associated with the liability-classified derivatives represent Level 3 valuations under the fair value hierarchy.</w:t>
      </w:r>
    </w:p>
    <w:p>
      <w:pPr>
        <w:spacing w:after="0" w:line="127"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The fair value adjustments related to the Incremental Warrants were recorded in Change in fair value of notes payable, warrant liabilities, and derivative call options or Change in fair value of related party notes payable, warrant liabilities, and derivative call options in the Unaudited Condensed Consolidated Statements of Operations and Comprehensive Loss.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Market-based Awards</w:t>
      </w:r>
    </w:p>
    <w:p>
      <w:pPr>
        <w:spacing w:after="0" w:line="153"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 xml:space="preserve">In connection with his appointment as Global Co-CEO effective April 23, 2025, the Company entered into an offer letter with Yueting Jia that includes a market-based equity award, as further described in Note 13,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The award is contingent upon the achievement of specified stock price and market capitalization milestones and was granted outside of the Company’s existing equity incentive plans. See Note 16 for change in Company’s governance related to Mr. Jia’s role.</w:t>
      </w:r>
    </w:p>
    <w:p>
      <w:pPr>
        <w:spacing w:after="0" w:line="116"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The fair value of the award was estimated as of April 23, 2025 using a Monte Carlo simulation model based on a Geometric Brownian Motion framework. Significant assumptions used in the valuation included a stock price of $0.90, a market capitalization of $76.4 million, a risk-free rate of 4.45%, a selected equity volatility of 80.0%, and an estimated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0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contractual term of ten years. The derived service periods for the award tranches range from 3.8 to 7.6 years, with expected milestone achievement dates between 2029 and 2032.</w:t>
      </w:r>
    </w:p>
    <w:p>
      <w:pPr>
        <w:spacing w:after="0" w:line="103"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The Company concluded that the award qualifies for equity classification under ASC 718. However, because the Company does not currently have a sufficient number of authorized but unissued shares the award is classified as liability within Accrued Expenses and Other Current Liabilities in the Condensed Consolidated Balance Sheet for the period ended June 30, 2025. Shares based compensation expense is recorded in General and administrative expense in the Unaudited Condensed Consolidated Statements of Operations and Comprehensive Loss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15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Financial assets and financial liabilities are classified in their entirety based on the lowest level of input that is significant to the fair value measurement.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financial assets and liabilities remeasured on a recurring basis by level within the fair value hierarchy: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7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187"/>
        </w:trPr>
        <w:tc>
          <w:tcPr>
            <w:tcW w:w="6780" w:type="dxa"/>
            <w:vAlign w:val="bottom"/>
          </w:tcPr>
          <w:p>
            <w:pPr>
              <w:ind w:left="6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16"/>
                <w:szCs w:val="16"/>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6"/>
                <w:szCs w:val="16"/>
                <w:color w:val="auto"/>
              </w:rPr>
            </w:pPr>
          </w:p>
        </w:tc>
        <w:tc>
          <w:tcPr>
            <w:tcW w:w="13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6"/>
                <w:szCs w:val="16"/>
                <w:color w:val="auto"/>
              </w:rPr>
            </w:pPr>
          </w:p>
        </w:tc>
        <w:tc>
          <w:tcPr>
            <w:tcW w:w="114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37"/>
        </w:trPr>
        <w:tc>
          <w:tcPr>
            <w:tcW w:w="67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24"/>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r>
      <w:tr>
        <w:trPr>
          <w:trHeight w:val="264"/>
        </w:trPr>
        <w:tc>
          <w:tcPr>
            <w:tcW w:w="6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Warrant liabilities</w:t>
            </w:r>
            <w:r>
              <w:rPr>
                <w:rFonts w:ascii="Times New Roman" w:cs="Times New Roman" w:eastAsia="Times New Roman" w:hAnsi="Times New Roman"/>
                <w:sz w:val="22"/>
                <w:szCs w:val="22"/>
                <w:color w:val="auto"/>
                <w:vertAlign w:val="superscript"/>
              </w:rPr>
              <w:t>1</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54,789</w:t>
            </w:r>
          </w:p>
        </w:tc>
      </w:tr>
      <w:tr>
        <w:trPr>
          <w:trHeight w:val="264"/>
        </w:trPr>
        <w:tc>
          <w:tcPr>
            <w:tcW w:w="6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Derivative call options</w:t>
            </w:r>
            <w:r>
              <w:rPr>
                <w:rFonts w:ascii="Times New Roman" w:cs="Times New Roman" w:eastAsia="Times New Roman" w:hAnsi="Times New Roman"/>
                <w:sz w:val="22"/>
                <w:szCs w:val="22"/>
                <w:color w:val="auto"/>
                <w:vertAlign w:val="superscript"/>
              </w:rPr>
              <w:t>1</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40,836</w:t>
            </w:r>
          </w:p>
        </w:tc>
      </w:tr>
      <w:tr>
        <w:trPr>
          <w:trHeight w:val="264"/>
        </w:trPr>
        <w:tc>
          <w:tcPr>
            <w:tcW w:w="6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Notes payable</w:t>
            </w:r>
            <w:r>
              <w:rPr>
                <w:rFonts w:ascii="Times New Roman" w:cs="Times New Roman" w:eastAsia="Times New Roman" w:hAnsi="Times New Roman"/>
                <w:sz w:val="22"/>
                <w:szCs w:val="22"/>
                <w:color w:val="auto"/>
                <w:vertAlign w:val="superscript"/>
              </w:rPr>
              <w:t>1</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25,308</w:t>
            </w:r>
          </w:p>
        </w:tc>
      </w:tr>
      <w:tr>
        <w:trPr>
          <w:trHeight w:val="237"/>
        </w:trPr>
        <w:tc>
          <w:tcPr>
            <w:tcW w:w="6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Market-based awards</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r>
      <w:tr>
        <w:trPr>
          <w:trHeight w:val="27"/>
        </w:trPr>
        <w:tc>
          <w:tcPr>
            <w:tcW w:w="67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389" w:lineRule="exact"/>
        <w:rPr>
          <w:sz w:val="20"/>
          <w:szCs w:val="20"/>
          <w:color w:val="auto"/>
        </w:rPr>
      </w:pPr>
    </w:p>
    <w:p>
      <w:pPr>
        <w:ind w:left="200" w:hanging="71"/>
        <w:spacing w:after="0"/>
        <w:tabs>
          <w:tab w:leader="none" w:pos="200" w:val="left"/>
        </w:tabs>
        <w:numPr>
          <w:ilvl w:val="0"/>
          <w:numId w:val="4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both related party and non-related party balances for the Company’s notes payable and warrant liabilities.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66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31"/>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80" w:type="dxa"/>
            <w:vAlign w:val="bottom"/>
          </w:tcPr>
          <w:p>
            <w:pPr>
              <w:spacing w:after="0"/>
              <w:rPr>
                <w:sz w:val="20"/>
                <w:szCs w:val="20"/>
                <w:color w:val="auto"/>
              </w:rPr>
            </w:pPr>
          </w:p>
        </w:tc>
        <w:tc>
          <w:tcPr>
            <w:tcW w:w="112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31"/>
        </w:trPr>
        <w:tc>
          <w:tcPr>
            <w:tcW w:w="6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64"/>
        </w:trPr>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Warrant liabilities</w:t>
            </w:r>
            <w:r>
              <w:rPr>
                <w:rFonts w:ascii="Times New Roman" w:cs="Times New Roman" w:eastAsia="Times New Roman" w:hAnsi="Times New Roman"/>
                <w:sz w:val="22"/>
                <w:szCs w:val="22"/>
                <w:color w:val="auto"/>
                <w:vertAlign w:val="superscript"/>
              </w:rPr>
              <w:t>1</w:t>
            </w:r>
          </w:p>
        </w:tc>
        <w:tc>
          <w:tcPr>
            <w:tcW w:w="1060" w:type="dxa"/>
            <w:vAlign w:val="bottom"/>
          </w:tcPr>
          <w:p>
            <w:pPr>
              <w:jc w:val="right"/>
              <w:ind w:right="85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28,864</w:t>
            </w:r>
          </w:p>
        </w:tc>
      </w:tr>
      <w:tr>
        <w:trPr>
          <w:trHeight w:val="264"/>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Derivative call options</w:t>
            </w:r>
            <w:r>
              <w:rPr>
                <w:rFonts w:ascii="Times New Roman" w:cs="Times New Roman" w:eastAsia="Times New Roman" w:hAnsi="Times New Roman"/>
                <w:sz w:val="22"/>
                <w:szCs w:val="22"/>
                <w:color w:val="auto"/>
                <w:vertAlign w:val="superscript"/>
              </w:rPr>
              <w:t>1</w:t>
            </w:r>
          </w:p>
        </w:tc>
        <w:tc>
          <w:tcPr>
            <w:tcW w:w="106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29,709</w:t>
            </w:r>
          </w:p>
        </w:tc>
      </w:tr>
      <w:tr>
        <w:trPr>
          <w:trHeight w:val="272"/>
        </w:trPr>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Notes payable</w:t>
            </w:r>
            <w:r>
              <w:rPr>
                <w:rFonts w:ascii="Times New Roman" w:cs="Times New Roman" w:eastAsia="Times New Roman" w:hAnsi="Times New Roman"/>
                <w:sz w:val="22"/>
                <w:szCs w:val="22"/>
                <w:color w:val="auto"/>
                <w:vertAlign w:val="superscript"/>
              </w:rPr>
              <w:t>1</w:t>
            </w:r>
          </w:p>
        </w:tc>
        <w:tc>
          <w:tcPr>
            <w:tcW w:w="1060" w:type="dxa"/>
            <w:vAlign w:val="bottom"/>
          </w:tcPr>
          <w:p>
            <w:pPr>
              <w:jc w:val="right"/>
              <w:ind w:right="85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46,628</w:t>
            </w:r>
          </w:p>
        </w:tc>
      </w:tr>
      <w:tr>
        <w:trPr>
          <w:trHeight w:val="22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_______________</w:t>
            </w: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r>
    </w:tbl>
    <w:p>
      <w:pPr>
        <w:spacing w:after="0" w:line="7" w:lineRule="exact"/>
        <w:rPr>
          <w:sz w:val="20"/>
          <w:szCs w:val="20"/>
          <w:color w:val="auto"/>
        </w:rPr>
      </w:pPr>
    </w:p>
    <w:p>
      <w:pPr>
        <w:ind w:left="100" w:hanging="77"/>
        <w:spacing w:after="0"/>
        <w:tabs>
          <w:tab w:leader="none" w:pos="100" w:val="left"/>
        </w:tabs>
        <w:numPr>
          <w:ilvl w:val="0"/>
          <w:numId w:val="4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both related party and non-related party balances for the Company’s notes payable and warrant liabilities.</w:t>
      </w:r>
    </w:p>
    <w:p>
      <w:pPr>
        <w:spacing w:after="0" w:line="243"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There were not any transfers of assets and liabilities between Level 1, Level 2 and Level 3 of the fair value measurement hierarchy during the three and six months ended June 30, 2025 and the year ended December 31, 2024. The carrying amounts of the Company’s financial assets and liabilities, including cash, restricted cash, deposits, accounts payable, accrued liabilities and notes payable, other than the SPA Portfolio Notes, approximate fair value because of their short-term nature or contractually defined value.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0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summarizes the activity of Level 3 fair value measurements: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Derivative Call</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Market-based</w:t>
            </w:r>
          </w:p>
        </w:tc>
      </w:tr>
      <w:tr>
        <w:trPr>
          <w:trHeight w:val="240"/>
        </w:trPr>
        <w:tc>
          <w:tcPr>
            <w:tcW w:w="4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w w:val="98"/>
              </w:rPr>
              <w:t>Warrant Liabilities</w:t>
            </w:r>
            <w:r>
              <w:rPr>
                <w:rFonts w:ascii="Times New Roman" w:cs="Times New Roman" w:eastAsia="Times New Roman" w:hAnsi="Times New Roman"/>
                <w:sz w:val="20"/>
                <w:szCs w:val="20"/>
                <w:b w:val="1"/>
                <w:bCs w:val="1"/>
                <w:color w:val="auto"/>
                <w:w w:val="98"/>
                <w:vertAlign w:val="superscript"/>
              </w:rPr>
              <w:t>1</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Option</w:t>
            </w:r>
            <w:r>
              <w:rPr>
                <w:rFonts w:ascii="Times New Roman" w:cs="Times New Roman" w:eastAsia="Times New Roman" w:hAnsi="Times New Roman"/>
                <w:sz w:val="20"/>
                <w:szCs w:val="20"/>
                <w:b w:val="1"/>
                <w:bCs w:val="1"/>
                <w:color w:val="auto"/>
                <w:vertAlign w:val="superscript"/>
              </w:rPr>
              <w:t>1</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Notes Payable</w:t>
            </w:r>
            <w:r>
              <w:rPr>
                <w:rFonts w:ascii="Times New Roman" w:cs="Times New Roman" w:eastAsia="Times New Roman" w:hAnsi="Times New Roman"/>
                <w:sz w:val="20"/>
                <w:szCs w:val="20"/>
                <w:b w:val="1"/>
                <w:bCs w:val="1"/>
                <w:color w:val="auto"/>
                <w:vertAlign w:val="superscript"/>
              </w:rPr>
              <w:t>1</w:t>
            </w:r>
          </w:p>
        </w:tc>
        <w:tc>
          <w:tcPr>
            <w:tcW w:w="2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award</w:t>
            </w:r>
            <w:r>
              <w:rPr>
                <w:rFonts w:ascii="Times New Roman" w:cs="Times New Roman" w:eastAsia="Times New Roman" w:hAnsi="Times New Roman"/>
                <w:sz w:val="20"/>
                <w:szCs w:val="20"/>
                <w:b w:val="1"/>
                <w:bCs w:val="1"/>
                <w:color w:val="auto"/>
                <w:vertAlign w:val="superscript"/>
              </w:rPr>
              <w:t>4</w:t>
            </w:r>
          </w:p>
        </w:tc>
      </w:tr>
      <w:tr>
        <w:trPr>
          <w:trHeight w:val="237"/>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28,864</w:t>
            </w: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29,709</w:t>
            </w: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46,628</w:t>
            </w: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Additions</w:t>
            </w: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32,328</w:t>
            </w:r>
          </w:p>
        </w:tc>
        <w:tc>
          <w:tcPr>
            <w:tcW w:w="22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w w:val="71"/>
              </w:rPr>
              <w:t>2</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33,385</w:t>
            </w:r>
          </w:p>
        </w:tc>
        <w:tc>
          <w:tcPr>
            <w:tcW w:w="22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w w:val="71"/>
              </w:rPr>
              <w:t>2</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27,524</w:t>
            </w:r>
          </w:p>
        </w:tc>
        <w:tc>
          <w:tcPr>
            <w:tcW w:w="24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3</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7"/>
        </w:trPr>
        <w:tc>
          <w:tcPr>
            <w:tcW w:w="4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4"/>
        </w:trPr>
        <w:tc>
          <w:tcPr>
            <w:tcW w:w="47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fair value measurements</w:t>
            </w: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(13,273)</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37"/>
        </w:trPr>
        <w:tc>
          <w:tcPr>
            <w:tcW w:w="4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Conversions of notes to Class A Common Stock</w:t>
            </w: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(35,571)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64"/>
        </w:trPr>
        <w:tc>
          <w:tcPr>
            <w:tcW w:w="47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Exercise of derivative call options</w:t>
            </w:r>
          </w:p>
        </w:tc>
        <w:tc>
          <w:tcPr>
            <w:tcW w:w="5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(3,759)</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2025</w:t>
            </w:r>
          </w:p>
        </w:tc>
        <w:tc>
          <w:tcPr>
            <w:tcW w:w="5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54,789</w:t>
            </w:r>
          </w:p>
        </w:tc>
        <w:tc>
          <w:tcPr>
            <w:tcW w:w="2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40,836</w:t>
            </w:r>
          </w:p>
        </w:tc>
        <w:tc>
          <w:tcPr>
            <w:tcW w:w="2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25,308</w:t>
            </w:r>
          </w:p>
        </w:tc>
        <w:tc>
          <w:tcPr>
            <w:tcW w:w="24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w:t>
            </w: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03"/>
        </w:trPr>
        <w:tc>
          <w:tcPr>
            <w:tcW w:w="472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_______________</w:t>
            </w: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7"/>
        </w:trPr>
        <w:tc>
          <w:tcPr>
            <w:tcW w:w="47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33" w:lineRule="exact"/>
        <w:rPr>
          <w:sz w:val="20"/>
          <w:szCs w:val="20"/>
          <w:color w:val="auto"/>
        </w:rPr>
      </w:pPr>
    </w:p>
    <w:p>
      <w:pPr>
        <w:ind w:left="100" w:hanging="77"/>
        <w:spacing w:after="0"/>
        <w:tabs>
          <w:tab w:leader="none" w:pos="100" w:val="left"/>
        </w:tabs>
        <w:numPr>
          <w:ilvl w:val="0"/>
          <w:numId w:val="4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both related party and non-related party balances for the Company’s notes payable and warrant liabilities.</w:t>
      </w:r>
    </w:p>
    <w:p>
      <w:pPr>
        <w:spacing w:after="0" w:line="92" w:lineRule="exact"/>
        <w:rPr>
          <w:sz w:val="20"/>
          <w:szCs w:val="20"/>
          <w:color w:val="auto"/>
        </w:rPr>
      </w:pPr>
    </w:p>
    <w:p>
      <w:pPr>
        <w:ind w:left="180" w:right="120" w:hanging="157"/>
        <w:spacing w:after="0" w:line="233" w:lineRule="auto"/>
        <w:tabs>
          <w:tab w:leader="none" w:pos="107" w:val="left"/>
        </w:tabs>
        <w:numPr>
          <w:ilvl w:val="0"/>
          <w:numId w:val="4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 xml:space="preserve">Addition to </w:t>
      </w:r>
      <w:r>
        <w:rPr>
          <w:rFonts w:ascii="Times New Roman" w:cs="Times New Roman" w:eastAsia="Times New Roman" w:hAnsi="Times New Roman"/>
          <w:sz w:val="14"/>
          <w:szCs w:val="14"/>
          <w:i w:val="1"/>
          <w:iCs w:val="1"/>
          <w:color w:val="auto"/>
        </w:rPr>
        <w:t>Warrant Liabilities and Derivative Call Option</w:t>
      </w:r>
      <w:r>
        <w:rPr>
          <w:rFonts w:ascii="Times New Roman" w:cs="Times New Roman" w:eastAsia="Times New Roman" w:hAnsi="Times New Roman"/>
          <w:sz w:val="14"/>
          <w:szCs w:val="14"/>
          <w:color w:val="auto"/>
        </w:rPr>
        <w:t xml:space="preserve"> are included as loss in line items </w:t>
      </w:r>
      <w:r>
        <w:rPr>
          <w:rFonts w:ascii="Times New Roman" w:cs="Times New Roman" w:eastAsia="Times New Roman" w:hAnsi="Times New Roman"/>
          <w:sz w:val="14"/>
          <w:szCs w:val="14"/>
          <w:i w:val="1"/>
          <w:iCs w:val="1"/>
          <w:color w:val="auto"/>
        </w:rPr>
        <w:t>Change in fair value of notes payable, warrant liabilities, and derivative call options</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Change in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fair value of related party notes payable, warrant liabilities, and derivative call options </w:t>
      </w:r>
      <w:r>
        <w:rPr>
          <w:rFonts w:ascii="Times New Roman" w:cs="Times New Roman" w:eastAsia="Times New Roman" w:hAnsi="Times New Roman"/>
          <w:sz w:val="14"/>
          <w:szCs w:val="14"/>
          <w:color w:val="auto"/>
        </w:rPr>
        <w:t>in the Unaudited Condensed Consolidated Statements of Operations and Comprehensive Loss. This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information is presented to facilitate reconciliation to the related amounts reported in the Unaudited Condensed Consolidated Statements of Operations and Comprehensive Loss.</w:t>
      </w:r>
    </w:p>
    <w:p>
      <w:pPr>
        <w:spacing w:after="0" w:line="40" w:lineRule="exact"/>
        <w:rPr>
          <w:sz w:val="20"/>
          <w:szCs w:val="20"/>
          <w:color w:val="auto"/>
        </w:rPr>
      </w:pPr>
    </w:p>
    <w:p>
      <w:pPr>
        <w:ind w:left="180" w:right="120" w:hanging="157"/>
        <w:spacing w:after="0" w:line="244" w:lineRule="auto"/>
        <w:tabs>
          <w:tab w:leader="none" w:pos="103" w:val="left"/>
        </w:tabs>
        <w:numPr>
          <w:ilvl w:val="0"/>
          <w:numId w:val="4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 xml:space="preserve">Additions of </w:t>
      </w:r>
      <w:r>
        <w:rPr>
          <w:rFonts w:ascii="Times New Roman" w:cs="Times New Roman" w:eastAsia="Times New Roman" w:hAnsi="Times New Roman"/>
          <w:sz w:val="14"/>
          <w:szCs w:val="14"/>
          <w:i w:val="1"/>
          <w:iCs w:val="1"/>
          <w:color w:val="auto"/>
        </w:rPr>
        <w:t>Notes Payable</w:t>
      </w:r>
      <w:r>
        <w:rPr>
          <w:rFonts w:ascii="Times New Roman" w:cs="Times New Roman" w:eastAsia="Times New Roman" w:hAnsi="Times New Roman"/>
          <w:sz w:val="14"/>
          <w:szCs w:val="14"/>
          <w:color w:val="auto"/>
        </w:rPr>
        <w:t xml:space="preserve"> measured at fair value are presented net of the initial fair value adjustment recorded at issuance. the aggregate fair value adjustment recognized at issuance reduced the principal amount of notes issued during the period by $26,146 thousand. This reduction reflects the allocation of total transaction proceeds between the SPA Notes and the related SPA Warrants and Incremental Warrants issued as part of the bundled transaction. In addition, the line item Change in fair value of notes payable, warrant liabilities, and derivative call options includes a loss of $2,230 thousand, and the line item </w:t>
      </w:r>
      <w:r>
        <w:rPr>
          <w:rFonts w:ascii="Times New Roman" w:cs="Times New Roman" w:eastAsia="Times New Roman" w:hAnsi="Times New Roman"/>
          <w:sz w:val="14"/>
          <w:szCs w:val="14"/>
          <w:i w:val="1"/>
          <w:iCs w:val="1"/>
          <w:color w:val="auto"/>
        </w:rPr>
        <w:t>Change in fair value of related party notes payable, warrant liabilities, and derivative call options</w:t>
      </w:r>
      <w:r>
        <w:rPr>
          <w:rFonts w:ascii="Times New Roman" w:cs="Times New Roman" w:eastAsia="Times New Roman" w:hAnsi="Times New Roman"/>
          <w:sz w:val="14"/>
          <w:szCs w:val="14"/>
          <w:color w:val="auto"/>
        </w:rPr>
        <w:t xml:space="preserve"> includes a loss of $184 thousand, both of which relate to debt issuance costs. These costs are separately identifiable from the fair value adjustments described above and are not included in the Additions of </w:t>
      </w:r>
      <w:r>
        <w:rPr>
          <w:rFonts w:ascii="Times New Roman" w:cs="Times New Roman" w:eastAsia="Times New Roman" w:hAnsi="Times New Roman"/>
          <w:sz w:val="14"/>
          <w:szCs w:val="14"/>
          <w:i w:val="1"/>
          <w:iCs w:val="1"/>
          <w:color w:val="auto"/>
        </w:rPr>
        <w:t>Notes Payable</w:t>
      </w:r>
      <w:r>
        <w:rPr>
          <w:rFonts w:ascii="Times New Roman" w:cs="Times New Roman" w:eastAsia="Times New Roman" w:hAnsi="Times New Roman"/>
          <w:sz w:val="14"/>
          <w:szCs w:val="14"/>
          <w:color w:val="auto"/>
        </w:rPr>
        <w:t xml:space="preserve"> This information is presented to facilitate reconciliation to the related amounts reported in the Unaudited Condensed Consolidated Statements of Operations and Comprehensive Loss.</w:t>
      </w:r>
    </w:p>
    <w:p>
      <w:pPr>
        <w:spacing w:after="0" w:line="42" w:lineRule="exact"/>
        <w:rPr>
          <w:sz w:val="20"/>
          <w:szCs w:val="20"/>
          <w:color w:val="auto"/>
        </w:rPr>
      </w:pPr>
    </w:p>
    <w:p>
      <w:pPr>
        <w:ind w:left="180" w:right="120" w:hanging="157"/>
        <w:spacing w:after="0" w:line="231" w:lineRule="auto"/>
        <w:tabs>
          <w:tab w:leader="none" w:pos="103" w:val="left"/>
        </w:tabs>
        <w:numPr>
          <w:ilvl w:val="0"/>
          <w:numId w:val="4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As discussed in Note 13, Stock-Based Compensation, the issuance date fair value of the Market-based award is $10.3 million and as of June 30, 2025 the fair value of the Market-based award was $19.5 million. Amounts displayed here represent vesting for the award based on the issuance date fair value and the subsequent remeasurement of amounts vested.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80" w:hanging="474"/>
        <w:spacing w:after="0"/>
        <w:tabs>
          <w:tab w:leader="none" w:pos="48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 Attributable to Common Stockholders</w:t>
      </w:r>
    </w:p>
    <w:p>
      <w:pPr>
        <w:spacing w:after="0" w:line="153" w:lineRule="exact"/>
        <w:rPr>
          <w:sz w:val="20"/>
          <w:szCs w:val="20"/>
          <w:color w:val="auto"/>
        </w:rPr>
      </w:pPr>
    </w:p>
    <w:p>
      <w:pPr>
        <w:ind w:firstLine="475"/>
        <w:spacing w:after="0" w:line="269" w:lineRule="auto"/>
        <w:rPr>
          <w:sz w:val="20"/>
          <w:szCs w:val="20"/>
          <w:color w:val="auto"/>
        </w:rPr>
      </w:pPr>
      <w:r>
        <w:rPr>
          <w:rFonts w:ascii="Times New Roman" w:cs="Times New Roman" w:eastAsia="Times New Roman" w:hAnsi="Times New Roman"/>
          <w:sz w:val="18"/>
          <w:szCs w:val="18"/>
          <w:color w:val="auto"/>
        </w:rPr>
        <w:t>Basic net loss per share attributable to common stockholders is calculated by dividing net loss attributable to common stockholders by the weighted-average number of shares issued and shares to be issued under the commitment to issue shares, as these shares are issuable for no consideration.</w:t>
      </w:r>
    </w:p>
    <w:p>
      <w:pPr>
        <w:spacing w:after="0" w:line="90" w:lineRule="exact"/>
        <w:rPr>
          <w:sz w:val="20"/>
          <w:szCs w:val="20"/>
          <w:color w:val="auto"/>
        </w:rPr>
      </w:pPr>
    </w:p>
    <w:p>
      <w:pPr>
        <w:ind w:firstLine="475"/>
        <w:spacing w:after="0" w:line="269" w:lineRule="auto"/>
        <w:rPr>
          <w:sz w:val="20"/>
          <w:szCs w:val="20"/>
          <w:color w:val="auto"/>
        </w:rPr>
      </w:pPr>
      <w:r>
        <w:rPr>
          <w:rFonts w:ascii="Times New Roman" w:cs="Times New Roman" w:eastAsia="Times New Roman" w:hAnsi="Times New Roman"/>
          <w:sz w:val="18"/>
          <w:szCs w:val="18"/>
          <w:color w:val="auto"/>
        </w:rPr>
        <w:t>Diluted net loss per share attributable to common stockholders adjusts the basic net loss per share attributable to common stockholders and the weighted-average number of shares issued and shares to be issued under the commitment to issue shares for potentially dilutive instruments.</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03" w:lineRule="exact"/>
        <w:rPr>
          <w:sz w:val="20"/>
          <w:szCs w:val="20"/>
          <w:color w:val="auto"/>
        </w:rPr>
      </w:pPr>
    </w:p>
    <w:p>
      <w:pPr>
        <w:ind w:right="100" w:firstLine="475"/>
        <w:spacing w:after="0" w:line="269" w:lineRule="auto"/>
        <w:rPr>
          <w:sz w:val="20"/>
          <w:szCs w:val="20"/>
          <w:color w:val="auto"/>
        </w:rPr>
      </w:pPr>
      <w:r>
        <w:rPr>
          <w:rFonts w:ascii="Times New Roman" w:cs="Times New Roman" w:eastAsia="Times New Roman" w:hAnsi="Times New Roman"/>
          <w:sz w:val="18"/>
          <w:szCs w:val="18"/>
          <w:color w:val="auto"/>
        </w:rPr>
        <w:t>The following data shows the amounts used in computing net loss per share and the effect on net loss and the weighted-average number of shares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6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80" w:type="dxa"/>
            <w:vAlign w:val="bottom"/>
          </w:tcPr>
          <w:p>
            <w:pPr>
              <w:spacing w:after="0"/>
              <w:rPr>
                <w:sz w:val="19"/>
                <w:szCs w:val="19"/>
                <w:color w:val="auto"/>
              </w:rPr>
            </w:pPr>
          </w:p>
        </w:tc>
        <w:tc>
          <w:tcPr>
            <w:tcW w:w="2980" w:type="dxa"/>
            <w:vAlign w:val="bottom"/>
            <w:gridSpan w:val="4"/>
          </w:tcPr>
          <w:p>
            <w:pPr>
              <w:jc w:val="right"/>
              <w:ind w:right="674"/>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31"/>
        </w:trPr>
        <w:tc>
          <w:tcPr>
            <w:tcW w:w="44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amounts)</w:t>
            </w: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7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75"/>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74"/>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44"/>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(108,685)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(134,954)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(156,902)</w:t>
            </w:r>
          </w:p>
        </w:tc>
      </w:tr>
      <w:tr>
        <w:trPr>
          <w:trHeight w:val="251"/>
        </w:trPr>
        <w:tc>
          <w:tcPr>
            <w:tcW w:w="4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1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used in computing net loss per</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6"/>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of Class A and B Common Stock:</w:t>
            </w: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37"/>
        </w:trPr>
        <w:tc>
          <w:tcPr>
            <w:tcW w:w="4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Pr>
          <w:p>
            <w:pPr>
              <w:spacing w:after="0"/>
              <w:rPr>
                <w:sz w:val="20"/>
                <w:szCs w:val="20"/>
                <w:color w:val="auto"/>
              </w:rPr>
            </w:pPr>
          </w:p>
        </w:tc>
        <w:tc>
          <w:tcPr>
            <w:tcW w:w="1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103,712,230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8,778,200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89,804,391</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5,334,380</w:t>
            </w:r>
          </w:p>
        </w:tc>
      </w:tr>
      <w:tr>
        <w:trPr>
          <w:trHeight w:val="27"/>
        </w:trPr>
        <w:tc>
          <w:tcPr>
            <w:tcW w:w="4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4"/>
        </w:trPr>
        <w:tc>
          <w:tcPr>
            <w:tcW w:w="44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103,712,230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8,778,200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89,804,391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5,334,380</w:t>
            </w:r>
          </w:p>
        </w:tc>
      </w:tr>
      <w:tr>
        <w:trPr>
          <w:trHeight w:val="251"/>
        </w:trPr>
        <w:tc>
          <w:tcPr>
            <w:tcW w:w="4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1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of Class A and B Common Stock</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6"/>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attributable to common stockholders:</w:t>
            </w: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37"/>
        </w:trPr>
        <w:tc>
          <w:tcPr>
            <w:tcW w:w="4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0"/>
                <w:szCs w:val="20"/>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100" w:type="dxa"/>
            <w:vAlign w:val="bottom"/>
          </w:tcPr>
          <w:p>
            <w:pPr>
              <w:spacing w:after="0"/>
              <w:rPr>
                <w:sz w:val="20"/>
                <w:szCs w:val="20"/>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Pr>
          <w:p>
            <w:pPr>
              <w:spacing w:after="0"/>
              <w:rPr>
                <w:sz w:val="20"/>
                <w:szCs w:val="20"/>
                <w:color w:val="auto"/>
              </w:rPr>
            </w:pP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(29.41)</w:t>
            </w:r>
          </w:p>
        </w:tc>
      </w:tr>
      <w:tr>
        <w:trPr>
          <w:trHeight w:val="27"/>
        </w:trPr>
        <w:tc>
          <w:tcPr>
            <w:tcW w:w="4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4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w:t>
            </w:r>
          </w:p>
        </w:tc>
      </w:tr>
      <w:tr>
        <w:trPr>
          <w:trHeight w:val="27"/>
        </w:trPr>
        <w:tc>
          <w:tcPr>
            <w:tcW w:w="44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32" w:lineRule="exact"/>
        <w:rPr>
          <w:sz w:val="20"/>
          <w:szCs w:val="20"/>
          <w:color w:val="auto"/>
        </w:rPr>
      </w:pPr>
    </w:p>
    <w:p>
      <w:pPr>
        <w:jc w:val="both"/>
        <w:ind w:right="100" w:firstLine="475"/>
        <w:spacing w:after="0" w:line="269" w:lineRule="auto"/>
        <w:rPr>
          <w:sz w:val="20"/>
          <w:szCs w:val="20"/>
          <w:color w:val="auto"/>
        </w:rPr>
      </w:pPr>
      <w:r>
        <w:rPr>
          <w:rFonts w:ascii="Times New Roman" w:cs="Times New Roman" w:eastAsia="Times New Roman" w:hAnsi="Times New Roman"/>
          <w:sz w:val="18"/>
          <w:szCs w:val="18"/>
          <w:color w:val="auto"/>
        </w:rPr>
        <w:t>The net loss per common share was the same for the Class A Common Stock and Class B Common Stock because they are entitled to the same liquidation and dividend rights and are therefore combined in the Unaudited Condensed Consolidated Statements of Operations and Comprehensive Loss.</w:t>
      </w:r>
    </w:p>
    <w:p>
      <w:pPr>
        <w:spacing w:after="0" w:line="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Potentially Dilutive Shares</w:t>
      </w:r>
    </w:p>
    <w:p>
      <w:pPr>
        <w:spacing w:after="0" w:line="153" w:lineRule="exact"/>
        <w:rPr>
          <w:sz w:val="20"/>
          <w:szCs w:val="20"/>
          <w:color w:val="auto"/>
        </w:rPr>
      </w:pPr>
    </w:p>
    <w:p>
      <w:pPr>
        <w:jc w:val="both"/>
        <w:ind w:right="100" w:firstLine="475"/>
        <w:spacing w:after="0" w:line="269" w:lineRule="auto"/>
        <w:rPr>
          <w:sz w:val="20"/>
          <w:szCs w:val="20"/>
          <w:color w:val="auto"/>
        </w:rPr>
      </w:pPr>
      <w:r>
        <w:rPr>
          <w:rFonts w:ascii="Times New Roman" w:cs="Times New Roman" w:eastAsia="Times New Roman" w:hAnsi="Times New Roman"/>
          <w:sz w:val="18"/>
          <w:szCs w:val="18"/>
          <w:color w:val="auto"/>
        </w:rPr>
        <w:t>The Company reported net losses for all periods presented, resulting in all potentially dilutive Common Stock equivalents being considered antidilutive and excluded from the calculation of net loss per share.</w:t>
      </w:r>
    </w:p>
    <w:p>
      <w:pPr>
        <w:spacing w:after="0" w:line="90" w:lineRule="exact"/>
        <w:rPr>
          <w:sz w:val="20"/>
          <w:szCs w:val="20"/>
          <w:color w:val="auto"/>
        </w:rPr>
      </w:pPr>
    </w:p>
    <w:p>
      <w:pPr>
        <w:ind w:right="740" w:firstLine="475"/>
        <w:spacing w:after="0" w:line="269" w:lineRule="auto"/>
        <w:rPr>
          <w:sz w:val="20"/>
          <w:szCs w:val="20"/>
          <w:color w:val="auto"/>
        </w:rPr>
      </w:pPr>
      <w:r>
        <w:rPr>
          <w:rFonts w:ascii="Times New Roman" w:cs="Times New Roman" w:eastAsia="Times New Roman" w:hAnsi="Times New Roman"/>
          <w:sz w:val="18"/>
          <w:szCs w:val="18"/>
          <w:color w:val="auto"/>
        </w:rPr>
        <w:t>The table below presents the potentially dilutive shares that were excluded from the computation of diluted net loss per share of Common Stock attributable to Common Stock stockholders due to their antidilutive effect:</w:t>
      </w:r>
    </w:p>
    <w:p>
      <w:pPr>
        <w:spacing w:after="0" w:line="158" w:lineRule="exact"/>
        <w:rPr>
          <w:sz w:val="20"/>
          <w:szCs w:val="20"/>
          <w:color w:val="auto"/>
        </w:rPr>
      </w:pPr>
    </w:p>
    <w:tbl>
      <w:tblPr>
        <w:tblLayout w:type="fixed"/>
        <w:tblInd w:w="480" w:type="dxa"/>
        <w:tblCellMar>
          <w:top w:w="0" w:type="dxa"/>
          <w:left w:w="0" w:type="dxa"/>
          <w:bottom w:w="0" w:type="dxa"/>
          <w:right w:w="0" w:type="dxa"/>
        </w:tblCellMar>
      </w:tblPr>
      <w:tr>
        <w:trPr>
          <w:trHeight w:val="220"/>
        </w:trPr>
        <w:tc>
          <w:tcPr>
            <w:tcW w:w="4560" w:type="dxa"/>
            <w:vAlign w:val="bottom"/>
          </w:tcPr>
          <w:p>
            <w:pPr>
              <w:spacing w:after="0"/>
              <w:rPr>
                <w:sz w:val="19"/>
                <w:szCs w:val="19"/>
                <w:color w:val="auto"/>
              </w:rPr>
            </w:pPr>
          </w:p>
        </w:tc>
        <w:tc>
          <w:tcPr>
            <w:tcW w:w="3200" w:type="dxa"/>
            <w:vAlign w:val="bottom"/>
            <w:gridSpan w:val="4"/>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100" w:type="dxa"/>
            <w:vAlign w:val="bottom"/>
            <w:gridSpan w:val="3"/>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31"/>
        </w:trPr>
        <w:tc>
          <w:tcPr>
            <w:tcW w:w="4560" w:type="dxa"/>
            <w:vAlign w:val="bottom"/>
            <w:tcBorders>
              <w:bottom w:val="single" w:sz="8" w:color="CCEEFF"/>
            </w:tcBorders>
          </w:tcPr>
          <w:p>
            <w:pPr>
              <w:spacing w:after="0"/>
              <w:rPr>
                <w:sz w:val="20"/>
                <w:szCs w:val="20"/>
                <w:color w:val="auto"/>
              </w:rPr>
            </w:pPr>
          </w:p>
        </w:tc>
        <w:tc>
          <w:tcPr>
            <w:tcW w:w="1620" w:type="dxa"/>
            <w:vAlign w:val="bottom"/>
            <w:tcBorders>
              <w:top w:val="single" w:sz="8" w:color="auto"/>
              <w:bottom w:val="single" w:sz="8" w:color="auto"/>
            </w:tcBorders>
          </w:tcPr>
          <w:p>
            <w:pPr>
              <w:jc w:val="right"/>
              <w:ind w:right="57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1640" w:type="dxa"/>
            <w:vAlign w:val="bottom"/>
            <w:tcBorders>
              <w:top w:val="single" w:sz="8" w:color="auto"/>
              <w:bottom w:val="single" w:sz="8" w:color="auto"/>
            </w:tcBorders>
          </w:tcPr>
          <w:p>
            <w:pPr>
              <w:jc w:val="right"/>
              <w:ind w:right="57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44"/>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issuable upon conversion of SPA Portfolio Notes</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36,433,104</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4,303,458</w:t>
            </w:r>
          </w:p>
        </w:tc>
        <w:tc>
          <w:tcPr>
            <w:tcW w:w="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36,433,104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4,303,4</w:t>
            </w:r>
          </w:p>
        </w:tc>
      </w:tr>
      <w:tr>
        <w:trPr>
          <w:trHeight w:val="21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issuable upon conversion of Unsecured Convertible</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53,640</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897,756</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53,640</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897,7</w:t>
            </w:r>
          </w:p>
        </w:tc>
      </w:tr>
      <w:tr>
        <w:trPr>
          <w:trHeight w:val="27"/>
        </w:trPr>
        <w:tc>
          <w:tcPr>
            <w:tcW w:w="45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1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issuable upon exercise of equity classified SPA</w:t>
            </w: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6"/>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Portfolio Note warrants</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15,433</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14,218</w:t>
            </w:r>
          </w:p>
        </w:tc>
        <w:tc>
          <w:tcPr>
            <w:tcW w:w="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15,433</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1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issuable upon exercise of liability classified SPA</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Portfolio Note warrants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56,478,903</w:t>
            </w:r>
          </w:p>
        </w:tc>
        <w:tc>
          <w:tcPr>
            <w:tcW w:w="10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56,478,903</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7"/>
        </w:trPr>
        <w:tc>
          <w:tcPr>
            <w:tcW w:w="45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4"/>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warrants</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5,776,657</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228,482</w:t>
            </w:r>
          </w:p>
        </w:tc>
        <w:tc>
          <w:tcPr>
            <w:tcW w:w="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5,776,657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w:t>
            </w:r>
          </w:p>
        </w:tc>
      </w:tr>
      <w:tr>
        <w:trPr>
          <w:trHeight w:val="237"/>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awards – Options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7"/>
        </w:trPr>
        <w:tc>
          <w:tcPr>
            <w:tcW w:w="45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4"/>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awards – RSUs</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148,241</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13,842</w:t>
            </w:r>
          </w:p>
        </w:tc>
        <w:tc>
          <w:tcPr>
            <w:tcW w:w="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148,241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37"/>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7"/>
        </w:trPr>
        <w:tc>
          <w:tcPr>
            <w:tcW w:w="45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4"/>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warrants</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r>
      <w:tr>
        <w:trPr>
          <w:trHeight w:val="230"/>
        </w:trPr>
        <w:tc>
          <w:tcPr>
            <w:tcW w:w="4560" w:type="dxa"/>
            <w:vAlign w:val="bottom"/>
          </w:tcPr>
          <w:p>
            <w:pPr>
              <w:spacing w:after="0"/>
              <w:rPr>
                <w:sz w:val="19"/>
                <w:szCs w:val="19"/>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98,910,770</w:t>
            </w:r>
          </w:p>
        </w:tc>
        <w:tc>
          <w:tcPr>
            <w:tcW w:w="100" w:type="dxa"/>
            <w:vAlign w:val="bottom"/>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5,462,685</w:t>
            </w:r>
          </w:p>
        </w:tc>
        <w:tc>
          <w:tcPr>
            <w:tcW w:w="80" w:type="dxa"/>
            <w:vAlign w:val="bottom"/>
          </w:tcPr>
          <w:p>
            <w:pPr>
              <w:spacing w:after="0"/>
              <w:rPr>
                <w:sz w:val="19"/>
                <w:szCs w:val="19"/>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98,910,770</w:t>
            </w:r>
          </w:p>
        </w:tc>
        <w:tc>
          <w:tcPr>
            <w:tcW w:w="100" w:type="dxa"/>
            <w:vAlign w:val="bottom"/>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5,462,6</w:t>
            </w:r>
          </w:p>
        </w:tc>
      </w:tr>
      <w:tr>
        <w:trPr>
          <w:trHeight w:val="27"/>
        </w:trPr>
        <w:tc>
          <w:tcPr>
            <w:tcW w:w="456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45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359" w:right="2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67" w:lineRule="exact"/>
        <w:rPr>
          <w:sz w:val="20"/>
          <w:szCs w:val="20"/>
          <w:color w:val="auto"/>
        </w:rPr>
      </w:pPr>
    </w:p>
    <w:p>
      <w:pPr>
        <w:ind w:left="480" w:hanging="474"/>
        <w:spacing w:after="0"/>
        <w:tabs>
          <w:tab w:leader="none" w:pos="48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49" w:lineRule="exact"/>
        <w:rPr>
          <w:sz w:val="20"/>
          <w:szCs w:val="20"/>
          <w:color w:val="auto"/>
        </w:rPr>
      </w:pPr>
    </w:p>
    <w:p>
      <w:pPr>
        <w:jc w:val="both"/>
        <w:ind w:firstLine="475"/>
        <w:spacing w:after="0" w:line="272" w:lineRule="auto"/>
        <w:rPr>
          <w:sz w:val="20"/>
          <w:szCs w:val="20"/>
          <w:color w:val="auto"/>
        </w:rPr>
      </w:pPr>
      <w:r>
        <w:rPr>
          <w:rFonts w:ascii="Times New Roman" w:cs="Times New Roman" w:eastAsia="Times New Roman" w:hAnsi="Times New Roman"/>
          <w:sz w:val="18"/>
          <w:szCs w:val="18"/>
          <w:color w:val="auto"/>
        </w:rPr>
        <w:t xml:space="preserve">The Company evaluated subsequent events and transactions that occurred after the balance sheet date up to the date that </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8"/>
          <w:szCs w:val="18"/>
          <w:color w:val="auto"/>
        </w:rPr>
        <w:t>he Unaudited Condensed Consolidated Financial Statements were issued.</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Subsequent SPA Portfolio Notes Activity</w:t>
      </w:r>
    </w:p>
    <w:p>
      <w:pPr>
        <w:spacing w:after="0" w:line="140" w:lineRule="exact"/>
        <w:rPr>
          <w:sz w:val="20"/>
          <w:szCs w:val="20"/>
          <w:color w:val="auto"/>
        </w:rPr>
      </w:pPr>
    </w:p>
    <w:p>
      <w:pPr>
        <w:jc w:val="both"/>
        <w:ind w:firstLine="475"/>
        <w:spacing w:after="0" w:line="249" w:lineRule="auto"/>
        <w:rPr>
          <w:sz w:val="20"/>
          <w:szCs w:val="20"/>
          <w:color w:val="auto"/>
        </w:rPr>
      </w:pPr>
      <w:r>
        <w:rPr>
          <w:rFonts w:ascii="Times New Roman" w:cs="Times New Roman" w:eastAsia="Times New Roman" w:hAnsi="Times New Roman"/>
          <w:sz w:val="18"/>
          <w:szCs w:val="18"/>
          <w:color w:val="auto"/>
        </w:rPr>
        <w:t>Subsequent to June 30, 2025, the Company received gross proceeds in connection with SPA Portfolio Notes, including July 2025 Unsecured SPA Notes (defined below), to third parties and related parties totaling $45.6 million and $0.1 million, respectively, with due dates ranging from July 9, 2030 through August 11, 2030 at 10.00% interest. Principal and accrued interest are convertible at the option of the holder into Common Stock of the Company at a conversion price per share equal to the lower of a) stated conversion price or b) lowest VWAP of the five trading days immediately prior to the day on which lender provides conversion notice. Additionally, $18.3 million of principal and $0.9 million of interest of the Company’s SPA Portfolio Notes were converted into 16,583,826 shares of the Company’s Class A Common Stock.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exercise</w:t>
      </w:r>
    </w:p>
    <w:p>
      <w:pPr>
        <w:spacing w:after="0" w:line="140"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Subsequent to June 30, 2025, holders of the Company’s outstanding SPA Portfolio warrants exercised an aggregate of 12,151,344 warrants. These exercises included both cash exercises, for which the Company received gross proceeds of $1.4 million, and cashless exercises, which resulted in the issuance of 6,325,186 shares of Class A Common Stock.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debt repayments</w:t>
      </w:r>
    </w:p>
    <w:p>
      <w:pPr>
        <w:spacing w:after="0" w:line="153" w:lineRule="exact"/>
        <w:rPr>
          <w:sz w:val="20"/>
          <w:szCs w:val="20"/>
          <w:color w:val="auto"/>
        </w:rPr>
      </w:pPr>
    </w:p>
    <w:p>
      <w:pPr>
        <w:jc w:val="both"/>
        <w:ind w:firstLine="475"/>
        <w:spacing w:after="0" w:line="269" w:lineRule="auto"/>
        <w:rPr>
          <w:sz w:val="20"/>
          <w:szCs w:val="20"/>
          <w:color w:val="auto"/>
        </w:rPr>
      </w:pPr>
      <w:r>
        <w:rPr>
          <w:rFonts w:ascii="Times New Roman" w:cs="Times New Roman" w:eastAsia="Times New Roman" w:hAnsi="Times New Roman"/>
          <w:sz w:val="18"/>
          <w:szCs w:val="18"/>
          <w:color w:val="auto"/>
        </w:rPr>
        <w:t>Subsequent to June 30, 2025, the Company repaid in full, in cash, the FFGP Note and the FFGP Convertible Note, with an aggregate principal amount of $1.3 million, and settled in cash approximately $0.3 million of Notes Payable - China (Chongqing).</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July 2025 Financing</w:t>
      </w:r>
    </w:p>
    <w:p>
      <w:pPr>
        <w:spacing w:after="0" w:line="153" w:lineRule="exact"/>
        <w:rPr>
          <w:sz w:val="20"/>
          <w:szCs w:val="20"/>
          <w:color w:val="auto"/>
        </w:rPr>
      </w:pPr>
    </w:p>
    <w:p>
      <w:pPr>
        <w:jc w:val="both"/>
        <w:ind w:firstLine="348"/>
        <w:spacing w:after="0" w:line="257" w:lineRule="auto"/>
        <w:rPr>
          <w:sz w:val="20"/>
          <w:szCs w:val="20"/>
          <w:color w:val="auto"/>
        </w:rPr>
      </w:pPr>
      <w:r>
        <w:rPr>
          <w:rFonts w:ascii="Times New Roman" w:cs="Times New Roman" w:eastAsia="Times New Roman" w:hAnsi="Times New Roman"/>
          <w:sz w:val="17"/>
          <w:szCs w:val="17"/>
          <w:color w:val="auto"/>
        </w:rPr>
        <w:t>On July 14, 2025, the Company entered into a Securities Purchase Agreement (the “July 2025 Unsecured SPA”) with certain institutional investors (collectively, the “Investors”). Pursuant to the July 2025 Unsecured SPA, the Company has agreed to sell, and the Investors have agreed to purchase, in two closings, for an aggregate purchase price of $82 million, (i) certain senior unsecured convertible notes in the aggregate original principal amount of $82 million (the “July 2025 Unsecured SPA Notes”), (ii) common stock purchase warrants (the “July 2025 Unsecured Common Warrants”) to purchase up to a number of shares of the Company’s Class Common Stock, equal to one third of the shares of Class A Common Stock issuable upon conversion of the July 2025 Unsecured SPA Notes, which is the product of (A) the principal amount of July 2025 Unsecured Notes issued at a closing divided by (B) $1.75, the initial conversion price of the July Unsecured Notes, and (iii) at the Initial Closing (as defined below), a number of shares of Series B Preferred Stock, and shares of Series B Preferred Stock may be issued at the Subsequent Closing (as defined below), at the Company’s sole discretion, and subject to the increase in the number of designated shares of Series B Preferred Stock (“Additional Designation”). The initial closing (the “Initial Closing”) is expected to occur on the tenth (10</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7"/>
          <w:szCs w:val="17"/>
          <w:color w:val="auto"/>
        </w:rPr>
        <w:t>) business day after the Signing Date (the “Initial Closing Date”) and the subsequent closing (the “Subsequent Closing” and, together with the Initial Closing, each a “Closing” and, collectively, the “Closings”) is expected to occur fifteen business days (the “Subsequent Closing Date” and, together with the Initial Closing Date, each a “Closing Date”) upon satisfaction of several milestone events, in each case, subject to extension pursuant to the terms set forth in the July 2025 Unsecured SPA. All closings are subject to the satisfaction of certain closing conditions, Pursuant to the July 2025 Unsecured SPA, the Company also agreed to issue and sell up to an additional $20.0 million in July 2025 Unsecured Notes if at any time prior to the Initial Closing, one or more additional Investors join the July 2025 SPA and agree to purchase such July 2025 Unsecured SPA Notes, associated July 2025 Unsecured Common Warrants, and shares of Series B Preferred Stock by executing and delivering to the Company a joinder to the July 2025 Unsecured SPA. In connection with the transactions contemplated by the July 2025 Unsecured SPA (the “Transactions”), the Company agreed to pay an aggregate of $200,000 to Univest Securities, LLC, the placement agent for the offering, one-half of which will be paid upon the Initial Closing and one-half of which will be paid upon the Subsequent Closing.</w:t>
      </w:r>
    </w:p>
    <w:p>
      <w:pPr>
        <w:spacing w:after="0" w:line="113"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The July 2025 Unsecured SPA Notes mature five years from issuance and bear interest at 10% per annum, increasing to 18% upon default. Interest is payable on each conversion date or at maturity and may be settled in cash, Class A common stock, or a combination thereof, at the Company’s option, subject to certain conditions. The Company may redeem the notes at a 10% premium over the greater of the share-conversion value or the outstanding principal, with the premium increasing to 25% in bankruptcy-related defaults unless waived by the holder.</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03"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The notes are convertible at $1.75 per share, subject to customary anti-dilution adjustments and full ratchet protection, with the conversion amount including principal, accrued interest, and an 8% premium. An alternate conversion feature permits conversion at the lower of the then-effective price or the greater of $1.42 (floor) and the lowest VWAP during the five trading days preceding the conversion notice, with any shortfall below the floor settled in cash or added to principal.</w:t>
      </w:r>
    </w:p>
    <w:p>
      <w:pPr>
        <w:spacing w:after="0" w:line="116" w:lineRule="exact"/>
        <w:rPr>
          <w:sz w:val="20"/>
          <w:szCs w:val="20"/>
          <w:color w:val="auto"/>
        </w:rPr>
      </w:pPr>
    </w:p>
    <w:p>
      <w:pPr>
        <w:jc w:val="both"/>
        <w:ind w:firstLine="475"/>
        <w:spacing w:after="0" w:line="269" w:lineRule="auto"/>
        <w:rPr>
          <w:sz w:val="20"/>
          <w:szCs w:val="20"/>
          <w:color w:val="auto"/>
        </w:rPr>
      </w:pPr>
      <w:r>
        <w:rPr>
          <w:rFonts w:ascii="Times New Roman" w:cs="Times New Roman" w:eastAsia="Times New Roman" w:hAnsi="Times New Roman"/>
          <w:sz w:val="18"/>
          <w:szCs w:val="18"/>
          <w:color w:val="auto"/>
        </w:rPr>
        <w:t>Subsequent to June 30, 2025, the Company received gross proceeds in connection with pre-funding of July 2025 Unsecured Notes to third parties totaling $25.0 million.</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Temporary Governance Adjustments</w:t>
      </w:r>
    </w:p>
    <w:p>
      <w:pPr>
        <w:spacing w:after="0" w:line="153" w:lineRule="exact"/>
        <w:rPr>
          <w:sz w:val="20"/>
          <w:szCs w:val="20"/>
          <w:color w:val="auto"/>
        </w:rPr>
      </w:pPr>
    </w:p>
    <w:p>
      <w:pPr>
        <w:jc w:val="both"/>
        <w:ind w:firstLine="475"/>
        <w:spacing w:after="0" w:line="250" w:lineRule="auto"/>
        <w:rPr>
          <w:sz w:val="20"/>
          <w:szCs w:val="20"/>
          <w:color w:val="auto"/>
        </w:rPr>
      </w:pPr>
      <w:r>
        <w:rPr>
          <w:rFonts w:ascii="Times New Roman" w:cs="Times New Roman" w:eastAsia="Times New Roman" w:hAnsi="Times New Roman"/>
          <w:sz w:val="18"/>
          <w:szCs w:val="18"/>
          <w:color w:val="auto"/>
        </w:rPr>
        <w:t>On August 6, 2025, the Board of Directors determined that, during the pendency of the investigation by the SEC relating to the Company and certain current and former executives, Mr. Jia will be excluded from oversight of finance, legal, accounting, and public reporting functions (the “Governance Adjustments”). The Governance Adjustments also relieve Mr. Jia from providing certifications under Sections 302 and 906 of the Sarbanes-Oxley Act of 2002. These functions were delegated to and consolidated with Mr. Matthias Aydt, who already shared oversight responsibilities in these areas. The Governance Adjustments became effective on August 13, 2025.</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Series A Preferred Stock</w:t>
      </w:r>
    </w:p>
    <w:p>
      <w:pPr>
        <w:spacing w:after="0" w:line="15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On August 8, 2025, the Company designated and issued one share of Series A Preferred Stock to Matthias Aydt for $100.00.</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49" w:lineRule="exact"/>
        <w:rPr>
          <w:sz w:val="20"/>
          <w:szCs w:val="20"/>
          <w:color w:val="auto"/>
        </w:rPr>
      </w:pPr>
    </w:p>
    <w:p>
      <w:pPr>
        <w:jc w:val="both"/>
        <w:ind w:firstLine="475"/>
        <w:spacing w:after="0" w:line="258" w:lineRule="auto"/>
        <w:rPr>
          <w:sz w:val="20"/>
          <w:szCs w:val="20"/>
          <w:color w:val="auto"/>
        </w:rPr>
      </w:pPr>
      <w:r>
        <w:rPr>
          <w:rFonts w:ascii="Times New Roman" w:cs="Times New Roman" w:eastAsia="Times New Roman" w:hAnsi="Times New Roman"/>
          <w:sz w:val="18"/>
          <w:szCs w:val="18"/>
          <w:i w:val="1"/>
          <w:iCs w:val="1"/>
          <w:color w:val="auto"/>
        </w:rPr>
        <w:t>All references in this report to “FFAI,” the “Company,” “we,” “us,” or “our” mean Faraday Future Intelligent Electric Inc., together with its consolidated subsidiaries. Unless the context suggests otherwise, references to “Faraday Future Intelligent Electric Inc.” mean the parent company without its subsidiaries.</w:t>
      </w:r>
    </w:p>
    <w:p>
      <w:pPr>
        <w:spacing w:after="0" w:line="111" w:lineRule="exact"/>
        <w:rPr>
          <w:sz w:val="20"/>
          <w:szCs w:val="20"/>
          <w:color w:val="auto"/>
        </w:rPr>
      </w:pPr>
    </w:p>
    <w:p>
      <w:pPr>
        <w:jc w:val="both"/>
        <w:ind w:firstLine="475"/>
        <w:spacing w:after="0" w:line="24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is intended to help the reader understand our results of operations and financial condition. This discussion and analysis is provided as a supplement to, and should be read in conjunction with our Unaudited Condensed Consolidated Financial Statements and Notes thereto included elsewhere in this quarterly report on Form 10-Q (this “Report” or this “Form 10-Q”). Some of the information contained in this discussion and analysis or set forth elsewhere in this Report, including information with respect to our plans and strategy for our business, includes forward-looking statements that involve risks and uncertainties. Our actual results may differ materially from management’s expectations as a result of various factors, including but not limited to those discussed in the sections entitled “Risk Factors” in the Company’s Annual Report on Form 10-K filed on March 31, 2025 and “Cautionary Note Regarding Forward-Looking Statements” below. The objective of this section is to provide investors an understanding of the financial drivers and levers in our business and describe the financial performance of the business.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8"/>
          <w:szCs w:val="18"/>
          <w:b w:val="1"/>
          <w:bCs w:val="1"/>
          <w:color w:val="auto"/>
        </w:rPr>
        <w:t>autionary Note Regarding Forward-Looking Statements</w:t>
      </w:r>
    </w:p>
    <w:p>
      <w:pPr>
        <w:spacing w:after="0" w:line="164" w:lineRule="exact"/>
        <w:rPr>
          <w:sz w:val="20"/>
          <w:szCs w:val="20"/>
          <w:color w:val="auto"/>
        </w:rPr>
      </w:pPr>
    </w:p>
    <w:p>
      <w:pPr>
        <w:jc w:val="both"/>
        <w:ind w:firstLine="475"/>
        <w:spacing w:after="0" w:line="248" w:lineRule="auto"/>
        <w:rPr>
          <w:sz w:val="20"/>
          <w:szCs w:val="20"/>
          <w:color w:val="auto"/>
        </w:rPr>
      </w:pPr>
      <w:r>
        <w:rPr>
          <w:rFonts w:ascii="Times New Roman" w:cs="Times New Roman" w:eastAsia="Times New Roman" w:hAnsi="Times New Roman"/>
          <w:sz w:val="18"/>
          <w:szCs w:val="18"/>
          <w:color w:val="auto"/>
        </w:rPr>
        <w:t>This Report includes forward-looking statements within the meaning of Section 27A of the Securities Act of 1933, as amended (the “Securities Act”), and Section 21E of the Securities Exchange Act of 1934, as amended (the “Exchange Act”). These forward-looking statements can be identified by the use of forward-looking terminology, including the words “believes,” “estimates,” “anticipates,” “expects,” “intends,” “plans,” “may,” “will,” “potential,” “projects,” “predicts,” “continue,” or “should,” or, in each case, their negative or other variations or comparable terminology. There can be no assurance that actual results will not materially differ from expectations. Such statements include, but are not limited to, any statements relating to our financial and business performance, market acceptance and success of our business model, our ability to expand the scope of our offerings, and our ability to comply with the extensive, complex, and evolving regulatory requirements. These statements are based on management's current expectations, but actual results may differ materially due to various factors.</w:t>
      </w:r>
    </w:p>
    <w:p>
      <w:pPr>
        <w:spacing w:after="0" w:line="109" w:lineRule="exact"/>
        <w:rPr>
          <w:sz w:val="20"/>
          <w:szCs w:val="20"/>
          <w:color w:val="auto"/>
        </w:rPr>
      </w:pPr>
    </w:p>
    <w:p>
      <w:pPr>
        <w:jc w:val="both"/>
        <w:ind w:firstLine="475"/>
        <w:spacing w:after="0" w:line="247" w:lineRule="auto"/>
        <w:rPr>
          <w:sz w:val="20"/>
          <w:szCs w:val="20"/>
          <w:color w:val="auto"/>
        </w:rPr>
      </w:pPr>
      <w:r>
        <w:rPr>
          <w:rFonts w:ascii="Times New Roman" w:cs="Times New Roman" w:eastAsia="Times New Roman" w:hAnsi="Times New Roman"/>
          <w:sz w:val="18"/>
          <w:szCs w:val="18"/>
          <w:color w:val="auto"/>
        </w:rPr>
        <w:t>The forward-looking statements contained in this Report are based on our current expectations and beliefs concerning future developments and their potential effects on us. Future developments affecting us may not be those that we have anticipated. These forward-looking statements involve a number of risks, uncertainties (some of which are beyond our control), and other assumptions that may cause actual results or performance to be materially different from those expressed or implied by these forward-looking statements. These risks and uncertainties include, but are not limited to, those factors described under the section titled “Risk Factors” in the Form 10-K filed on March 31, 2025. Should one or more of these risks or uncertainties materialize, or should any of our assumptions prove incorrect, actual results may vary in material respects from those projected in these forward-looking statements. We undertake no obligation (and expressly disclaim any obligation) to update or revise any forward-looking statements, whether as a result of new information, future events or otherwise, except as may be required under applicable securities laws. These risks and others described under the section titled “Risk Factors” Item 1A in the Form 10-K, filed on March 31, 2025, may not be exhaustive.</w:t>
      </w:r>
    </w:p>
    <w:p>
      <w:pPr>
        <w:spacing w:after="0" w:line="127" w:lineRule="exact"/>
        <w:rPr>
          <w:sz w:val="20"/>
          <w:szCs w:val="20"/>
          <w:color w:val="auto"/>
        </w:rPr>
      </w:pPr>
    </w:p>
    <w:p>
      <w:pPr>
        <w:jc w:val="both"/>
        <w:ind w:firstLine="475"/>
        <w:spacing w:after="0" w:line="249" w:lineRule="auto"/>
        <w:rPr>
          <w:sz w:val="20"/>
          <w:szCs w:val="20"/>
          <w:color w:val="auto"/>
        </w:rPr>
      </w:pPr>
      <w:r>
        <w:rPr>
          <w:rFonts w:ascii="Times New Roman" w:cs="Times New Roman" w:eastAsia="Times New Roman" w:hAnsi="Times New Roman"/>
          <w:sz w:val="18"/>
          <w:szCs w:val="18"/>
          <w:color w:val="auto"/>
        </w:rPr>
        <w:t>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and liquidity, and developments in the industry in which we operate may differ materially from those made in or suggested by the forward-looking statements contained in this Report. In addition, even if our results or operations, financial condition and liquidity, and developments in the industry in which we operate are consistent with the forward-looking statements contained in this Report, those results or developments may not be indicative of results or developments in subsequent periods.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51" w:lineRule="exact"/>
        <w:rPr>
          <w:sz w:val="20"/>
          <w:szCs w:val="20"/>
          <w:color w:val="auto"/>
        </w:rPr>
      </w:pPr>
    </w:p>
    <w:p>
      <w:pPr>
        <w:jc w:val="both"/>
        <w:ind w:firstLine="475"/>
        <w:spacing w:after="0" w:line="333" w:lineRule="auto"/>
        <w:rPr>
          <w:sz w:val="20"/>
          <w:szCs w:val="20"/>
          <w:color w:val="auto"/>
        </w:rPr>
      </w:pPr>
      <w:r>
        <w:rPr>
          <w:rFonts w:ascii="Times New Roman" w:cs="Times New Roman" w:eastAsia="Times New Roman" w:hAnsi="Times New Roman"/>
          <w:sz w:val="16"/>
          <w:szCs w:val="16"/>
          <w:color w:val="auto"/>
        </w:rPr>
        <w:t>We are a California-based, global, shared, intelligent mobility ecosystem company founded in 2014 with a vision to disrupt the automotive industry. Our Class A Common Stock and Public Warrants trade on The Nasdaq Capital Market (“Nasdaq”) under the ticker symbols “FFAI” and “FFAIW,” respectively.</w:t>
      </w:r>
    </w:p>
    <w:p>
      <w:pPr>
        <w:spacing w:after="0" w:line="43" w:lineRule="exact"/>
        <w:rPr>
          <w:sz w:val="20"/>
          <w:szCs w:val="20"/>
          <w:color w:val="auto"/>
        </w:rPr>
      </w:pPr>
    </w:p>
    <w:p>
      <w:pPr>
        <w:jc w:val="both"/>
        <w:ind w:firstLine="475"/>
        <w:spacing w:after="0" w:line="294" w:lineRule="auto"/>
        <w:rPr>
          <w:sz w:val="20"/>
          <w:szCs w:val="20"/>
          <w:color w:val="auto"/>
        </w:rPr>
      </w:pPr>
      <w:r>
        <w:rPr>
          <w:rFonts w:ascii="Times New Roman" w:cs="Times New Roman" w:eastAsia="Times New Roman" w:hAnsi="Times New Roman"/>
          <w:sz w:val="16"/>
          <w:szCs w:val="16"/>
          <w:color w:val="auto"/>
        </w:rPr>
        <w:t>With headquarters in greater Gardena, California, we design and engineer next-generation intelligent, connected, electric vehicles. We manufacture vehicles at the FF ieFactory California production facility in Hanford, California. We have additional engineering, sales, and operational capabilities in China, and we are exploring opportunities for potential manufacturing capabilities in China through a joint venture or other arrangements. Additionally, we have established an entity in the UAE to manage the assembly and sales support of FF 91 series vehicles, further expanding our market presence in the region.</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47" w:lineRule="exact"/>
        <w:rPr>
          <w:sz w:val="20"/>
          <w:szCs w:val="20"/>
          <w:color w:val="auto"/>
        </w:rPr>
      </w:pPr>
    </w:p>
    <w:p>
      <w:pPr>
        <w:ind w:firstLine="475"/>
        <w:spacing w:after="0" w:line="269" w:lineRule="auto"/>
        <w:rPr>
          <w:sz w:val="20"/>
          <w:szCs w:val="20"/>
          <w:color w:val="auto"/>
        </w:rPr>
      </w:pPr>
      <w:r>
        <w:rPr>
          <w:rFonts w:ascii="Times New Roman" w:cs="Times New Roman" w:eastAsia="Times New Roman" w:hAnsi="Times New Roman"/>
          <w:sz w:val="18"/>
          <w:szCs w:val="18"/>
          <w:color w:val="auto"/>
        </w:rPr>
        <w:t>Since our founding, we have created major innovations in technology and products, and followed a user-centered business model. We believe these innovations will enable us to set new standards in luxury and performance that will redefine the future of intelligent mobility.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 Overview &amp; Global Strategy</w:t>
      </w:r>
    </w:p>
    <w:p>
      <w:pPr>
        <w:spacing w:after="0" w:line="164" w:lineRule="exact"/>
        <w:rPr>
          <w:sz w:val="20"/>
          <w:szCs w:val="20"/>
          <w:color w:val="auto"/>
        </w:rPr>
      </w:pPr>
    </w:p>
    <w:p>
      <w:pPr>
        <w:ind w:left="640" w:hanging="318"/>
        <w:spacing w:after="0" w:line="267" w:lineRule="auto"/>
        <w:tabs>
          <w:tab w:leader="none" w:pos="63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Dual-Home Market Strategy:</w:t>
      </w:r>
      <w:r>
        <w:rPr>
          <w:rFonts w:ascii="Times New Roman" w:cs="Times New Roman" w:eastAsia="Times New Roman" w:hAnsi="Times New Roman"/>
          <w:sz w:val="18"/>
          <w:szCs w:val="18"/>
          <w:color w:val="auto"/>
        </w:rPr>
        <w:t xml:space="preserve"> We have implemented a dual-home market strategy, integrating U.S.-based technological innovation and vehicle development with China’s supply chain and production capabilities.</w:t>
      </w:r>
    </w:p>
    <w:p>
      <w:pPr>
        <w:spacing w:after="0" w:line="1" w:lineRule="exact"/>
        <w:rPr>
          <w:rFonts w:ascii="Times New Roman" w:cs="Times New Roman" w:eastAsia="Times New Roman" w:hAnsi="Times New Roman"/>
          <w:sz w:val="18"/>
          <w:szCs w:val="18"/>
          <w:color w:val="auto"/>
        </w:rPr>
      </w:pPr>
    </w:p>
    <w:p>
      <w:pPr>
        <w:ind w:left="640" w:hanging="318"/>
        <w:spacing w:after="0" w:line="269" w:lineRule="auto"/>
        <w:tabs>
          <w:tab w:leader="none" w:pos="63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Third Pole Strategy:</w:t>
      </w:r>
      <w:r>
        <w:rPr>
          <w:rFonts w:ascii="Times New Roman" w:cs="Times New Roman" w:eastAsia="Times New Roman" w:hAnsi="Times New Roman"/>
          <w:sz w:val="18"/>
          <w:szCs w:val="18"/>
          <w:color w:val="auto"/>
        </w:rPr>
        <w:t xml:space="preserve"> We have begun implementing a "third pole" strategy with an operational facility in the UAE, complementing our U.S. and China market approach.</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Technology &amp; Innovation</w:t>
      </w:r>
    </w:p>
    <w:p>
      <w:pPr>
        <w:spacing w:after="0" w:line="138" w:lineRule="exact"/>
        <w:rPr>
          <w:sz w:val="20"/>
          <w:szCs w:val="20"/>
          <w:color w:val="auto"/>
        </w:rPr>
      </w:pPr>
    </w:p>
    <w:p>
      <w:pPr>
        <w:ind w:left="640" w:hanging="318"/>
        <w:spacing w:after="0" w:line="267" w:lineRule="auto"/>
        <w:tabs>
          <w:tab w:leader="none" w:pos="63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Our Proprietary VPA:</w:t>
      </w:r>
      <w:r>
        <w:rPr>
          <w:rFonts w:ascii="Times New Roman" w:cs="Times New Roman" w:eastAsia="Times New Roman" w:hAnsi="Times New Roman"/>
          <w:sz w:val="18"/>
          <w:szCs w:val="18"/>
          <w:color w:val="auto"/>
        </w:rPr>
        <w:t xml:space="preserve"> We have designed and developed a breakthrough mobility platform—our proprietary VPA, which enables scalable vehicle development across multiple segments, including the new FX Series.</w:t>
      </w:r>
    </w:p>
    <w:p>
      <w:pPr>
        <w:spacing w:after="0" w:line="1" w:lineRule="exact"/>
        <w:rPr>
          <w:rFonts w:ascii="Times New Roman" w:cs="Times New Roman" w:eastAsia="Times New Roman" w:hAnsi="Times New Roman"/>
          <w:sz w:val="18"/>
          <w:szCs w:val="18"/>
          <w:color w:val="auto"/>
        </w:rPr>
      </w:pPr>
    </w:p>
    <w:p>
      <w:pPr>
        <w:ind w:left="640" w:hanging="318"/>
        <w:spacing w:after="0" w:line="248" w:lineRule="auto"/>
        <w:tabs>
          <w:tab w:leader="none" w:pos="63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Propulsion System:</w:t>
      </w:r>
      <w:r>
        <w:rPr>
          <w:rFonts w:ascii="Times New Roman" w:cs="Times New Roman" w:eastAsia="Times New Roman" w:hAnsi="Times New Roman"/>
          <w:sz w:val="18"/>
          <w:szCs w:val="18"/>
          <w:color w:val="auto"/>
        </w:rPr>
        <w:t xml:space="preserve"> Our propulsion system provides a competitive edge in acceleration and range, enabled by an industry-leading inverter design and a propulsion system integrated with our AI-powered user experience.</w:t>
      </w:r>
    </w:p>
    <w:p>
      <w:pPr>
        <w:spacing w:after="0" w:line="1" w:lineRule="exact"/>
        <w:rPr>
          <w:rFonts w:ascii="Times New Roman" w:cs="Times New Roman" w:eastAsia="Times New Roman" w:hAnsi="Times New Roman"/>
          <w:sz w:val="18"/>
          <w:szCs w:val="18"/>
          <w:color w:val="auto"/>
        </w:rPr>
      </w:pPr>
    </w:p>
    <w:p>
      <w:pPr>
        <w:ind w:left="640" w:hanging="318"/>
        <w:spacing w:after="0" w:line="235" w:lineRule="auto"/>
        <w:tabs>
          <w:tab w:leader="none" w:pos="63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I.A.I Technology:</w:t>
      </w:r>
      <w:r>
        <w:rPr>
          <w:rFonts w:ascii="Times New Roman" w:cs="Times New Roman" w:eastAsia="Times New Roman" w:hAnsi="Times New Roman"/>
          <w:sz w:val="18"/>
          <w:szCs w:val="18"/>
          <w:color w:val="auto"/>
        </w:rPr>
        <w:t xml:space="preserve"> Our advanced I.A.I technology offers high-performance computing, high-speed internet connectivity, OTA updating, an open ecosystem for third-party application integration, and an advanced autonomous driving-ready system.</w:t>
      </w:r>
    </w:p>
    <w:p>
      <w:pPr>
        <w:spacing w:after="0" w:line="9" w:lineRule="exact"/>
        <w:rPr>
          <w:rFonts w:ascii="Times New Roman" w:cs="Times New Roman" w:eastAsia="Times New Roman" w:hAnsi="Times New Roman"/>
          <w:sz w:val="18"/>
          <w:szCs w:val="18"/>
          <w:color w:val="auto"/>
        </w:rPr>
      </w:pPr>
    </w:p>
    <w:p>
      <w:pPr>
        <w:jc w:val="both"/>
        <w:ind w:left="640" w:hanging="318"/>
        <w:spacing w:after="0" w:line="257" w:lineRule="auto"/>
        <w:tabs>
          <w:tab w:leader="none" w:pos="63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 &amp; Supply Chain Development:</w:t>
      </w:r>
      <w:r>
        <w:rPr>
          <w:rFonts w:ascii="Times New Roman" w:cs="Times New Roman" w:eastAsia="Times New Roman" w:hAnsi="Times New Roman"/>
          <w:sz w:val="18"/>
          <w:szCs w:val="18"/>
          <w:color w:val="auto"/>
        </w:rPr>
        <w:t xml:space="preserve"> Since inception, we have developed a portfolio of intellectual property, established its supply chain, and assembled a global team of automotive and technology experts. As of June 30, 2025, FF has been granted approximately 660 patents globally.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&amp; Pipeline</w:t>
      </w:r>
    </w:p>
    <w:p>
      <w:pPr>
        <w:spacing w:after="0" w:line="44" w:lineRule="exact"/>
        <w:rPr>
          <w:sz w:val="20"/>
          <w:szCs w:val="20"/>
          <w:color w:val="auto"/>
        </w:rPr>
      </w:pPr>
    </w:p>
    <w:p>
      <w:pPr>
        <w:jc w:val="both"/>
        <w:ind w:left="640" w:hanging="318"/>
        <w:spacing w:after="0" w:line="254" w:lineRule="auto"/>
        <w:tabs>
          <w:tab w:leader="none" w:pos="63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FF 91: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believe that the FF 91 Futurist (the "FF 91," "FF 91 Futurist," or "FF 91 2.0 Futurist Alliance") is the first ultra-luxury electric vehicle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 a highly-personalized, fully-connected user experience for driver and passengers. We started production on the first FF 91 Futurist and delivered the first FF 91 2.0 Futurist Alliance in 2023.</w:t>
      </w:r>
    </w:p>
    <w:p>
      <w:pPr>
        <w:spacing w:after="0" w:line="2"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Vehicle Pipeline: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planned B2C passenger vehicle pipeline includes the FF 91 series, plus the new FX Series (FX 5, FX 6, and FX Super One).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Manufacturing &amp; Distribution</w:t>
      </w:r>
    </w:p>
    <w:p>
      <w:pPr>
        <w:spacing w:after="0" w:line="149" w:lineRule="exact"/>
        <w:rPr>
          <w:sz w:val="20"/>
          <w:szCs w:val="20"/>
          <w:color w:val="auto"/>
        </w:rPr>
      </w:pPr>
    </w:p>
    <w:p>
      <w:pPr>
        <w:ind w:left="640" w:hanging="318"/>
        <w:spacing w:after="0"/>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FF Series Manufacturing: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FF 91 Series is currently being manufactured in FF ieFactory California.</w:t>
      </w:r>
    </w:p>
    <w:p>
      <w:pPr>
        <w:spacing w:after="0" w:line="30"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FX Series Manufacturing: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models of FX Series are planned to be manufactured in FF ieFactory California.</w:t>
      </w:r>
    </w:p>
    <w:p>
      <w:pPr>
        <w:spacing w:after="0" w:line="43" w:lineRule="exact"/>
        <w:rPr>
          <w:rFonts w:ascii="Times New Roman" w:cs="Times New Roman" w:eastAsia="Times New Roman" w:hAnsi="Times New Roman"/>
          <w:sz w:val="18"/>
          <w:szCs w:val="18"/>
          <w:color w:val="auto"/>
        </w:rPr>
      </w:pPr>
    </w:p>
    <w:p>
      <w:pPr>
        <w:ind w:left="640" w:hanging="318"/>
        <w:spacing w:after="0" w:line="272" w:lineRule="auto"/>
        <w:tabs>
          <w:tab w:leader="none" w:pos="63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Global Availability: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of our vehicles are expected to be available for sale in the U.S. and the Middle East, with potential expansion to China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European markets.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38" w:lineRule="exact"/>
        <w:rPr>
          <w:sz w:val="20"/>
          <w:szCs w:val="20"/>
          <w:color w:val="auto"/>
        </w:rPr>
      </w:pPr>
    </w:p>
    <w:p>
      <w:pPr>
        <w:ind w:firstLine="477"/>
        <w:spacing w:after="0" w:line="269" w:lineRule="auto"/>
        <w:rPr>
          <w:sz w:val="20"/>
          <w:szCs w:val="20"/>
          <w:color w:val="auto"/>
        </w:rPr>
      </w:pPr>
      <w:r>
        <w:rPr>
          <w:rFonts w:ascii="Times New Roman" w:cs="Times New Roman" w:eastAsia="Times New Roman" w:hAnsi="Times New Roman"/>
          <w:sz w:val="18"/>
          <w:szCs w:val="18"/>
          <w:color w:val="auto"/>
        </w:rPr>
        <w:t>From January 1, 2025, through the filing date, we achieved key operational and financing milestones. Below is a summary of significant events by category.</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Strategic Operations and Product Development</w:t>
      </w:r>
    </w:p>
    <w:p>
      <w:pPr>
        <w:spacing w:after="0" w:line="46" w:lineRule="exact"/>
        <w:rPr>
          <w:sz w:val="20"/>
          <w:szCs w:val="20"/>
          <w:color w:val="auto"/>
        </w:rPr>
      </w:pPr>
    </w:p>
    <w:p>
      <w:pPr>
        <w:jc w:val="both"/>
        <w:ind w:left="800" w:hanging="307"/>
        <w:spacing w:after="0" w:line="252" w:lineRule="auto"/>
        <w:tabs>
          <w:tab w:leader="none" w:pos="79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2025, we hosted FF Open AI Day and unveiled our Personalized AI and Bespoke AI systems. These innovations are part of our All-AI Mobility Ecosystem. Personalized AI is designed to learn and adapt to user preferences across vehicle controls, comfort, and interaction styles. Bespoke AI delivers co-created, premium user interfaces and intelligent services tailored for luxury users, acting as a digital concierge. Both systems are built on large-model AI architecture and are planned for integration into the FF 91 and FX series.</w:t>
      </w:r>
    </w:p>
    <w:p>
      <w:pPr>
        <w:spacing w:after="0" w:line="1" w:lineRule="exact"/>
        <w:rPr>
          <w:rFonts w:ascii="Times New Roman" w:cs="Times New Roman" w:eastAsia="Times New Roman" w:hAnsi="Times New Roman"/>
          <w:sz w:val="18"/>
          <w:szCs w:val="18"/>
          <w:color w:val="auto"/>
        </w:rPr>
      </w:pPr>
    </w:p>
    <w:p>
      <w:pPr>
        <w:ind w:left="800" w:hanging="307"/>
        <w:spacing w:after="0" w:line="267" w:lineRule="auto"/>
        <w:tabs>
          <w:tab w:leader="none" w:pos="79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2025, Future AIHER AI Hybrid Extended-Range Electric Powertrain System Inc. was incorporated in the State of Delaware as a subsidiary of the Company. This subsidiary focuses on the design and development of AI hybrid extended-range electric powertrain systems.</w:t>
      </w:r>
    </w:p>
    <w:p>
      <w:pPr>
        <w:spacing w:after="0" w:line="1" w:lineRule="exact"/>
        <w:rPr>
          <w:rFonts w:ascii="Times New Roman" w:cs="Times New Roman" w:eastAsia="Times New Roman" w:hAnsi="Times New Roman"/>
          <w:sz w:val="18"/>
          <w:szCs w:val="18"/>
          <w:color w:val="auto"/>
        </w:rPr>
      </w:pPr>
    </w:p>
    <w:p>
      <w:pPr>
        <w:ind w:left="800" w:hanging="307"/>
        <w:spacing w:after="0" w:line="267" w:lineRule="auto"/>
        <w:tabs>
          <w:tab w:leader="none" w:pos="79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2025, our FX CEO and team drove the FF 91 to Washington, D.C., for policy meetings with White House officials and showcased the FX Super One.</w:t>
      </w:r>
    </w:p>
    <w:p>
      <w:pPr>
        <w:spacing w:after="0" w:line="1" w:lineRule="exact"/>
        <w:rPr>
          <w:rFonts w:ascii="Times New Roman" w:cs="Times New Roman" w:eastAsia="Times New Roman" w:hAnsi="Times New Roman"/>
          <w:sz w:val="18"/>
          <w:szCs w:val="18"/>
          <w:color w:val="auto"/>
        </w:rPr>
      </w:pPr>
    </w:p>
    <w:p>
      <w:pPr>
        <w:jc w:val="both"/>
        <w:ind w:left="800" w:hanging="307"/>
        <w:spacing w:after="0" w:line="257" w:lineRule="auto"/>
        <w:tabs>
          <w:tab w:leader="none" w:pos="79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2025, the Company signed its first binding B2B pre-order agreement with JC Auto, a New York City–based dealership operating as 129 Auto Sales Corp., for 1,000 FX Super One vehicles, including a $100,000 non-refundable deposit and priority delivery of up to 300 vehicles intended for use in a premium fleet serving the New York area.</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1" w:lineRule="exact"/>
        <w:rPr>
          <w:sz w:val="20"/>
          <w:szCs w:val="20"/>
          <w:color w:val="auto"/>
        </w:rPr>
      </w:pPr>
    </w:p>
    <w:p>
      <w:pPr>
        <w:ind w:left="800" w:hanging="307"/>
        <w:spacing w:after="0" w:line="267" w:lineRule="auto"/>
        <w:tabs>
          <w:tab w:leader="none" w:pos="79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2025, the Company reaffirmed its goal of selling tens of thousands of FX vehicles within two years and continued development of two additional FX models priced between $20,000 and $40,000 to target underserved segments of the U.S. AI Electric Vehicle (“AIEV’) market.</w:t>
      </w:r>
    </w:p>
    <w:p>
      <w:pPr>
        <w:spacing w:after="0" w:line="1" w:lineRule="exact"/>
        <w:rPr>
          <w:rFonts w:ascii="Times New Roman" w:cs="Times New Roman" w:eastAsia="Times New Roman" w:hAnsi="Times New Roman"/>
          <w:sz w:val="18"/>
          <w:szCs w:val="18"/>
          <w:color w:val="auto"/>
        </w:rPr>
      </w:pPr>
    </w:p>
    <w:p>
      <w:pPr>
        <w:ind w:left="800" w:hanging="307"/>
        <w:spacing w:after="0" w:line="267" w:lineRule="auto"/>
        <w:tabs>
          <w:tab w:leader="none" w:pos="79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2025, the Company entered into a second B2B pre-order agreement with Sky Horse Auto LLC—a California-based premium mobility provider—for 300 FX Super One vehicles, supported by a $30,000 non-refundable deposit and priority delivery.</w:t>
      </w:r>
    </w:p>
    <w:p>
      <w:pPr>
        <w:spacing w:after="0" w:line="1" w:lineRule="exact"/>
        <w:rPr>
          <w:rFonts w:ascii="Times New Roman" w:cs="Times New Roman" w:eastAsia="Times New Roman" w:hAnsi="Times New Roman"/>
          <w:sz w:val="18"/>
          <w:szCs w:val="18"/>
          <w:color w:val="auto"/>
        </w:rPr>
      </w:pPr>
    </w:p>
    <w:p>
      <w:pPr>
        <w:ind w:left="800" w:hanging="307"/>
        <w:spacing w:after="0" w:line="259" w:lineRule="auto"/>
        <w:tabs>
          <w:tab w:leader="none" w:pos="79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2025, the Company announced it had secured non-binding fleet pre-orders totaling 1,300 FX Super One vehicles, including prior agreements with JC Auto and Sky Horse Auto, reflecting growing demand from U.S. mobility operators.</w:t>
      </w:r>
    </w:p>
    <w:p>
      <w:pPr>
        <w:spacing w:after="0" w:line="1" w:lineRule="exact"/>
        <w:rPr>
          <w:rFonts w:ascii="Times New Roman" w:cs="Times New Roman" w:eastAsia="Times New Roman" w:hAnsi="Times New Roman"/>
          <w:sz w:val="18"/>
          <w:szCs w:val="18"/>
          <w:color w:val="auto"/>
        </w:rPr>
      </w:pPr>
    </w:p>
    <w:p>
      <w:pPr>
        <w:ind w:left="800" w:hanging="307"/>
        <w:spacing w:after="0" w:line="267" w:lineRule="auto"/>
        <w:tabs>
          <w:tab w:leader="none" w:pos="79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2025, the Company began public road testing for FX prototype mules, including the FX Super One and FX6, with testing focused on performance and Advanced Driver Assistance Systems (“ADAS”) validation.</w:t>
      </w:r>
    </w:p>
    <w:p>
      <w:pPr>
        <w:spacing w:after="0" w:line="1" w:lineRule="exact"/>
        <w:rPr>
          <w:rFonts w:ascii="Times New Roman" w:cs="Times New Roman" w:eastAsia="Times New Roman" w:hAnsi="Times New Roman"/>
          <w:sz w:val="18"/>
          <w:szCs w:val="18"/>
          <w:color w:val="auto"/>
        </w:rPr>
      </w:pPr>
    </w:p>
    <w:p>
      <w:pPr>
        <w:ind w:left="800" w:hanging="307"/>
        <w:spacing w:after="0" w:line="267" w:lineRule="auto"/>
        <w:tabs>
          <w:tab w:leader="none" w:pos="79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2025, the Company confirmed the FX Super One will be unveiled at two launch events—a private debut on June 29 and a public global launch on July 17—with initial market entry planned for CA, NY, FL, TX, WA, NJ, and NV.</w:t>
      </w:r>
    </w:p>
    <w:p>
      <w:pPr>
        <w:spacing w:after="0" w:line="1" w:lineRule="exact"/>
        <w:rPr>
          <w:rFonts w:ascii="Times New Roman" w:cs="Times New Roman" w:eastAsia="Times New Roman" w:hAnsi="Times New Roman"/>
          <w:sz w:val="18"/>
          <w:szCs w:val="18"/>
          <w:color w:val="auto"/>
        </w:rPr>
      </w:pPr>
    </w:p>
    <w:p>
      <w:pPr>
        <w:ind w:left="800" w:hanging="307"/>
        <w:spacing w:after="0"/>
        <w:tabs>
          <w:tab w:leader="none" w:pos="80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May 2025, the Company initiated preparations for a flexible production line as part of its longer-term strategy for FX models and future variants.</w:t>
      </w:r>
    </w:p>
    <w:p>
      <w:pPr>
        <w:spacing w:after="0" w:line="53" w:lineRule="exact"/>
        <w:rPr>
          <w:rFonts w:ascii="Times New Roman" w:cs="Times New Roman" w:eastAsia="Times New Roman" w:hAnsi="Times New Roman"/>
          <w:sz w:val="16"/>
          <w:szCs w:val="16"/>
          <w:color w:val="auto"/>
        </w:rPr>
      </w:pPr>
    </w:p>
    <w:p>
      <w:pPr>
        <w:ind w:left="800" w:hanging="307"/>
        <w:spacing w:after="0"/>
        <w:tabs>
          <w:tab w:leader="none" w:pos="80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May 2025, the Company confirmed that the FX6 model is scheduled as a pipeline vehicle, expanding the FX product line beyond the Super One.</w:t>
      </w:r>
    </w:p>
    <w:p>
      <w:pPr>
        <w:spacing w:after="0" w:line="66" w:lineRule="exact"/>
        <w:rPr>
          <w:rFonts w:ascii="Times New Roman" w:cs="Times New Roman" w:eastAsia="Times New Roman" w:hAnsi="Times New Roman"/>
          <w:sz w:val="16"/>
          <w:szCs w:val="16"/>
          <w:color w:val="auto"/>
        </w:rPr>
      </w:pPr>
    </w:p>
    <w:p>
      <w:pPr>
        <w:ind w:left="800" w:hanging="307"/>
        <w:spacing w:after="0" w:line="267" w:lineRule="auto"/>
        <w:tabs>
          <w:tab w:leader="none" w:pos="79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2025, the Company highlighted the FF 91’s AI Hypercar differentiation, citing 12 cameras, 3 light detection and ranging ("LiDAR") sensors, tri-motor AWD, and in-cabin generative AI features as key performance advantages over competing ultra-luxury EVs.</w:t>
      </w:r>
    </w:p>
    <w:p>
      <w:pPr>
        <w:spacing w:after="0" w:line="1" w:lineRule="exact"/>
        <w:rPr>
          <w:rFonts w:ascii="Times New Roman" w:cs="Times New Roman" w:eastAsia="Times New Roman" w:hAnsi="Times New Roman"/>
          <w:sz w:val="18"/>
          <w:szCs w:val="18"/>
          <w:color w:val="auto"/>
        </w:rPr>
      </w:pPr>
    </w:p>
    <w:p>
      <w:pPr>
        <w:ind w:left="800" w:hanging="307"/>
        <w:spacing w:after="0" w:line="259" w:lineRule="auto"/>
        <w:tabs>
          <w:tab w:leader="none" w:pos="79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2025, the Company disclosed that its FF 91 model met all Federal Motor Vehicle Safety Standards ("FMVSS") and completed U.S. homologation, with deliveries made to celebrity and industry Co-Creation Officers.</w:t>
      </w:r>
    </w:p>
    <w:p>
      <w:pPr>
        <w:spacing w:after="0" w:line="1" w:lineRule="exact"/>
        <w:rPr>
          <w:rFonts w:ascii="Times New Roman" w:cs="Times New Roman" w:eastAsia="Times New Roman" w:hAnsi="Times New Roman"/>
          <w:sz w:val="18"/>
          <w:szCs w:val="18"/>
          <w:color w:val="auto"/>
        </w:rPr>
      </w:pPr>
    </w:p>
    <w:p>
      <w:pPr>
        <w:ind w:left="800" w:hanging="307"/>
        <w:spacing w:after="0" w:line="267" w:lineRule="auto"/>
        <w:tabs>
          <w:tab w:leader="none" w:pos="79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2025, the Company secured 600 additional B2B deposits from U.S.-based multi-channel network ("MCN") agencies CreatoRev and Good Deal, bringing total FX Super One B2B deposits to over 2,500 units.</w:t>
      </w:r>
    </w:p>
    <w:p>
      <w:pPr>
        <w:spacing w:after="0" w:line="1" w:lineRule="exact"/>
        <w:rPr>
          <w:rFonts w:ascii="Times New Roman" w:cs="Times New Roman" w:eastAsia="Times New Roman" w:hAnsi="Times New Roman"/>
          <w:sz w:val="18"/>
          <w:szCs w:val="18"/>
          <w:color w:val="auto"/>
        </w:rPr>
      </w:pPr>
    </w:p>
    <w:p>
      <w:pPr>
        <w:ind w:left="800" w:hanging="307"/>
        <w:spacing w:after="0" w:line="267" w:lineRule="auto"/>
        <w:tabs>
          <w:tab w:leader="none" w:pos="79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2025, the Company began deploying FF 91 AI and software technologies, including a voice interaction system based on large language models, into the FX product line.</w:t>
      </w:r>
    </w:p>
    <w:p>
      <w:pPr>
        <w:spacing w:after="0" w:line="1" w:lineRule="exact"/>
        <w:rPr>
          <w:rFonts w:ascii="Times New Roman" w:cs="Times New Roman" w:eastAsia="Times New Roman" w:hAnsi="Times New Roman"/>
          <w:sz w:val="18"/>
          <w:szCs w:val="18"/>
          <w:color w:val="auto"/>
        </w:rPr>
      </w:pPr>
    </w:p>
    <w:p>
      <w:pPr>
        <w:jc w:val="both"/>
        <w:ind w:left="800" w:hanging="307"/>
        <w:spacing w:after="0" w:line="254" w:lineRule="auto"/>
        <w:tabs>
          <w:tab w:leader="none" w:pos="79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2025, the Company expanded its U.S. and Middle East operations, with its Ras Al Khaimah (RAKEZ) facility in the UAE ready for occupancy and targeted FX Super One production in the region contingent on funding. The strategy supports regulatory streamlining, market training, and regional investor interest.</w:t>
      </w:r>
    </w:p>
    <w:p>
      <w:pPr>
        <w:spacing w:after="0" w:line="2" w:lineRule="exact"/>
        <w:rPr>
          <w:rFonts w:ascii="Times New Roman" w:cs="Times New Roman" w:eastAsia="Times New Roman" w:hAnsi="Times New Roman"/>
          <w:sz w:val="18"/>
          <w:szCs w:val="18"/>
          <w:color w:val="auto"/>
        </w:rPr>
      </w:pPr>
    </w:p>
    <w:p>
      <w:pPr>
        <w:ind w:left="800" w:hanging="307"/>
        <w:spacing w:after="0" w:line="267" w:lineRule="auto"/>
        <w:tabs>
          <w:tab w:leader="none" w:pos="79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2025, the Company hosted its first Annual Stockholders' Day event, featuring executive presentations, prototype ride-and-drives, and live Q&amp;A sessions to promote transparency and stockholder engagement.</w:t>
      </w:r>
    </w:p>
    <w:p>
      <w:pPr>
        <w:spacing w:after="0" w:line="1" w:lineRule="exact"/>
        <w:rPr>
          <w:rFonts w:ascii="Times New Roman" w:cs="Times New Roman" w:eastAsia="Times New Roman" w:hAnsi="Times New Roman"/>
          <w:sz w:val="18"/>
          <w:szCs w:val="18"/>
          <w:color w:val="auto"/>
        </w:rPr>
      </w:pPr>
    </w:p>
    <w:p>
      <w:pPr>
        <w:jc w:val="both"/>
        <w:ind w:left="800" w:hanging="307"/>
        <w:spacing w:after="0" w:line="257" w:lineRule="auto"/>
        <w:tabs>
          <w:tab w:leader="none" w:pos="79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2025, the Company announced that global music icon Mariah Carey will become the next FF 91 2.0 Futurist Alliance owner and featured the FF 91 and FFZERO1 concept car in her new music video, “Type Dangerous,” which also includes influencer MrBeast and has trended globally, further elevating brand visibility and cultural relevance.</w:t>
      </w:r>
    </w:p>
    <w:p>
      <w:pPr>
        <w:spacing w:after="0" w:line="7" w:lineRule="exact"/>
        <w:rPr>
          <w:rFonts w:ascii="Times New Roman" w:cs="Times New Roman" w:eastAsia="Times New Roman" w:hAnsi="Times New Roman"/>
          <w:sz w:val="18"/>
          <w:szCs w:val="18"/>
          <w:color w:val="auto"/>
        </w:rPr>
      </w:pPr>
    </w:p>
    <w:p>
      <w:pPr>
        <w:jc w:val="both"/>
        <w:ind w:left="800" w:hanging="307"/>
        <w:spacing w:after="0" w:line="252" w:lineRule="auto"/>
        <w:tabs>
          <w:tab w:leader="none" w:pos="79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2025, the Company reaffirmed its commitment to the FX Super One launch and to accelerating development and distribution efforts for both FF and FX brands, including the integration of advanced AI technologies. This update highlights management’s intent to leverage the recently secured financing to support production readiness, scale operations for broader market access, and enhance technological differentiation in its intelligent electric vehicle lineup.</w:t>
      </w:r>
    </w:p>
    <w:p>
      <w:pPr>
        <w:spacing w:after="0" w:line="1" w:lineRule="exact"/>
        <w:rPr>
          <w:rFonts w:ascii="Times New Roman" w:cs="Times New Roman" w:eastAsia="Times New Roman" w:hAnsi="Times New Roman"/>
          <w:sz w:val="18"/>
          <w:szCs w:val="18"/>
          <w:color w:val="auto"/>
        </w:rPr>
      </w:pPr>
    </w:p>
    <w:p>
      <w:pPr>
        <w:ind w:left="800" w:hanging="307"/>
        <w:spacing w:after="0" w:line="269" w:lineRule="auto"/>
        <w:tabs>
          <w:tab w:leader="none" w:pos="79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2025, the Company submitted a purchase requisition for promotional merchandise, totaling approximately $0.3 million, to Grow Fandor, a related party. The related purchase order remained in process as of the date of this filing.</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Raising &amp; Financing Agreements</w:t>
      </w:r>
    </w:p>
    <w:p>
      <w:pPr>
        <w:spacing w:after="0" w:line="32" w:lineRule="exact"/>
        <w:rPr>
          <w:sz w:val="20"/>
          <w:szCs w:val="20"/>
          <w:color w:val="auto"/>
        </w:rPr>
      </w:pPr>
    </w:p>
    <w:p>
      <w:pPr>
        <w:jc w:val="both"/>
        <w:ind w:left="800" w:hanging="307"/>
        <w:spacing w:after="0" w:line="283" w:lineRule="auto"/>
        <w:tabs>
          <w:tab w:leader="none" w:pos="795"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December 2024, we secured approximately $30.0 million in cash financing commitments for the purchase of unsecured convertible notes (the “2024 Unsecured SPA Notes”). Each investor (the “2024 Unsecured SPA Investors”) also received a 2024 Unsecured Incremental Warrant to fund, at the 2024 Unsecured SPA Investor’s sole discretion, additional notes up to the original principal balance the of 2024 Unsecured SPA Notes purchased by such 2024 Unsecured SPA Investor. These funds are intended to support our core business operations and the ongoing ramp-up of the FX strategy. On January 28, 2025, we entered into a letter agreement with certain of the 2024 Unsecured SPA Investors. Pursuant to the letter agreement, prior to our receipt of stockholders’ approval, for the issuance of the Unsecured 2024 SPA Notes, 2024 Unsecured SPA Warrants and 2024 Unsecured Incremental Warrants, such investors agreed not to convert any outstanding 2024 Unsecured SPA Notes at a conversion price less than $1.16, the initial conversion price of the 2024 Unsecured SPA Notes, and we agreed to issue, following</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1" w:lineRule="exact"/>
        <w:rPr>
          <w:sz w:val="20"/>
          <w:szCs w:val="20"/>
          <w:color w:val="auto"/>
        </w:rPr>
      </w:pPr>
    </w:p>
    <w:p>
      <w:pPr>
        <w:ind w:left="800"/>
        <w:spacing w:after="0" w:line="267" w:lineRule="auto"/>
        <w:rPr>
          <w:sz w:val="20"/>
          <w:szCs w:val="20"/>
          <w:color w:val="auto"/>
        </w:rPr>
      </w:pPr>
      <w:r>
        <w:rPr>
          <w:rFonts w:ascii="Times New Roman" w:cs="Times New Roman" w:eastAsia="Times New Roman" w:hAnsi="Times New Roman"/>
          <w:sz w:val="18"/>
          <w:szCs w:val="18"/>
          <w:color w:val="auto"/>
        </w:rPr>
        <w:t>receipt of such stockholders’ approval, to such investors who convert any U2024 Unsecured SPA Notes at the $1.16 conversion price prior to our receipt of stockholders’ approval, additional shares of Class A Common Stock as a true-up.</w:t>
      </w:r>
    </w:p>
    <w:p>
      <w:pPr>
        <w:spacing w:after="0" w:line="1" w:lineRule="exact"/>
        <w:rPr>
          <w:sz w:val="20"/>
          <w:szCs w:val="20"/>
          <w:color w:val="auto"/>
        </w:rPr>
      </w:pPr>
    </w:p>
    <w:p>
      <w:pPr>
        <w:ind w:left="800" w:hanging="307"/>
        <w:spacing w:after="0"/>
        <w:tabs>
          <w:tab w:leader="none" w:pos="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2025, we received $30 million in previously committed financing to support FF 91 deliveries and FX program development.</w:t>
      </w:r>
    </w:p>
    <w:p>
      <w:pPr>
        <w:spacing w:after="0" w:line="43" w:lineRule="exact"/>
        <w:rPr>
          <w:rFonts w:ascii="Times New Roman" w:cs="Times New Roman" w:eastAsia="Times New Roman" w:hAnsi="Times New Roman"/>
          <w:sz w:val="18"/>
          <w:szCs w:val="18"/>
          <w:color w:val="auto"/>
        </w:rPr>
      </w:pPr>
    </w:p>
    <w:p>
      <w:pPr>
        <w:ind w:left="800" w:hanging="307"/>
        <w:spacing w:after="0" w:line="254" w:lineRule="auto"/>
        <w:tabs>
          <w:tab w:leader="none" w:pos="79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2025, we disclosed that our total capital raised since September 2024 exceeded $100 million, with positive net cash flow reported for Q3 and Q4 2024.</w:t>
      </w:r>
    </w:p>
    <w:p>
      <w:pPr>
        <w:spacing w:after="0" w:line="1" w:lineRule="exact"/>
        <w:rPr>
          <w:rFonts w:ascii="Times New Roman" w:cs="Times New Roman" w:eastAsia="Times New Roman" w:hAnsi="Times New Roman"/>
          <w:sz w:val="18"/>
          <w:szCs w:val="18"/>
          <w:color w:val="auto"/>
        </w:rPr>
      </w:pPr>
    </w:p>
    <w:p>
      <w:pPr>
        <w:jc w:val="both"/>
        <w:ind w:left="800" w:hanging="307"/>
        <w:spacing w:after="0" w:line="245" w:lineRule="auto"/>
        <w:tabs>
          <w:tab w:leader="none" w:pos="79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2025, we secured approximately $41 million in cash financing commitments (the “March Financing”) for the purchase of unsecured convertible notes (the “March Unsecured SPA Notes”), and associated common warrants to purchase additional Class A Common Stock of the Company (the “March Warrants”). Each investor (the “March Unsecured SPA Investors”) also received a March unsecured incremental warrant to fund, at the March Unsecured SPA Investor’s sole discretion, additional notes up to the original principal balance the of March Unsecured SPA Notes purchased by such March Unsecured SPA Investor. The March Financing will be completed in four closings. In May 2025, the Company amended its March 2025 Securities Purchase Agreement through a Waiver and Amendment Agreement, permitting phased registration of underlying securities and extending the timing of subsequent closings by 20 business days, subject to updated stock price and volume thresholds. The first closing (the “First Closing”) occurred on April 4, 2025, the tenth (10th) business day after March 21, 2025, the signing date and the second closing (the “Second Closing”) occurred on May 28, 2025. The third closing (the “Third Closing”) occurred on July 11, 2025, and fourth closing will occur upon satisfaction of certain conditions. These funds are intended to support our core business operations and the ongoing ramp-up of the FX strategy.</w:t>
      </w:r>
    </w:p>
    <w:p>
      <w:pPr>
        <w:spacing w:after="0" w:line="5" w:lineRule="exact"/>
        <w:rPr>
          <w:rFonts w:ascii="Times New Roman" w:cs="Times New Roman" w:eastAsia="Times New Roman" w:hAnsi="Times New Roman"/>
          <w:sz w:val="18"/>
          <w:szCs w:val="18"/>
          <w:color w:val="auto"/>
        </w:rPr>
      </w:pPr>
    </w:p>
    <w:p>
      <w:pPr>
        <w:jc w:val="both"/>
        <w:ind w:left="800" w:hanging="307"/>
        <w:spacing w:after="0" w:line="253" w:lineRule="auto"/>
        <w:tabs>
          <w:tab w:leader="none" w:pos="79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2025, we initiated a company-wide organizational and governance overhaul, publicly launched through a town hall, to increase strategic clarity and improve execution amid ongoing external uncertainty. The initiative, publicly launched through a company-wide town hall, was designed to eliminate historical inefficiencies, increase strategic clarity, and improve performance across operations, amid ongoing external uncertainty and market pressure.</w:t>
      </w:r>
    </w:p>
    <w:p>
      <w:pPr>
        <w:spacing w:after="0" w:line="10" w:lineRule="exact"/>
        <w:rPr>
          <w:rFonts w:ascii="Times New Roman" w:cs="Times New Roman" w:eastAsia="Times New Roman" w:hAnsi="Times New Roman"/>
          <w:sz w:val="18"/>
          <w:szCs w:val="18"/>
          <w:color w:val="auto"/>
        </w:rPr>
      </w:pPr>
    </w:p>
    <w:p>
      <w:pPr>
        <w:ind w:left="800" w:hanging="307"/>
        <w:spacing w:after="0" w:line="267" w:lineRule="auto"/>
        <w:tabs>
          <w:tab w:leader="none" w:pos="79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2025, the Company’s senior executive team announced plans to initiate a stock purchase program post-earnings, subject to regulatory compliance.</w:t>
      </w:r>
    </w:p>
    <w:p>
      <w:pPr>
        <w:spacing w:after="0" w:line="1" w:lineRule="exact"/>
        <w:rPr>
          <w:rFonts w:ascii="Times New Roman" w:cs="Times New Roman" w:eastAsia="Times New Roman" w:hAnsi="Times New Roman"/>
          <w:sz w:val="18"/>
          <w:szCs w:val="18"/>
          <w:color w:val="auto"/>
        </w:rPr>
      </w:pPr>
    </w:p>
    <w:p>
      <w:pPr>
        <w:jc w:val="both"/>
        <w:ind w:left="800" w:hanging="307"/>
        <w:spacing w:after="0" w:line="252" w:lineRule="auto"/>
        <w:tabs>
          <w:tab w:leader="none" w:pos="79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2025, the Company filed a Seventh Certificate of Amendment to its Certificate of Incorporation to increase the number of authorized shares of Class A Common Stock to 162,815,625, authorize 4,429,688 shares of Class B Common Stock, and raise the authorized Preferred Stock to 12,900,000 shares. The amendment, approved by stockholders at the May 24, 2025 special meeting, also eliminated the Series A Preferred Stock designation and supports existing and future preferred equity issuances.</w:t>
      </w:r>
    </w:p>
    <w:p>
      <w:pPr>
        <w:spacing w:after="0" w:line="1" w:lineRule="exact"/>
        <w:rPr>
          <w:rFonts w:ascii="Times New Roman" w:cs="Times New Roman" w:eastAsia="Times New Roman" w:hAnsi="Times New Roman"/>
          <w:sz w:val="18"/>
          <w:szCs w:val="18"/>
          <w:color w:val="auto"/>
        </w:rPr>
      </w:pPr>
    </w:p>
    <w:p>
      <w:pPr>
        <w:ind w:left="800" w:hanging="307"/>
        <w:spacing w:after="0" w:line="283" w:lineRule="auto"/>
        <w:tabs>
          <w:tab w:leader="none" w:pos="795"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July 2025, the Company secured approximately $105 million in new cash financing, consisting of $82 million in new financing commitments— primarily in the form of unsecured convertible notes and warrants—and $22 million from previous investors through the exercise of prior securities. Existing institutional investors and new investors, including a Middle East strategic partner, participated in the financing, which remains subject to customary closing conditions. The participation of the Middle East partner is expected to support the Company’s planned expansion in the region and strengthen its global investor base. The financing terms include a lower conversion price based on recent market prices and a reduction in warrant issuance to limit dilution. The Company continued to utilize Univest Securities as its placement agent for this transaction.</w:t>
      </w:r>
    </w:p>
    <w:p>
      <w:pPr>
        <w:spacing w:after="0" w:line="4" w:lineRule="exact"/>
        <w:rPr>
          <w:rFonts w:ascii="Times New Roman" w:cs="Times New Roman" w:eastAsia="Times New Roman" w:hAnsi="Times New Roman"/>
          <w:sz w:val="16"/>
          <w:szCs w:val="16"/>
          <w:color w:val="auto"/>
        </w:rPr>
      </w:pPr>
    </w:p>
    <w:p>
      <w:pPr>
        <w:jc w:val="both"/>
        <w:ind w:left="800" w:hanging="307"/>
        <w:spacing w:after="0" w:line="253" w:lineRule="auto"/>
        <w:tabs>
          <w:tab w:leader="none" w:pos="79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2025, the Company publicly unveiled the FX Super One at a global launch event in Los Angeles. The event, which followed a private preview and broad media coverage, showcased the new F.A.C.E. (Futuristic Aesthetic Connected Exterior) LED grille and the FF Super EAI (Extended AI) ecosystem. The Company reported has secured over 10,000 binding deposit commitments to date, reinforcing brand visibility and building momentum as it prepares to transition into production.</w:t>
      </w:r>
    </w:p>
    <w:p>
      <w:pPr>
        <w:spacing w:after="0" w:line="10" w:lineRule="exact"/>
        <w:rPr>
          <w:rFonts w:ascii="Times New Roman" w:cs="Times New Roman" w:eastAsia="Times New Roman" w:hAnsi="Times New Roman"/>
          <w:sz w:val="18"/>
          <w:szCs w:val="18"/>
          <w:color w:val="auto"/>
        </w:rPr>
      </w:pPr>
    </w:p>
    <w:p>
      <w:pPr>
        <w:jc w:val="both"/>
        <w:ind w:left="800" w:hanging="307"/>
        <w:spacing w:after="0" w:line="254" w:lineRule="auto"/>
        <w:tabs>
          <w:tab w:leader="none" w:pos="79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and August 2025 the Company raised gross proceeds of $45.6 million and $0.1 million from third parties and related parties, respectively, in connection with SPA Portfolio Notes. During the same period, $18.3 million of principal and $0.9 million of interest were converted into 16,583,826 shares of Class A Common Stock.</w:t>
      </w:r>
    </w:p>
    <w:p>
      <w:pPr>
        <w:spacing w:after="0" w:line="2" w:lineRule="exact"/>
        <w:rPr>
          <w:rFonts w:ascii="Times New Roman" w:cs="Times New Roman" w:eastAsia="Times New Roman" w:hAnsi="Times New Roman"/>
          <w:sz w:val="18"/>
          <w:szCs w:val="18"/>
          <w:color w:val="auto"/>
        </w:rPr>
      </w:pPr>
    </w:p>
    <w:p>
      <w:pPr>
        <w:ind w:left="800" w:hanging="307"/>
        <w:spacing w:after="0"/>
        <w:tabs>
          <w:tab w:leader="none" w:pos="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2025, the Company issued one share of Series A Preferred Stock to Matthias Aydt for $100.00.</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Exchange Compliance &amp; Stockholder and Corporate Actions</w:t>
      </w:r>
    </w:p>
    <w:p>
      <w:pPr>
        <w:spacing w:after="0" w:line="151" w:lineRule="exact"/>
        <w:rPr>
          <w:sz w:val="20"/>
          <w:szCs w:val="20"/>
          <w:color w:val="auto"/>
        </w:rPr>
      </w:pPr>
    </w:p>
    <w:p>
      <w:pPr>
        <w:jc w:val="both"/>
        <w:ind w:left="800" w:hanging="307"/>
        <w:spacing w:after="0" w:line="253" w:lineRule="auto"/>
        <w:tabs>
          <w:tab w:leader="none" w:pos="79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2025, we filed a Certificate of Designation of Preferences, Rights and Limitations of Series A Preferred Stock (the “Series A Certificate of Designation”) with the Secretary of State of the State of Delaware. The Series A Certificate of Designation designated one share of our Preferred Stock as Series A Preferred Stock, and established and designated the preferences, rights and limitations thereof. The Series A Preferred Stock is not convertible into any other series of stock, but votes at a rate of 3,000,000,000 votes per share.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1" w:lineRule="exact"/>
        <w:rPr>
          <w:sz w:val="20"/>
          <w:szCs w:val="20"/>
          <w:color w:val="auto"/>
        </w:rPr>
      </w:pPr>
    </w:p>
    <w:p>
      <w:pPr>
        <w:ind w:left="800" w:hanging="307"/>
        <w:spacing w:after="0"/>
        <w:tabs>
          <w:tab w:leader="none" w:pos="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2025, we issued one share of Series A Preferred Stock to our Global Co-CEO, Matthias Aydt for the purchase price of $100.00.</w:t>
      </w:r>
    </w:p>
    <w:p>
      <w:pPr>
        <w:spacing w:after="0" w:line="21" w:lineRule="exact"/>
        <w:rPr>
          <w:rFonts w:ascii="Times New Roman" w:cs="Times New Roman" w:eastAsia="Times New Roman" w:hAnsi="Times New Roman"/>
          <w:sz w:val="18"/>
          <w:szCs w:val="18"/>
          <w:color w:val="auto"/>
        </w:rPr>
      </w:pPr>
    </w:p>
    <w:p>
      <w:pPr>
        <w:jc w:val="both"/>
        <w:ind w:left="800" w:hanging="307"/>
        <w:spacing w:after="0" w:line="224" w:lineRule="exact"/>
        <w:tabs>
          <w:tab w:leader="none" w:pos="79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2025, the Company filed a registration statement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to register for resale shares of Class A Common Stock issuable upon conversion of previously issued convertible notes and exercise of warrants. This filing was made to enable certain investors to resell shares obtained through earlier financing agreements.</w:t>
      </w:r>
    </w:p>
    <w:p>
      <w:pPr>
        <w:spacing w:after="0" w:line="24" w:lineRule="exact"/>
        <w:rPr>
          <w:rFonts w:ascii="Times New Roman" w:cs="Times New Roman" w:eastAsia="Times New Roman" w:hAnsi="Times New Roman"/>
          <w:sz w:val="18"/>
          <w:szCs w:val="18"/>
          <w:color w:val="auto"/>
        </w:rPr>
      </w:pPr>
    </w:p>
    <w:p>
      <w:pPr>
        <w:ind w:left="800" w:hanging="307"/>
        <w:spacing w:after="0" w:line="259" w:lineRule="auto"/>
        <w:tabs>
          <w:tab w:leader="none" w:pos="79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2025, we formally changed our Nasdaq ticker symbol to 'FFAI' to reflect our company’s rebranding around AI mobility. This symbol change reinforced our strategic emphasis on integrating artificial intelligence into our product and business ecosystem.</w:t>
      </w:r>
    </w:p>
    <w:p>
      <w:pPr>
        <w:spacing w:after="0" w:line="1" w:lineRule="exact"/>
        <w:rPr>
          <w:rFonts w:ascii="Times New Roman" w:cs="Times New Roman" w:eastAsia="Times New Roman" w:hAnsi="Times New Roman"/>
          <w:sz w:val="18"/>
          <w:szCs w:val="18"/>
          <w:color w:val="auto"/>
        </w:rPr>
      </w:pPr>
    </w:p>
    <w:p>
      <w:pPr>
        <w:ind w:left="800" w:hanging="307"/>
        <w:spacing w:after="0"/>
        <w:tabs>
          <w:tab w:leader="none" w:pos="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2025, we disclosed that our total capital raised since September 2024 exceeded $100 million.</w:t>
      </w:r>
    </w:p>
    <w:p>
      <w:pPr>
        <w:spacing w:after="0" w:line="43" w:lineRule="exact"/>
        <w:rPr>
          <w:rFonts w:ascii="Times New Roman" w:cs="Times New Roman" w:eastAsia="Times New Roman" w:hAnsi="Times New Roman"/>
          <w:sz w:val="18"/>
          <w:szCs w:val="18"/>
          <w:color w:val="auto"/>
        </w:rPr>
      </w:pPr>
    </w:p>
    <w:p>
      <w:pPr>
        <w:ind w:left="800" w:hanging="307"/>
        <w:spacing w:after="0"/>
        <w:tabs>
          <w:tab w:leader="none" w:pos="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2025, we confirmed that we will not pursue a reverse stock split unless required to maintain Nasdaq compliance.</w:t>
      </w:r>
    </w:p>
    <w:p>
      <w:pPr>
        <w:spacing w:after="0" w:line="43" w:lineRule="exact"/>
        <w:rPr>
          <w:rFonts w:ascii="Times New Roman" w:cs="Times New Roman" w:eastAsia="Times New Roman" w:hAnsi="Times New Roman"/>
          <w:sz w:val="18"/>
          <w:szCs w:val="18"/>
          <w:color w:val="auto"/>
        </w:rPr>
      </w:pPr>
    </w:p>
    <w:p>
      <w:pPr>
        <w:ind w:left="800" w:hanging="307"/>
        <w:spacing w:after="0" w:line="259" w:lineRule="auto"/>
        <w:tabs>
          <w:tab w:leader="none" w:pos="79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2025, the Company issued a formal statement addressing suspected illegal short selling and online misinformation campaigns, asserting a zero-tolerance policy for knowingly false and misleading public content.</w:t>
      </w:r>
    </w:p>
    <w:p>
      <w:pPr>
        <w:spacing w:after="0" w:line="1" w:lineRule="exact"/>
        <w:rPr>
          <w:rFonts w:ascii="Times New Roman" w:cs="Times New Roman" w:eastAsia="Times New Roman" w:hAnsi="Times New Roman"/>
          <w:sz w:val="18"/>
          <w:szCs w:val="18"/>
          <w:color w:val="auto"/>
        </w:rPr>
      </w:pPr>
    </w:p>
    <w:p>
      <w:pPr>
        <w:ind w:left="800" w:hanging="307"/>
        <w:spacing w:after="0" w:line="267" w:lineRule="auto"/>
        <w:tabs>
          <w:tab w:leader="none" w:pos="79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2025, the Company amended its charter to increase authorized common shares by 38 million and preferred shares by 2.9 million, expanding total authorized shares to 180.1 million to support growth initiatives including the FX Super One launch and strategic transactions.</w:t>
      </w:r>
    </w:p>
    <w:p>
      <w:pPr>
        <w:spacing w:after="0" w:line="1" w:lineRule="exact"/>
        <w:rPr>
          <w:rFonts w:ascii="Times New Roman" w:cs="Times New Roman" w:eastAsia="Times New Roman" w:hAnsi="Times New Roman"/>
          <w:sz w:val="18"/>
          <w:szCs w:val="18"/>
          <w:color w:val="auto"/>
        </w:rPr>
      </w:pPr>
    </w:p>
    <w:p>
      <w:pPr>
        <w:ind w:left="800" w:hanging="307"/>
        <w:spacing w:after="0" w:line="267" w:lineRule="auto"/>
        <w:tabs>
          <w:tab w:leader="none" w:pos="79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2025, at the Annual Meeting, stockholders approved the issuance of up to 61.9 million shares of Class A Common Stock under the March 2025 Securities Purchase Agreement, as required by Nasdaq Listing Rule 5635(d), and reelected all five directors with over 95% support.</w:t>
      </w:r>
    </w:p>
    <w:p>
      <w:pPr>
        <w:spacing w:after="0" w:line="1" w:lineRule="exact"/>
        <w:rPr>
          <w:rFonts w:ascii="Times New Roman" w:cs="Times New Roman" w:eastAsia="Times New Roman" w:hAnsi="Times New Roman"/>
          <w:sz w:val="18"/>
          <w:szCs w:val="18"/>
          <w:color w:val="auto"/>
        </w:rPr>
      </w:pPr>
    </w:p>
    <w:p>
      <w:pPr>
        <w:ind w:left="800" w:hanging="307"/>
        <w:spacing w:after="0" w:line="248" w:lineRule="auto"/>
        <w:tabs>
          <w:tab w:leader="none" w:pos="79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2025, the Company filed a certificate of elimination with the Delaware Secretary of State to formally cancel the Series A Preferred Stock from its charter, following the full redemption of the single outstanding share originally issued in January 2025.</w:t>
      </w:r>
    </w:p>
    <w:p>
      <w:pPr>
        <w:spacing w:after="0" w:line="1" w:lineRule="exact"/>
        <w:rPr>
          <w:rFonts w:ascii="Times New Roman" w:cs="Times New Roman" w:eastAsia="Times New Roman" w:hAnsi="Times New Roman"/>
          <w:sz w:val="18"/>
          <w:szCs w:val="18"/>
          <w:color w:val="auto"/>
        </w:rPr>
      </w:pPr>
    </w:p>
    <w:p>
      <w:pPr>
        <w:jc w:val="both"/>
        <w:ind w:left="800" w:hanging="307"/>
        <w:spacing w:after="0" w:line="197" w:lineRule="exact"/>
        <w:tabs>
          <w:tab w:leader="none" w:pos="79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2025, the Company filed two amendments to its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registration statement to update and expand the number of registered shares registered thereunder. These shares relate to Class A Common Stock issuable from convertible notes, warrants, and settlement of vendor obligations under financing agreements completed in December 2024 and March 2025. The purpose of these filings was to provide resale registration for existing investors and vendors holding conversion and settlement rights.</w:t>
      </w:r>
    </w:p>
    <w:p>
      <w:pPr>
        <w:spacing w:after="0" w:line="24" w:lineRule="exact"/>
        <w:rPr>
          <w:rFonts w:ascii="Times New Roman" w:cs="Times New Roman" w:eastAsia="Times New Roman" w:hAnsi="Times New Roman"/>
          <w:sz w:val="18"/>
          <w:szCs w:val="18"/>
          <w:color w:val="auto"/>
        </w:rPr>
      </w:pPr>
    </w:p>
    <w:p>
      <w:pPr>
        <w:jc w:val="both"/>
        <w:ind w:left="800" w:hanging="307"/>
        <w:spacing w:after="0" w:line="250" w:lineRule="auto"/>
        <w:tabs>
          <w:tab w:leader="none" w:pos="79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2025, the Company regained eligibility to access its At-The-Market (“ATM”) offering program and file new registration statements on Form S-3, following the timely filing of its Q2 2025 Form 10-Q. This development provides greater flexibility in capital raising, enabling the Company to access the public equity markets more efficiently without relying solely on convertible debt financing or the more burdensome Form S-1. The reinstatement of Form S-3 eligibility also streamlines the registration process for future equity issuances, reduces regulatory filing complexity, and supports the Company’s strategic capital planning initiatives.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Governance</w:t>
      </w:r>
    </w:p>
    <w:p>
      <w:pPr>
        <w:spacing w:after="0" w:line="138" w:lineRule="exact"/>
        <w:rPr>
          <w:sz w:val="20"/>
          <w:szCs w:val="20"/>
          <w:color w:val="auto"/>
        </w:rPr>
      </w:pPr>
    </w:p>
    <w:p>
      <w:pPr>
        <w:ind w:left="800" w:hanging="307"/>
        <w:spacing w:after="0"/>
        <w:tabs>
          <w:tab w:leader="none" w:pos="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2025, the consolidated class action lawsuit filed in Delaware was dismissed with prejudice, resolving all litigation of this type.</w:t>
      </w:r>
    </w:p>
    <w:p>
      <w:pPr>
        <w:spacing w:after="0" w:line="43" w:lineRule="exact"/>
        <w:rPr>
          <w:rFonts w:ascii="Times New Roman" w:cs="Times New Roman" w:eastAsia="Times New Roman" w:hAnsi="Times New Roman"/>
          <w:sz w:val="18"/>
          <w:szCs w:val="18"/>
          <w:color w:val="auto"/>
        </w:rPr>
      </w:pPr>
    </w:p>
    <w:p>
      <w:pPr>
        <w:jc w:val="both"/>
        <w:ind w:left="800" w:hanging="307"/>
        <w:spacing w:after="0" w:line="292" w:lineRule="auto"/>
        <w:tabs>
          <w:tab w:leader="none" w:pos="795"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March 2025, Jerry Wang was promoted to President of the Company. At the time, he reported to the sole Global CEO. Following the April 2025 appointment of Yueting Jia as Global Co-CEO (see below), Mr. Wang now reports to both Global Co-CEOs as part of the Company’s current dual-CEO leadership structure. His role continues to focus on overseeing day-to-day business operations and driving alignment across global functions.</w:t>
      </w:r>
    </w:p>
    <w:p>
      <w:pPr>
        <w:spacing w:after="0" w:line="1" w:lineRule="exact"/>
        <w:rPr>
          <w:rFonts w:ascii="Times New Roman" w:cs="Times New Roman" w:eastAsia="Times New Roman" w:hAnsi="Times New Roman"/>
          <w:sz w:val="16"/>
          <w:szCs w:val="16"/>
          <w:color w:val="auto"/>
        </w:rPr>
      </w:pPr>
    </w:p>
    <w:p>
      <w:pPr>
        <w:jc w:val="both"/>
        <w:ind w:left="800" w:hanging="307"/>
        <w:spacing w:after="0" w:line="253" w:lineRule="auto"/>
        <w:tabs>
          <w:tab w:leader="none" w:pos="79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2025, Yueting Jia, our founder, was promoted to Global Co-Chief Executive Officer (“Global Co-CEO”). Mr. Jia will co-lead the Company alongside Matthias Aydt, our other Global Co-CEO, with a focus on advancing user ecosystem development, supply chain management, EV R&amp;D, finance, legal, and our China and Middle East operations. The appointment aligns with our broader strategic initiatives to enhance execution efficiency, strengthen our AI mobility leadership, and drive long-term shareholder value.</w:t>
      </w:r>
    </w:p>
    <w:p>
      <w:pPr>
        <w:spacing w:after="0" w:line="24" w:lineRule="exact"/>
        <w:rPr>
          <w:rFonts w:ascii="Times New Roman" w:cs="Times New Roman" w:eastAsia="Times New Roman" w:hAnsi="Times New Roman"/>
          <w:sz w:val="18"/>
          <w:szCs w:val="18"/>
          <w:color w:val="auto"/>
        </w:rPr>
      </w:pPr>
    </w:p>
    <w:p>
      <w:pPr>
        <w:ind w:left="800" w:hanging="307"/>
        <w:spacing w:after="0"/>
        <w:tabs>
          <w:tab w:leader="none" w:pos="800" w:val="left"/>
        </w:tabs>
        <w:numPr>
          <w:ilvl w:val="0"/>
          <w:numId w:val="58"/>
        </w:numPr>
        <w:rPr>
          <w:rFonts w:ascii="Arial" w:cs="Arial" w:eastAsia="Arial" w:hAnsi="Arial"/>
          <w:sz w:val="21"/>
          <w:szCs w:val="21"/>
          <w:color w:val="auto"/>
        </w:rPr>
      </w:pPr>
      <w:r>
        <w:rPr>
          <w:rFonts w:ascii="Times New Roman" w:cs="Times New Roman" w:eastAsia="Times New Roman" w:hAnsi="Times New Roman"/>
          <w:sz w:val="18"/>
          <w:szCs w:val="18"/>
          <w:color w:val="auto"/>
        </w:rPr>
        <w:t>In April 2025, we confirmed that we will not pursue a reverse stock split unless required to maintain Nasdaq compliance.</w:t>
      </w:r>
    </w:p>
    <w:p>
      <w:pPr>
        <w:spacing w:after="0" w:line="21" w:lineRule="exact"/>
        <w:rPr>
          <w:rFonts w:ascii="Arial" w:cs="Arial" w:eastAsia="Arial" w:hAnsi="Arial"/>
          <w:sz w:val="21"/>
          <w:szCs w:val="21"/>
          <w:color w:val="auto"/>
        </w:rPr>
      </w:pPr>
    </w:p>
    <w:p>
      <w:pPr>
        <w:ind w:left="800" w:hanging="307"/>
        <w:spacing w:after="0" w:line="248" w:lineRule="auto"/>
        <w:tabs>
          <w:tab w:leader="none" w:pos="79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2025, the Company formalized YT Jia’s appointment as Global Co-CEO under a new “Stockholders First” equity incentive plan, which ties his long-term compensation to improvements in market capitalization and share price performance.</w:t>
      </w:r>
    </w:p>
    <w:p>
      <w:pPr>
        <w:spacing w:after="0" w:line="1" w:lineRule="exact"/>
        <w:rPr>
          <w:rFonts w:ascii="Times New Roman" w:cs="Times New Roman" w:eastAsia="Times New Roman" w:hAnsi="Times New Roman"/>
          <w:sz w:val="18"/>
          <w:szCs w:val="18"/>
          <w:color w:val="auto"/>
        </w:rPr>
      </w:pPr>
    </w:p>
    <w:p>
      <w:pPr>
        <w:jc w:val="both"/>
        <w:ind w:left="800" w:hanging="307"/>
        <w:spacing w:after="0" w:line="229" w:lineRule="auto"/>
        <w:tabs>
          <w:tab w:leader="none" w:pos="79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2025, the Company announced that Global Co-CEO YT Jia and President Jerry Wang each adopted SEC Rule 10b5-1 stock purchase plans, with trades expected to begin in August 2025; Mr. Jia plans to purchase $560,000 and Mr. Wang plans to purchase $50,000 of Class A Common Stock, with both executives committing not to amend or terminate their plans once effective.</w:t>
      </w:r>
    </w:p>
    <w:p>
      <w:pPr>
        <w:spacing w:after="0" w:line="1" w:lineRule="exact"/>
        <w:rPr>
          <w:rFonts w:ascii="Times New Roman" w:cs="Times New Roman" w:eastAsia="Times New Roman" w:hAnsi="Times New Roman"/>
          <w:sz w:val="18"/>
          <w:szCs w:val="18"/>
          <w:color w:val="auto"/>
        </w:rPr>
      </w:pPr>
    </w:p>
    <w:p>
      <w:pPr>
        <w:ind w:left="800" w:hanging="307"/>
        <w:spacing w:after="0" w:line="207" w:lineRule="exact"/>
        <w:tabs>
          <w:tab w:leader="none" w:pos="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2025, Mr. Koti Meka, Chief Financial Officer, adopted a Rule 10b5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trading plan on June 12, 2025,</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providing for the purchase of up to $20,000 of the Company’s Class A common stock.</w:t>
      </w:r>
    </w:p>
    <w:p>
      <w:pPr>
        <w:spacing w:after="0" w:line="30" w:lineRule="exact"/>
        <w:rPr>
          <w:sz w:val="20"/>
          <w:szCs w:val="20"/>
          <w:color w:val="auto"/>
        </w:rPr>
      </w:pPr>
    </w:p>
    <w:p>
      <w:pPr>
        <w:jc w:val="both"/>
        <w:ind w:left="800" w:hanging="307"/>
        <w:spacing w:after="0" w:line="250" w:lineRule="auto"/>
        <w:tabs>
          <w:tab w:leader="none" w:pos="79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2025, the Company and certain executives, including Global Co-CEO Yueting Jia and President Jerry Wang, received Wells Notices from the SEC. A Wells Notice is a notification from SEC staff that they are considering recommending enforcement action for alleged violations of securities laws; it is not a formal charge or a final determination. The SEC’s preliminary findings relate to alleged false or misleading statements during the Company’s 2021 PIPE (Private Investment in Public Equity) and SPAC (Special Purpose Acquisition Company) transactions. The Company and executives plan to engage with the SEC to explain why enforcement action is not warranted.</w:t>
      </w:r>
    </w:p>
    <w:p>
      <w:pPr>
        <w:spacing w:after="0" w:line="16" w:lineRule="exact"/>
        <w:rPr>
          <w:rFonts w:ascii="Times New Roman" w:cs="Times New Roman" w:eastAsia="Times New Roman" w:hAnsi="Times New Roman"/>
          <w:sz w:val="18"/>
          <w:szCs w:val="18"/>
          <w:color w:val="auto"/>
        </w:rPr>
      </w:pPr>
    </w:p>
    <w:p>
      <w:pPr>
        <w:jc w:val="both"/>
        <w:ind w:left="800" w:hanging="307"/>
        <w:spacing w:after="0" w:line="257" w:lineRule="auto"/>
        <w:tabs>
          <w:tab w:leader="none" w:pos="79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2025, the Board approved compensation adjustments for Chief Financial Officer Koti Meka: his base salary increased from $350,000 to $380,000 effective August 16, 2025; he was granted additional restricted stock units valued at $400,000 based on the August 16, 2025 closing price; and he will receive a $30,000 cash bonus payable on August 31, 2025.</w:t>
      </w:r>
    </w:p>
    <w:p>
      <w:pPr>
        <w:spacing w:after="0" w:line="7" w:lineRule="exact"/>
        <w:rPr>
          <w:rFonts w:ascii="Times New Roman" w:cs="Times New Roman" w:eastAsia="Times New Roman" w:hAnsi="Times New Roman"/>
          <w:sz w:val="18"/>
          <w:szCs w:val="18"/>
          <w:color w:val="auto"/>
        </w:rPr>
      </w:pPr>
    </w:p>
    <w:p>
      <w:pPr>
        <w:jc w:val="both"/>
        <w:ind w:left="800" w:hanging="307"/>
        <w:spacing w:after="0" w:line="257" w:lineRule="auto"/>
        <w:tabs>
          <w:tab w:leader="none" w:pos="79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2025, the Board approved temporary governance adjustments during the SEC investigation, excluding Global Co-CEO Yueting Jia from oversight of finance, legal, accounting, and public reporting functions. These responsibilities were consolidated under Global Co-CEO Matthias Aydt until the investigation concludes.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Chain Exposure and Tariff Risk</w:t>
      </w:r>
    </w:p>
    <w:p>
      <w:pPr>
        <w:spacing w:after="0" w:line="151"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As of June 30, 2025, a significant portion of the Company’s direct material purchases were sourced from suppliers based in China. This concentration presents an ongoing risk given elevated U.S. import tariffs on electric vehicle components. While the Company’s cost of goods sold was not materially affected for the three and six months ended June 30, 2025, due to limited production volume and the use of existing inventory, continued reliance on China-based sourcing may result in higher input costs and materially impact the Company’s cost structure as production scales.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24" w:lineRule="exact"/>
        <w:rPr>
          <w:sz w:val="20"/>
          <w:szCs w:val="20"/>
          <w:color w:val="auto"/>
        </w:rPr>
      </w:pPr>
    </w:p>
    <w:p>
      <w:pPr>
        <w:jc w:val="both"/>
        <w:ind w:firstLine="633"/>
        <w:spacing w:after="0" w:line="287" w:lineRule="auto"/>
        <w:rPr>
          <w:sz w:val="20"/>
          <w:szCs w:val="20"/>
          <w:color w:val="auto"/>
        </w:rPr>
      </w:pPr>
      <w:r>
        <w:rPr>
          <w:rFonts w:ascii="Times New Roman" w:cs="Times New Roman" w:eastAsia="Times New Roman" w:hAnsi="Times New Roman"/>
          <w:sz w:val="16"/>
          <w:szCs w:val="16"/>
          <w:color w:val="auto"/>
        </w:rPr>
        <w:t>We operate in a single operating and reportable segment. Through August 12, 2025, our two Global Co-Chief Executive Officers (“Global Co-CEOs”) acted jointly as Co-Chief Operating Decision Makers (“CODMs”) and regularly evaluated the our financial performance using consolidated information at the total-company level, including consolidated loss from operations, cash flows, liquidity, and strategic initiatives. Effective August 13, 2025, in connection with temporary governance adjustments approved by the Board, Mr. Matthias Aydt serves as our sole CODM for purposes of ASC 280 (see Note 16).</w:t>
      </w:r>
    </w:p>
    <w:p>
      <w:pPr>
        <w:spacing w:after="0" w:line="78" w:lineRule="exact"/>
        <w:rPr>
          <w:sz w:val="20"/>
          <w:szCs w:val="20"/>
          <w:color w:val="auto"/>
        </w:rPr>
      </w:pPr>
    </w:p>
    <w:p>
      <w:pPr>
        <w:jc w:val="both"/>
        <w:ind w:firstLine="475"/>
        <w:spacing w:after="0" w:line="249" w:lineRule="auto"/>
        <w:rPr>
          <w:sz w:val="20"/>
          <w:szCs w:val="20"/>
          <w:color w:val="auto"/>
        </w:rPr>
      </w:pPr>
      <w:r>
        <w:rPr>
          <w:rFonts w:ascii="Times New Roman" w:cs="Times New Roman" w:eastAsia="Times New Roman" w:hAnsi="Times New Roman"/>
          <w:sz w:val="18"/>
          <w:szCs w:val="18"/>
          <w:color w:val="auto"/>
        </w:rPr>
        <w:t>Management has identified Loss from operations, as presented in the Company's Unaudited Condensed Consolidated Statements of Operations and Comprehensive Loss, as the primary measure used by the CODMs to evaluate the performance of the business and allocate resources. This measure is critical for a going concern that must carefully manage its cash outflows, particularly given that the timing of its cash inflows is influenced by external investor decisions. We define “significant segment expense” as controllable operating costs that are regularly provided to and reviewed by management, which include the expenses presented in the Unaudited Condensed Consolidated Statements of Operations and Comprehensive Loss as Cost of revenue, Research and development, Sales and marketing, and General and administrative.</w:t>
      </w:r>
    </w:p>
    <w:p>
      <w:pPr>
        <w:spacing w:after="0" w:line="84" w:lineRule="exact"/>
        <w:rPr>
          <w:sz w:val="20"/>
          <w:szCs w:val="20"/>
          <w:color w:val="auto"/>
        </w:rPr>
      </w:pPr>
    </w:p>
    <w:p>
      <w:pPr>
        <w:jc w:val="both"/>
        <w:ind w:firstLine="475"/>
        <w:spacing w:after="0" w:line="220" w:lineRule="exact"/>
        <w:rPr>
          <w:sz w:val="20"/>
          <w:szCs w:val="20"/>
          <w:color w:val="auto"/>
        </w:rPr>
      </w:pPr>
      <w:r>
        <w:rPr>
          <w:rFonts w:ascii="Times New Roman" w:cs="Times New Roman" w:eastAsia="Times New Roman" w:hAnsi="Times New Roman"/>
          <w:sz w:val="18"/>
          <w:szCs w:val="18"/>
          <w:color w:val="auto"/>
        </w:rPr>
        <w:t>Management closely tracks its expenditure on these key expense categories through regular reviews of cash balances, near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cash flow projections, monthly management reports, and project management reports. The CODMs, work in close collaboration with our business leaders to establish critical operational targets, set project timelines, and adjust spending plans. These leaders are responsible for implementing its strategic plans and revising targets and deadlines based on continuous internal communications and review meetings, thereby ensuring that any deviations from target spending or project timelines are promptly addressed. This rigorous oversight supports our strategic objectives to focus business activities on production, sales, and leasing of its FF 91 vehicles, and the planned launch of the FX Series vehicles.</w:t>
      </w:r>
    </w:p>
    <w:p>
      <w:pPr>
        <w:spacing w:after="0" w:line="117" w:lineRule="exact"/>
        <w:rPr>
          <w:sz w:val="20"/>
          <w:szCs w:val="20"/>
          <w:color w:val="auto"/>
        </w:rPr>
      </w:pPr>
    </w:p>
    <w:p>
      <w:pPr>
        <w:jc w:val="both"/>
        <w:ind w:firstLine="475"/>
        <w:spacing w:after="0" w:line="214" w:lineRule="exact"/>
        <w:rPr>
          <w:sz w:val="20"/>
          <w:szCs w:val="20"/>
          <w:color w:val="auto"/>
        </w:rPr>
      </w:pPr>
      <w:r>
        <w:rPr>
          <w:rFonts w:ascii="Times New Roman" w:cs="Times New Roman" w:eastAsia="Times New Roman" w:hAnsi="Times New Roman"/>
          <w:sz w:val="18"/>
          <w:szCs w:val="18"/>
          <w:color w:val="auto"/>
        </w:rPr>
        <w:t>In addition, the Company defines “other segment items” as other operating expense adjustments that arise from lease or other impairments, gains and losses on the sale or disposition of its fixed assets, or other market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driven factors that impact Loss from operations presented in the Unaudited Condensed Consolidated Statements of Operations and Comprehensive Loss and are not part of our recurring and controllable operating costs. By segregating these “Other Segment Items” from “loss from operations,” we provide investors with a clear view of the expenses that management can directly influence versus those driven by external factors.</w:t>
      </w:r>
    </w:p>
    <w:p>
      <w:pPr>
        <w:spacing w:after="0" w:line="131"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Other potentially reportable items, such as separate automotive sales and leasing revenues (currently immaterial), geographic information, depreciation expense, interest expense, or other segment-specific activities, are not separately reviewed by the CODMs. Accordingly, these detailed segment components do not influence the CODM's decision-making or resource allocation processes and thus are not separately disclosed.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51"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Any such election to not take advantage of the extended transition period is irrevocable.</w:t>
      </w:r>
    </w:p>
    <w:p>
      <w:pPr>
        <w:spacing w:after="0" w:line="116" w:lineRule="exact"/>
        <w:rPr>
          <w:sz w:val="20"/>
          <w:szCs w:val="20"/>
          <w:color w:val="auto"/>
        </w:rPr>
      </w:pPr>
    </w:p>
    <w:p>
      <w:pPr>
        <w:jc w:val="both"/>
        <w:ind w:firstLine="475"/>
        <w:spacing w:after="0" w:line="249"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and has elected to take advantage of the benefits of the extended transition period for new or revised financial accounting standards. We expect to continue to take advantage of the benefits of the extended transition period, although we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Factors Affecting Operating Results</w:t>
      </w:r>
    </w:p>
    <w:p>
      <w:pPr>
        <w:spacing w:after="0" w:line="140" w:lineRule="exact"/>
        <w:rPr>
          <w:sz w:val="20"/>
          <w:szCs w:val="20"/>
          <w:color w:val="auto"/>
        </w:rPr>
      </w:pPr>
    </w:p>
    <w:p>
      <w:pPr>
        <w:jc w:val="both"/>
        <w:ind w:firstLine="475"/>
        <w:spacing w:after="0" w:line="269" w:lineRule="auto"/>
        <w:rPr>
          <w:sz w:val="20"/>
          <w:szCs w:val="20"/>
          <w:color w:val="auto"/>
        </w:rPr>
      </w:pPr>
      <w:r>
        <w:rPr>
          <w:rFonts w:ascii="Times New Roman" w:cs="Times New Roman" w:eastAsia="Times New Roman" w:hAnsi="Times New Roman"/>
          <w:sz w:val="18"/>
          <w:szCs w:val="18"/>
          <w:color w:val="auto"/>
        </w:rPr>
        <w:t>Our performance and future success depend on several factors that present significant opportunities but also pose risks and challenges including those discussed below and, in the section, titled “Risk Factors” in Item 1A of the Form 10-K, filed on March 31, 2025.</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Production and Operations</w:t>
      </w:r>
    </w:p>
    <w:p>
      <w:pPr>
        <w:spacing w:after="0" w:line="151" w:lineRule="exact"/>
        <w:rPr>
          <w:sz w:val="20"/>
          <w:szCs w:val="20"/>
          <w:color w:val="auto"/>
        </w:rPr>
      </w:pPr>
    </w:p>
    <w:p>
      <w:pPr>
        <w:jc w:val="both"/>
        <w:ind w:firstLine="475"/>
        <w:spacing w:after="0" w:line="249" w:lineRule="auto"/>
        <w:rPr>
          <w:sz w:val="20"/>
          <w:szCs w:val="20"/>
          <w:color w:val="auto"/>
        </w:rPr>
      </w:pPr>
      <w:r>
        <w:rPr>
          <w:rFonts w:ascii="Times New Roman" w:cs="Times New Roman" w:eastAsia="Times New Roman" w:hAnsi="Times New Roman"/>
          <w:sz w:val="18"/>
          <w:szCs w:val="18"/>
          <w:color w:val="auto"/>
        </w:rPr>
        <w:t>We expect to continue to incur significant operating costs that will impact our future profitability, including R&amp;D expenses as we introduce new models and improve existing models; capital expenditures for the expansion of our manufacturing capacities; additional operating costs and expenses for production ramp-up; raw material procurement costs; general and administrative expenses as we scale our operations; interest expense from debt financing activities; and selling and distribution expenses as we builds our brand and markets our vehicles. We may incur significant costs in connection with our services as we deliver at scale the FF 91 Futurist, including servicing and warranty costs. Our ability to become profitable in the future will depend on our ability to successfully market our vehicles and control our costs.</w:t>
      </w:r>
    </w:p>
    <w:p>
      <w:pPr>
        <w:spacing w:after="0" w:line="110" w:lineRule="exact"/>
        <w:rPr>
          <w:sz w:val="20"/>
          <w:szCs w:val="20"/>
          <w:color w:val="auto"/>
        </w:rPr>
      </w:pPr>
    </w:p>
    <w:p>
      <w:pPr>
        <w:jc w:val="both"/>
        <w:ind w:firstLine="475"/>
        <w:spacing w:after="0" w:line="248" w:lineRule="auto"/>
        <w:rPr>
          <w:sz w:val="20"/>
          <w:szCs w:val="20"/>
          <w:color w:val="auto"/>
        </w:rPr>
      </w:pPr>
      <w:r>
        <w:rPr>
          <w:rFonts w:ascii="Times New Roman" w:cs="Times New Roman" w:eastAsia="Times New Roman" w:hAnsi="Times New Roman"/>
          <w:sz w:val="18"/>
          <w:szCs w:val="18"/>
          <w:color w:val="auto"/>
        </w:rPr>
        <w:t xml:space="preserve">Through June 30, 2025, we have sold seven and leased eleven vehicles. As a result, we will require substantial additional capital to develop products and fund operations for the foreseeable future. Until we can generate sufficient revenue from product sales, we will fund our ongoing operations through a combination of various funding and financing alternatives, including equipment financing of the FF ieFactory California, secured syndicated debt financing, convertible notes, working capital loans, and equity offerings, among other options. The particular funding mechanisms, terms, timing, and amounts are dependent on our assessment of opportunities available in the marketplace and the circumstances of the business at the relevant time. Any delays in the successful completion of its FF ieFactory California will impact our ability to generate revenue. For additional discussion of the substantial doubt about our ability to continue as a going concern, see Note 2, </w:t>
      </w:r>
      <w:r>
        <w:rPr>
          <w:rFonts w:ascii="Times New Roman" w:cs="Times New Roman" w:eastAsia="Times New Roman" w:hAnsi="Times New Roman"/>
          <w:sz w:val="18"/>
          <w:szCs w:val="18"/>
          <w:i w:val="1"/>
          <w:iCs w:val="1"/>
          <w:color w:val="auto"/>
        </w:rPr>
        <w:t>Liquidity and Capital Resources and Going Concern</w:t>
      </w:r>
      <w:r>
        <w:rPr>
          <w:rFonts w:ascii="Times New Roman" w:cs="Times New Roman" w:eastAsia="Times New Roman" w:hAnsi="Times New Roman"/>
          <w:sz w:val="18"/>
          <w:szCs w:val="18"/>
          <w:color w:val="auto"/>
        </w:rPr>
        <w:t xml:space="preserve"> in the notes to the Unaudited Condensed Consolidated Financial Statements and for further details on liquidity, please see the “Liquidity and Capital Resources” section below.</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and Cost of Revenue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Automotive Sales Revenue</w:t>
      </w:r>
    </w:p>
    <w:p>
      <w:pPr>
        <w:spacing w:after="0" w:line="138" w:lineRule="exact"/>
        <w:rPr>
          <w:sz w:val="20"/>
          <w:szCs w:val="20"/>
          <w:color w:val="auto"/>
        </w:rPr>
      </w:pPr>
    </w:p>
    <w:p>
      <w:pPr>
        <w:jc w:val="both"/>
        <w:ind w:firstLine="475"/>
        <w:spacing w:after="0" w:line="269" w:lineRule="auto"/>
        <w:rPr>
          <w:sz w:val="20"/>
          <w:szCs w:val="20"/>
          <w:color w:val="auto"/>
        </w:rPr>
      </w:pPr>
      <w:r>
        <w:rPr>
          <w:rFonts w:ascii="Times New Roman" w:cs="Times New Roman" w:eastAsia="Times New Roman" w:hAnsi="Times New Roman"/>
          <w:sz w:val="18"/>
          <w:szCs w:val="18"/>
          <w:color w:val="auto"/>
        </w:rPr>
        <w:t>We began the production of our FF 91 Futurist in March 2023 and started making deliveries to customers in August 2023 and have sold one vehicle during the six months ended June 30, 2025.</w:t>
      </w:r>
    </w:p>
    <w:p>
      <w:pPr>
        <w:spacing w:after="0" w:line="103" w:lineRule="exact"/>
        <w:rPr>
          <w:sz w:val="20"/>
          <w:szCs w:val="20"/>
          <w:color w:val="auto"/>
        </w:rPr>
      </w:pPr>
    </w:p>
    <w:p>
      <w:pPr>
        <w:jc w:val="both"/>
        <w:ind w:firstLine="475"/>
        <w:spacing w:after="0" w:line="269" w:lineRule="auto"/>
        <w:rPr>
          <w:sz w:val="20"/>
          <w:szCs w:val="20"/>
          <w:color w:val="auto"/>
        </w:rPr>
      </w:pPr>
      <w:r>
        <w:rPr>
          <w:rFonts w:ascii="Times New Roman" w:cs="Times New Roman" w:eastAsia="Times New Roman" w:hAnsi="Times New Roman"/>
          <w:sz w:val="18"/>
          <w:szCs w:val="18"/>
          <w:color w:val="auto"/>
        </w:rPr>
        <w:t>Automotive sales revenue includes revenues related to deliveries of new vehicles, and specific other features and services including home charger, charger installation, twenty-four-seven roadside assistance, OTA software updates, internet connectivity and destination fees.</w:t>
      </w:r>
    </w:p>
    <w:p>
      <w:pPr>
        <w:spacing w:after="0" w:line="103" w:lineRule="exact"/>
        <w:rPr>
          <w:sz w:val="20"/>
          <w:szCs w:val="20"/>
          <w:color w:val="auto"/>
        </w:rPr>
      </w:pPr>
    </w:p>
    <w:p>
      <w:pPr>
        <w:jc w:val="both"/>
        <w:ind w:firstLine="475"/>
        <w:spacing w:after="0" w:line="250" w:lineRule="auto"/>
        <w:rPr>
          <w:sz w:val="20"/>
          <w:szCs w:val="20"/>
          <w:color w:val="auto"/>
        </w:rPr>
      </w:pPr>
      <w:r>
        <w:rPr>
          <w:rFonts w:ascii="Times New Roman" w:cs="Times New Roman" w:eastAsia="Times New Roman" w:hAnsi="Times New Roman"/>
          <w:sz w:val="18"/>
          <w:szCs w:val="18"/>
          <w:color w:val="auto"/>
        </w:rPr>
        <w:t>We recognize revenue on automotive sales upon delivery to the customer, which is when control of vehicle transfers. Payments are typically received at the point control transfers or in accordance with payment terms customary to the business and as indicated in the sales contract. OTA software updates are provisioned upon transfer of control of a vehicle and recognized over time on a straight-line basis as we have a stand-ready obligation to deliver such services to the customer. For obligations related to automotive sales, we estimate the standalone selling price by considering costs used to develop and deliver the good or service, third-party pricing of similar options and other information that may be available. The transaction</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4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price is allocated among the performance obligations in proportion to the standalone selling price of our performance obligations. Vehicle contracts do not contain a significant financing component.</w:t>
      </w:r>
    </w:p>
    <w:p>
      <w:pPr>
        <w:spacing w:after="0" w:line="103" w:lineRule="exact"/>
        <w:rPr>
          <w:sz w:val="20"/>
          <w:szCs w:val="20"/>
          <w:color w:val="auto"/>
        </w:rPr>
      </w:pPr>
    </w:p>
    <w:p>
      <w:pPr>
        <w:jc w:val="both"/>
        <w:ind w:firstLine="475"/>
        <w:spacing w:after="0" w:line="269" w:lineRule="auto"/>
        <w:rPr>
          <w:sz w:val="20"/>
          <w:szCs w:val="20"/>
          <w:color w:val="auto"/>
        </w:rPr>
      </w:pPr>
      <w:r>
        <w:rPr>
          <w:rFonts w:ascii="Times New Roman" w:cs="Times New Roman" w:eastAsia="Times New Roman" w:hAnsi="Times New Roman"/>
          <w:sz w:val="18"/>
          <w:szCs w:val="18"/>
          <w:color w:val="auto"/>
        </w:rPr>
        <w:t>Revenue from immaterial promises is combined with the vehicle performance obligation and recognized when the product has been transferred. We accrue costs to transfer these immaterial goods and services regardless of whether they have been transferred.</w:t>
      </w:r>
    </w:p>
    <w:p>
      <w:pPr>
        <w:spacing w:after="0" w:line="103"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In certain circumstances, we provide customers with a residual value guarantee which may or may not be exercised in the future. The impact of such residual value guarantees was immaterial to our Unaudited Condensed Consolidated Statements of Operations and Comprehensive Loss for the three and six months ended June 30, 2025.</w:t>
      </w:r>
    </w:p>
    <w:p>
      <w:pPr>
        <w:spacing w:after="0" w:line="100" w:lineRule="exact"/>
        <w:rPr>
          <w:sz w:val="20"/>
          <w:szCs w:val="20"/>
          <w:color w:val="auto"/>
        </w:rPr>
      </w:pPr>
    </w:p>
    <w:p>
      <w:pPr>
        <w:jc w:val="both"/>
        <w:ind w:firstLine="475"/>
        <w:spacing w:after="0" w:line="248" w:lineRule="auto"/>
        <w:rPr>
          <w:sz w:val="20"/>
          <w:szCs w:val="20"/>
          <w:color w:val="auto"/>
        </w:rPr>
      </w:pPr>
      <w:r>
        <w:rPr>
          <w:rFonts w:ascii="Times New Roman" w:cs="Times New Roman" w:eastAsia="Times New Roman" w:hAnsi="Times New Roman"/>
          <w:sz w:val="18"/>
          <w:szCs w:val="18"/>
          <w:color w:val="auto"/>
        </w:rPr>
        <w:t>We have entered into, and may continue to enter into, co-creator consulting agreements with our customers under which customers share feedback, driving data, ideas, experiences with our engineers, social media posts, and other promotional activities in exchange for specified fees. We evaluate the economic substance of these co-creation agreements to determine whether they should be combined with customer sales contracts under the contract combination guidance in ASC 606. When the contracts are economically linked, we account for them as a single arrangement. Under this approach, the cash inflows from the customer and the cash outflows from us are netted and treated as a single transaction. The resulting net amount is recorded as marketing expense. In situations where the net amount is less than the vehicle’s sale price or the contractual lease payment, the difference between the net amount and the sale price or lease payment is recognized as revenue.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Automotive Leasing Revenue</w:t>
      </w:r>
    </w:p>
    <w:p>
      <w:pPr>
        <w:spacing w:after="0" w:line="14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u w:val="single" w:color="auto"/>
          <w:color w:val="auto"/>
        </w:rPr>
        <w:t>Revenue from Operating Leasing Program</w:t>
      </w:r>
    </w:p>
    <w:p>
      <w:pPr>
        <w:spacing w:after="0" w:line="138" w:lineRule="exact"/>
        <w:rPr>
          <w:sz w:val="20"/>
          <w:szCs w:val="20"/>
          <w:color w:val="auto"/>
        </w:rPr>
      </w:pPr>
    </w:p>
    <w:p>
      <w:pPr>
        <w:jc w:val="both"/>
        <w:ind w:firstLine="475"/>
        <w:spacing w:after="0" w:line="248" w:lineRule="auto"/>
        <w:rPr>
          <w:sz w:val="20"/>
          <w:szCs w:val="20"/>
          <w:color w:val="auto"/>
        </w:rPr>
      </w:pPr>
      <w:r>
        <w:rPr>
          <w:rFonts w:ascii="Times New Roman" w:cs="Times New Roman" w:eastAsia="Times New Roman" w:hAnsi="Times New Roman"/>
          <w:sz w:val="18"/>
          <w:szCs w:val="18"/>
          <w:color w:val="auto"/>
        </w:rPr>
        <w:t>We have outstanding leases under our vehicle operating leasing program in the U.S. Qualifying customers are permitted to lease a vehicle for up to 36 months. At the end of the lease term, customers are generally required to return the vehicles to us. We account for these leasing transactions as operating leases. We evaluate whether a lease contract should be combined with other agreements — such as co-creation arrangements when leasing contracts are negotiated together and are economically interdependent. We record leasing revenues as automotive leasing revenue on a straight-line basis over the contractual term, and we record the depreciation of these vehicles as cost of automotive leasing revenue. As of June 30, 2025, deferred lease-related upfront payments which will be recognized on a straight-line basis over the contractual terms of the individual leases were immaterial. Our policy is to exclude taxes collected from a customer from the transaction price of automotive contracts.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u w:val="single" w:color="auto"/>
          <w:color w:val="auto"/>
        </w:rPr>
        <w:t>Revenue from Sales-Type Leasing Program</w:t>
      </w:r>
    </w:p>
    <w:p>
      <w:pPr>
        <w:spacing w:after="0" w:line="243" w:lineRule="exact"/>
        <w:rPr>
          <w:sz w:val="20"/>
          <w:szCs w:val="20"/>
          <w:color w:val="auto"/>
        </w:rPr>
      </w:pPr>
    </w:p>
    <w:p>
      <w:pPr>
        <w:jc w:val="both"/>
        <w:ind w:firstLine="475"/>
        <w:spacing w:after="0" w:line="239" w:lineRule="auto"/>
        <w:rPr>
          <w:sz w:val="20"/>
          <w:szCs w:val="20"/>
          <w:color w:val="auto"/>
        </w:rPr>
      </w:pPr>
      <w:r>
        <w:rPr>
          <w:rFonts w:ascii="Times New Roman" w:cs="Times New Roman" w:eastAsia="Times New Roman" w:hAnsi="Times New Roman"/>
          <w:sz w:val="18"/>
          <w:szCs w:val="18"/>
          <w:color w:val="auto"/>
        </w:rPr>
        <w:t>We have outstanding leases accounted for as sales-type leases under accounting standards codification (“ASC”) 842, Leases (“ASC 842”). Customers have the right to purchase the vehicle at the end of the lease term, which is usually 36 months. A customer qualifies under this program if the purchase option is reasonably certain to be exercised, and we therefore expect the customer to take title to the vehicle at the end of the lease term after making all contractual payments. We recognize all revenue and costs associated with the sales-type lease as automotive leasing revenue and automotive leasing cost of revenue, respectively, upon delivery of the vehicle to the customer when collectability of lease payments is probable at lease commencement. If collectability of lease payments is not probable at commencement, we recognize the lease payments as deposit liability and do not derecognize the leased vehicle until such point that collectability of lease payments becomes probable. We evaluate whether a lease contract should be combined with other agreements — such as co-creation arrangements when leasing contracts are negotiated together and are economically interdependent.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Deposits</w:t>
      </w:r>
    </w:p>
    <w:p>
      <w:pPr>
        <w:spacing w:after="0" w:line="138" w:lineRule="exact"/>
        <w:rPr>
          <w:sz w:val="20"/>
          <w:szCs w:val="20"/>
          <w:color w:val="auto"/>
        </w:rPr>
      </w:pPr>
    </w:p>
    <w:p>
      <w:pPr>
        <w:jc w:val="both"/>
        <w:ind w:firstLine="475"/>
        <w:spacing w:after="0" w:line="249" w:lineRule="auto"/>
        <w:rPr>
          <w:sz w:val="20"/>
          <w:szCs w:val="20"/>
          <w:color w:val="auto"/>
        </w:rPr>
      </w:pPr>
      <w:r>
        <w:rPr>
          <w:rFonts w:ascii="Times New Roman" w:cs="Times New Roman" w:eastAsia="Times New Roman" w:hAnsi="Times New Roman"/>
          <w:sz w:val="18"/>
          <w:szCs w:val="18"/>
          <w:color w:val="auto"/>
        </w:rPr>
        <w:t>Our customers may reserve a vehicle and preorder certain services by making a customer deposit, which is fully refundable at any time. Refundable deposits, for vehicle reservations and services, received from customers prior to an executed vehicle purchase agreement are recorded as customer deposits (Accrued expenses and other current liabilities). Customer deposits were $3.2 million and $3.0 million as of June 30, 2025 and December 31, 2024, respectively. When vehicle purchase agreements are executed, the consideration for the vehicle and any accompanying products and services must be paid in advance prior to our transfer of the products or services. Such advance payments are considered non-refundable, and we defer revenue related to any products or services that are not yet transferred.</w:t>
      </w:r>
    </w:p>
    <w:p>
      <w:pPr>
        <w:spacing w:after="0" w:line="123" w:lineRule="exact"/>
        <w:rPr>
          <w:sz w:val="20"/>
          <w:szCs w:val="20"/>
          <w:color w:val="auto"/>
        </w:rPr>
      </w:pPr>
    </w:p>
    <w:p>
      <w:pPr>
        <w:jc w:val="both"/>
        <w:ind w:firstLine="475"/>
        <w:spacing w:after="0" w:line="289" w:lineRule="auto"/>
        <w:rPr>
          <w:sz w:val="20"/>
          <w:szCs w:val="20"/>
          <w:color w:val="auto"/>
        </w:rPr>
      </w:pPr>
      <w:r>
        <w:rPr>
          <w:rFonts w:ascii="Times New Roman" w:cs="Times New Roman" w:eastAsia="Times New Roman" w:hAnsi="Times New Roman"/>
          <w:sz w:val="16"/>
          <w:szCs w:val="16"/>
          <w:color w:val="auto"/>
        </w:rPr>
        <w:t>As of June 30, 2025, the Company had received approximately 4,000 non-binding, non-refundable B2B pre-orders and 292 B2C non-binding refundable reservations, totaling 4,292 reserved vehicles. By comparison, as of December 31, 2024, the Company had received 299 B2C reservations. The increase in total reservations was primarily driven by the launch of the FX SuperOne vehicle and the expansion of co-creator and reservation programs designed to drive early engagement and demand. The co-creator program leverages early supporters, channel partners, and social media influencers to generate awareness, promote product visibility, and build community participation around the brand and its new product offerings with a particular focus on driving B2C orders.</w:t>
      </w:r>
    </w:p>
    <w:p>
      <w:pPr>
        <w:spacing w:after="0" w:line="92" w:lineRule="exact"/>
        <w:rPr>
          <w:sz w:val="20"/>
          <w:szCs w:val="20"/>
          <w:color w:val="auto"/>
        </w:rPr>
      </w:pPr>
    </w:p>
    <w:p>
      <w:pPr>
        <w:jc w:val="both"/>
        <w:ind w:firstLine="475"/>
        <w:spacing w:after="0" w:line="250" w:lineRule="auto"/>
        <w:rPr>
          <w:sz w:val="20"/>
          <w:szCs w:val="20"/>
          <w:color w:val="auto"/>
        </w:rPr>
      </w:pPr>
      <w:r>
        <w:rPr>
          <w:rFonts w:ascii="Times New Roman" w:cs="Times New Roman" w:eastAsia="Times New Roman" w:hAnsi="Times New Roman"/>
          <w:sz w:val="18"/>
          <w:szCs w:val="18"/>
          <w:color w:val="auto"/>
        </w:rPr>
        <w:t>The Company enters into co-creation collaborations of varying value and service scope with B2B pre-order customers. Fees paid to non-influencer participants are recorded as co-creation expenses, while fees paid to influencer marketing agencies are classified either as contra-revenue or as marketing-related general and administrative expenses, depending on the nature of the arrangement. Co-creator costs are recorded as marketing expenses when the fair value of services provided under the co-creation agreement substantiates the payment; however, any portion of the payment that exceeds the fair value of those services is treated as a reduction of revenue in accordance with ASC 606.</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151" w:lineRule="exact"/>
        <w:rPr>
          <w:sz w:val="20"/>
          <w:szCs w:val="20"/>
          <w:color w:val="auto"/>
        </w:rPr>
      </w:pPr>
    </w:p>
    <w:p>
      <w:pPr>
        <w:jc w:val="both"/>
        <w:ind w:firstLine="475"/>
        <w:spacing w:after="0" w:line="269" w:lineRule="auto"/>
        <w:rPr>
          <w:sz w:val="20"/>
          <w:szCs w:val="20"/>
          <w:color w:val="auto"/>
        </w:rPr>
      </w:pPr>
      <w:r>
        <w:rPr>
          <w:rFonts w:ascii="Times New Roman" w:cs="Times New Roman" w:eastAsia="Times New Roman" w:hAnsi="Times New Roman"/>
          <w:sz w:val="18"/>
          <w:szCs w:val="18"/>
          <w:color w:val="auto"/>
        </w:rPr>
        <w:t>Deferred revenue is equivalent to the total transaction price allocated to the performance obligations that are unsatisfied, or partially unsatisfied, as of the balance sheet date. Deferred revenue related to products and services was $0.3 million as of June 30, 2025 and December 31, 2024.</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Automotive Sales Revenue</w:t>
      </w:r>
    </w:p>
    <w:p>
      <w:pPr>
        <w:spacing w:after="0" w:line="138"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Cost of automotive sales revenue includes direct and indirect materials, labor costs, manufacturing overhead, including depreciation costs of tooling and machinery, shipping and logistic costs, vehicle connectivity costs, and reserves for estimated warranty expenses. Cost of automotive sales revenues also includes adjustments to warranty expense.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Automotive Leasing Program</w:t>
      </w:r>
    </w:p>
    <w:p>
      <w:pPr>
        <w:spacing w:after="0" w:line="151" w:lineRule="exact"/>
        <w:rPr>
          <w:sz w:val="20"/>
          <w:szCs w:val="20"/>
          <w:color w:val="auto"/>
        </w:rPr>
      </w:pPr>
    </w:p>
    <w:p>
      <w:pPr>
        <w:ind w:right="120" w:firstLine="475"/>
        <w:spacing w:after="0" w:line="269" w:lineRule="auto"/>
        <w:rPr>
          <w:sz w:val="20"/>
          <w:szCs w:val="20"/>
          <w:color w:val="auto"/>
        </w:rPr>
      </w:pPr>
      <w:r>
        <w:rPr>
          <w:rFonts w:ascii="Times New Roman" w:cs="Times New Roman" w:eastAsia="Times New Roman" w:hAnsi="Times New Roman"/>
          <w:sz w:val="18"/>
          <w:szCs w:val="18"/>
          <w:color w:val="auto"/>
        </w:rPr>
        <w:t>Cost of automotive leasing revenue includes the depreciation of operating lease vehicles, cost of goods sold associated with direct sales-type leases and warranty expense related to leased vehicles.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Warranties</w:t>
      </w:r>
    </w:p>
    <w:p>
      <w:pPr>
        <w:spacing w:after="0" w:line="155"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We provide a manufacturer’s warranty on all vehicles sold. The warranty covers the rectification of reported defects via repair, replacement, or adjustment of faulty parts or components. The warranty does not cover any item that fails due to normal wear and tear. This assurance-type warranty does not create a performance obligation separate from the vehicle. Management tracks warranty claims by vehicle ID, owner, and date. As we continue to manufacture and sell more vehicles we will reassess and evaluate our warranty claims for purposes of our warranty accrual.</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635"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51" w:lineRule="exact"/>
        <w:rPr>
          <w:sz w:val="20"/>
          <w:szCs w:val="20"/>
          <w:color w:val="auto"/>
        </w:rPr>
      </w:pPr>
    </w:p>
    <w:p>
      <w:pPr>
        <w:jc w:val="both"/>
        <w:ind w:firstLine="475"/>
        <w:spacing w:after="0" w:line="250" w:lineRule="auto"/>
        <w:rPr>
          <w:sz w:val="20"/>
          <w:szCs w:val="20"/>
          <w:color w:val="auto"/>
        </w:rPr>
      </w:pPr>
      <w:r>
        <w:rPr>
          <w:rFonts w:ascii="Times New Roman" w:cs="Times New Roman" w:eastAsia="Times New Roman" w:hAnsi="Times New Roman"/>
          <w:sz w:val="18"/>
          <w:szCs w:val="18"/>
          <w:color w:val="auto"/>
        </w:rPr>
        <w:t>Research and development activities represent a significant part of our business. Our R&amp;D efforts focus on the design and development of our electric vehicles and continuing to prepare our prototype electric vehicles to exceed industry standards for compliance, innovation, and performance. R&amp;D expenses consist of personnel-related costs (including salaries, bonuses, benefits, and stock-based compensation) for our employees focused on R&amp;D activities, other related costs, depreciation, R&amp;D services provided by co-creators, and an allocation of overhead. We expect R&amp;D expenses to decrease in the near future as we substantially have completed R&amp;D activities related to the FF 91, offset by increases in R&amp;D expenses related to FX Series vehicles.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51"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Sales and marketing expenses consist primarily of personnel-related costs (including salaries, bonuses, benefits, and stock-based compensation) for our employees focused on sales and marketing, costs associated with sales and marketing activities, marketing services provided by co-creators, and an allocation of overhead. Marketing activities are those related to introducing our brand, our electric vehicles, and our electric vehicle prototypes to the market. We expect Sales and marketing expenses to continue to increase as we bring our electric vehicles to market and seek to generate additional sales.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38" w:lineRule="exact"/>
        <w:rPr>
          <w:sz w:val="20"/>
          <w:szCs w:val="20"/>
          <w:color w:val="auto"/>
        </w:rPr>
      </w:pPr>
    </w:p>
    <w:p>
      <w:pPr>
        <w:jc w:val="both"/>
        <w:ind w:firstLine="475"/>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costs (including salaries, bonuses, benefits, and stock-based compensation) for employees associated with administrative services such as legal, human resources, information technology, accounting and finance, other related costs, and legal loss contingency expenses, which are our estimates of future legal settlements. These expenses also include certain third-party consulting services, certain facilities costs, and any corporate overhead costs not allocated to other expense categories. We expect our general and administrative expenses to increase as we continue to grow our business.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from Disposal of Property, Plant and Equipment</w:t>
      </w:r>
    </w:p>
    <w:p>
      <w:pPr>
        <w:spacing w:after="0" w:line="151"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Loss (gain) on disposal of property, plant, and equipment relates to the abandonment of certain FF 91 Futurist program construction in progress assets, primarily vendor tooling, machinery, and equipment, due to the redesign of the related FF 91 components and implementation of our cost reduction program. Charges associated with disposals are recognized within operating expenses in the Unaudited Condensed Consolidated Statements of Operations and Comprehensive Loss.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Expenses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(Related Party and Third Party) Notes Payable, Warrant Liabilities, and Derivatives Call Options</w:t>
      </w:r>
    </w:p>
    <w:p>
      <w:pPr>
        <w:spacing w:after="0" w:line="151" w:lineRule="exact"/>
        <w:rPr>
          <w:sz w:val="20"/>
          <w:szCs w:val="20"/>
          <w:color w:val="auto"/>
        </w:rPr>
      </w:pPr>
    </w:p>
    <w:p>
      <w:pPr>
        <w:jc w:val="both"/>
        <w:ind w:firstLine="475"/>
        <w:spacing w:after="0" w:line="269" w:lineRule="auto"/>
        <w:rPr>
          <w:sz w:val="20"/>
          <w:szCs w:val="20"/>
          <w:color w:val="auto"/>
        </w:rPr>
      </w:pPr>
      <w:r>
        <w:rPr>
          <w:rFonts w:ascii="Times New Roman" w:cs="Times New Roman" w:eastAsia="Times New Roman" w:hAnsi="Times New Roman"/>
          <w:sz w:val="18"/>
          <w:szCs w:val="18"/>
          <w:color w:val="auto"/>
        </w:rPr>
        <w:t>Change in fair value measurements consists of the losses and gains as a result of fair value measurements of certain notes payable, warrant liabilities, and other instruments which we record at fair value.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Settlement of (Related Party and Third Party) Notes Payable</w:t>
      </w:r>
    </w:p>
    <w:p>
      <w:pPr>
        <w:spacing w:after="0" w:line="151" w:lineRule="exact"/>
        <w:rPr>
          <w:sz w:val="20"/>
          <w:szCs w:val="20"/>
          <w:color w:val="auto"/>
        </w:rPr>
      </w:pPr>
    </w:p>
    <w:p>
      <w:pPr>
        <w:jc w:val="both"/>
        <w:ind w:firstLine="475"/>
        <w:spacing w:after="0" w:line="269" w:lineRule="auto"/>
        <w:rPr>
          <w:sz w:val="20"/>
          <w:szCs w:val="20"/>
          <w:color w:val="auto"/>
        </w:rPr>
      </w:pPr>
      <w:r>
        <w:rPr>
          <w:rFonts w:ascii="Times New Roman" w:cs="Times New Roman" w:eastAsia="Times New Roman" w:hAnsi="Times New Roman"/>
          <w:sz w:val="18"/>
          <w:szCs w:val="18"/>
          <w:color w:val="auto"/>
        </w:rPr>
        <w:t xml:space="preserve">Loss on settlement of notes payable consists of losses resulting from the settlement of notes payable as part of our ongoing financing activities and losses incurred on modifications of our notes payable that qualify as an extinguishment pursuant to ASC 470-50, </w:t>
      </w:r>
      <w:r>
        <w:rPr>
          <w:rFonts w:ascii="Times New Roman" w:cs="Times New Roman" w:eastAsia="Times New Roman" w:hAnsi="Times New Roman"/>
          <w:sz w:val="18"/>
          <w:szCs w:val="18"/>
          <w:i w:val="1"/>
          <w:iCs w:val="1"/>
          <w:color w:val="auto"/>
        </w:rPr>
        <w:t>Debt–Modifications and Extinguishments</w:t>
      </w:r>
      <w:r>
        <w:rPr>
          <w:rFonts w:ascii="Times New Roman" w:cs="Times New Roman" w:eastAsia="Times New Roman" w:hAnsi="Times New Roman"/>
          <w:sz w:val="18"/>
          <w:szCs w:val="18"/>
          <w:color w:val="auto"/>
        </w:rPr>
        <w:t>.</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(Related Party and Third Party)</w:t>
      </w:r>
    </w:p>
    <w:p>
      <w:pPr>
        <w:spacing w:after="0" w:line="138" w:lineRule="exact"/>
        <w:rPr>
          <w:sz w:val="20"/>
          <w:szCs w:val="20"/>
          <w:color w:val="auto"/>
        </w:rPr>
      </w:pPr>
    </w:p>
    <w:p>
      <w:pPr>
        <w:jc w:val="both"/>
        <w:ind w:firstLine="475"/>
        <w:spacing w:after="0" w:line="269" w:lineRule="auto"/>
        <w:rPr>
          <w:sz w:val="20"/>
          <w:szCs w:val="20"/>
          <w:color w:val="auto"/>
        </w:rPr>
      </w:pPr>
      <w:r>
        <w:rPr>
          <w:rFonts w:ascii="Times New Roman" w:cs="Times New Roman" w:eastAsia="Times New Roman" w:hAnsi="Times New Roman"/>
          <w:sz w:val="18"/>
          <w:szCs w:val="18"/>
          <w:color w:val="auto"/>
        </w:rPr>
        <w:t>Interest expense primarily consists of interest on outstanding notes payable not marked to fair value, capital leases, certain supplier payables, and vendor payables in trust.</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138"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Other income (loss), net consists of foreign currency transaction gains and losses and other expenses such as bank fees and late charges. Foreign currency transaction gains and losses are generated by revaluation of debt and the settlements of invoices denominated in currencies other than the functional currency. We expect other expense to fluctuate as we continue to transact internationally.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635"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Consolidated Statements of Operations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4"/>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r>
      <w:tr>
        <w:trPr>
          <w:trHeight w:val="231"/>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7"/>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w:t>
            </w:r>
          </w:p>
        </w:tc>
      </w:tr>
      <w:tr>
        <w:trPr>
          <w:trHeight w:val="231"/>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26,912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20,970</w:t>
            </w:r>
          </w:p>
        </w:tc>
      </w:tr>
      <w:tr>
        <w:trPr>
          <w:trHeight w:val="237"/>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(26,858)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(20,677)</w:t>
            </w:r>
          </w:p>
        </w:tc>
      </w:tr>
      <w:tr>
        <w:trPr>
          <w:trHeight w:val="228"/>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46"/>
        </w:trPr>
        <w:tc>
          <w:tcPr>
            <w:tcW w:w="8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3,317</w:t>
            </w:r>
          </w:p>
        </w:tc>
      </w:tr>
      <w:tr>
        <w:trPr>
          <w:trHeight w:val="228"/>
        </w:trPr>
        <w:tc>
          <w:tcPr>
            <w:tcW w:w="8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Sales and marketing</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1,782</w:t>
            </w:r>
          </w:p>
        </w:tc>
      </w:tr>
      <w:tr>
        <w:trPr>
          <w:trHeight w:val="246"/>
        </w:trPr>
        <w:tc>
          <w:tcPr>
            <w:tcW w:w="8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14,097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17,201</w:t>
            </w:r>
          </w:p>
        </w:tc>
      </w:tr>
      <w:tr>
        <w:trPr>
          <w:trHeight w:val="228"/>
        </w:trPr>
        <w:tc>
          <w:tcPr>
            <w:tcW w:w="8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Lease impairment, net</w:t>
            </w:r>
          </w:p>
        </w:tc>
        <w:tc>
          <w:tcPr>
            <w:tcW w:w="3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7,616</w:t>
            </w:r>
          </w:p>
        </w:tc>
      </w:tr>
      <w:tr>
        <w:trPr>
          <w:trHeight w:val="240"/>
        </w:trPr>
        <w:tc>
          <w:tcPr>
            <w:tcW w:w="8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Loss (gain) on disposal of property, plant, and equipment</w:t>
            </w:r>
          </w:p>
        </w:tc>
        <w:tc>
          <w:tcPr>
            <w:tcW w:w="3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28"/>
        </w:trPr>
        <w:tc>
          <w:tcPr>
            <w:tcW w:w="81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29,932</w:t>
            </w:r>
          </w:p>
        </w:tc>
      </w:tr>
      <w:tr>
        <w:trPr>
          <w:trHeight w:val="246"/>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Loss from operations</w:t>
            </w: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(48,108)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(50,609)</w:t>
            </w:r>
          </w:p>
        </w:tc>
      </w:tr>
      <w:tr>
        <w:trPr>
          <w:trHeight w:val="228"/>
        </w:trPr>
        <w:tc>
          <w:tcPr>
            <w:tcW w:w="8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Change in fair value of notes payable, warrant liabilities, and derivative call options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(7,245)</w:t>
            </w:r>
          </w:p>
        </w:tc>
      </w:tr>
      <w:tr>
        <w:trPr>
          <w:trHeight w:val="246"/>
        </w:trPr>
        <w:tc>
          <w:tcPr>
            <w:tcW w:w="8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Change in fair value of related party notes payable, warrant liabilities, and derivative call options</w:t>
            </w: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r>
      <w:tr>
        <w:trPr>
          <w:trHeight w:val="228"/>
        </w:trPr>
        <w:tc>
          <w:tcPr>
            <w:tcW w:w="8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Loss on settlement of notes payable</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(46,978)</w:t>
            </w:r>
          </w:p>
        </w:tc>
      </w:tr>
      <w:tr>
        <w:trPr>
          <w:trHeight w:val="246"/>
        </w:trPr>
        <w:tc>
          <w:tcPr>
            <w:tcW w:w="8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Loss on settlement of related party notes payable</w:t>
            </w: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8"/>
        </w:trPr>
        <w:tc>
          <w:tcPr>
            <w:tcW w:w="8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expense</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(1,719)</w:t>
            </w:r>
          </w:p>
        </w:tc>
      </w:tr>
      <w:tr>
        <w:trPr>
          <w:trHeight w:val="246"/>
        </w:trPr>
        <w:tc>
          <w:tcPr>
            <w:tcW w:w="8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Related party interest expense</w:t>
            </w:r>
          </w:p>
        </w:tc>
        <w:tc>
          <w:tcPr>
            <w:tcW w:w="3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(1,506)</w:t>
            </w:r>
          </w:p>
        </w:tc>
      </w:tr>
      <w:tr>
        <w:trPr>
          <w:trHeight w:val="231"/>
        </w:trPr>
        <w:tc>
          <w:tcPr>
            <w:tcW w:w="8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income (loss), net</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w:t>
            </w:r>
          </w:p>
        </w:tc>
      </w:tr>
      <w:tr>
        <w:trPr>
          <w:trHeight w:val="237"/>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Loss before income taxes</w:t>
            </w: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(124,676)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(108,681)</w:t>
            </w:r>
          </w:p>
        </w:tc>
      </w:tr>
      <w:tr>
        <w:trPr>
          <w:trHeight w:val="231"/>
        </w:trPr>
        <w:tc>
          <w:tcPr>
            <w:tcW w:w="8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Income tax expense</w:t>
            </w:r>
          </w:p>
        </w:tc>
        <w:tc>
          <w:tcPr>
            <w:tcW w:w="32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62"/>
        </w:trPr>
        <w:tc>
          <w:tcPr>
            <w:tcW w:w="8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320" w:type="dxa"/>
            <w:vAlign w:val="bottom"/>
            <w:tcBorders>
              <w:top w:val="single" w:sz="8" w:color="auto"/>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(124,676)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(108,685)</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Consolidated Statements of Operations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4"/>
          </w:tcPr>
          <w:p>
            <w:pPr>
              <w:jc w:val="right"/>
              <w:ind w:right="521"/>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31"/>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7"/>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r>
      <w:tr>
        <w:trPr>
          <w:trHeight w:val="231"/>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48,293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41,657</w:t>
            </w:r>
          </w:p>
        </w:tc>
      </w:tr>
      <w:tr>
        <w:trPr>
          <w:trHeight w:val="237"/>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(47,923)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(41,362)</w:t>
            </w:r>
          </w:p>
        </w:tc>
      </w:tr>
      <w:tr>
        <w:trPr>
          <w:trHeight w:val="228"/>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46"/>
        </w:trPr>
        <w:tc>
          <w:tcPr>
            <w:tcW w:w="8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10,005</w:t>
            </w:r>
          </w:p>
        </w:tc>
      </w:tr>
      <w:tr>
        <w:trPr>
          <w:trHeight w:val="228"/>
        </w:trPr>
        <w:tc>
          <w:tcPr>
            <w:tcW w:w="8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Sales and marketing</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4,256</w:t>
            </w:r>
          </w:p>
        </w:tc>
      </w:tr>
      <w:tr>
        <w:trPr>
          <w:trHeight w:val="246"/>
        </w:trPr>
        <w:tc>
          <w:tcPr>
            <w:tcW w:w="8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27,771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31,049</w:t>
            </w:r>
          </w:p>
        </w:tc>
      </w:tr>
      <w:tr>
        <w:trPr>
          <w:trHeight w:val="228"/>
        </w:trPr>
        <w:tc>
          <w:tcPr>
            <w:tcW w:w="8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Lease impairment, net</w:t>
            </w:r>
          </w:p>
        </w:tc>
        <w:tc>
          <w:tcPr>
            <w:tcW w:w="3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7,616</w:t>
            </w:r>
          </w:p>
        </w:tc>
      </w:tr>
      <w:tr>
        <w:trPr>
          <w:trHeight w:val="240"/>
        </w:trPr>
        <w:tc>
          <w:tcPr>
            <w:tcW w:w="8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Loss (gain) on disposal of property, plant, and equipment</w:t>
            </w: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28"/>
        </w:trPr>
        <w:tc>
          <w:tcPr>
            <w:tcW w:w="81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52,855</w:t>
            </w:r>
          </w:p>
        </w:tc>
      </w:tr>
      <w:tr>
        <w:trPr>
          <w:trHeight w:val="246"/>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Loss from operations</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(91,939)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(94,217)</w:t>
            </w:r>
          </w:p>
        </w:tc>
      </w:tr>
      <w:tr>
        <w:trPr>
          <w:trHeight w:val="228"/>
        </w:trPr>
        <w:tc>
          <w:tcPr>
            <w:tcW w:w="8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Change in fair value of notes payable, warrant liabilities, and derivative call options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20,640</w:t>
            </w:r>
          </w:p>
        </w:tc>
      </w:tr>
      <w:tr>
        <w:trPr>
          <w:trHeight w:val="246"/>
        </w:trPr>
        <w:tc>
          <w:tcPr>
            <w:tcW w:w="8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Change in fair value of related party notes payable, warrant liabilities, and derivative call options</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w:t>
            </w:r>
          </w:p>
        </w:tc>
      </w:tr>
      <w:tr>
        <w:trPr>
          <w:trHeight w:val="228"/>
        </w:trPr>
        <w:tc>
          <w:tcPr>
            <w:tcW w:w="8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Loss on settlement of notes payable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(58,381)</w:t>
            </w:r>
          </w:p>
        </w:tc>
      </w:tr>
      <w:tr>
        <w:trPr>
          <w:trHeight w:val="246"/>
        </w:trPr>
        <w:tc>
          <w:tcPr>
            <w:tcW w:w="8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Loss on settlement of related party notes payable</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(14,295)</w:t>
            </w:r>
          </w:p>
        </w:tc>
      </w:tr>
      <w:tr>
        <w:trPr>
          <w:trHeight w:val="228"/>
        </w:trPr>
        <w:tc>
          <w:tcPr>
            <w:tcW w:w="8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expense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(3,944)</w:t>
            </w:r>
          </w:p>
        </w:tc>
      </w:tr>
      <w:tr>
        <w:trPr>
          <w:trHeight w:val="246"/>
        </w:trPr>
        <w:tc>
          <w:tcPr>
            <w:tcW w:w="8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Related party interest expense</w:t>
            </w:r>
          </w:p>
        </w:tc>
        <w:tc>
          <w:tcPr>
            <w:tcW w:w="3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(6,600)</w:t>
            </w:r>
          </w:p>
        </w:tc>
      </w:tr>
      <w:tr>
        <w:trPr>
          <w:trHeight w:val="231"/>
        </w:trPr>
        <w:tc>
          <w:tcPr>
            <w:tcW w:w="8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income (loss), net</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1,574</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w:t>
            </w:r>
          </w:p>
        </w:tc>
      </w:tr>
      <w:tr>
        <w:trPr>
          <w:trHeight w:val="237"/>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Loss before income taxes</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(134,944)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(156,898)</w:t>
            </w:r>
          </w:p>
        </w:tc>
      </w:tr>
      <w:tr>
        <w:trPr>
          <w:trHeight w:val="231"/>
        </w:trPr>
        <w:tc>
          <w:tcPr>
            <w:tcW w:w="8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Income tax expense</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62"/>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(134,954)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(156,902)</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(3-Month Overview)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180" w:type="dxa"/>
            <w:vAlign w:val="bottom"/>
          </w:tcPr>
          <w:p>
            <w:pPr>
              <w:spacing w:after="0"/>
              <w:rPr>
                <w:sz w:val="19"/>
                <w:szCs w:val="19"/>
                <w:color w:val="auto"/>
              </w:rPr>
            </w:pPr>
          </w:p>
        </w:tc>
        <w:tc>
          <w:tcPr>
            <w:tcW w:w="2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Borders>
              <w:bottom w:val="single" w:sz="8" w:color="auto"/>
            </w:tcBorders>
          </w:tcPr>
          <w:p>
            <w:pPr>
              <w:spacing w:after="0"/>
              <w:rPr>
                <w:sz w:val="19"/>
                <w:szCs w:val="19"/>
                <w:color w:val="auto"/>
              </w:rPr>
            </w:pPr>
          </w:p>
        </w:tc>
      </w:tr>
      <w:tr>
        <w:trPr>
          <w:trHeight w:val="257"/>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7"/>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20" w:type="dxa"/>
            <w:vAlign w:val="bottom"/>
            <w:shd w:val="clear" w:color="auto" w:fill="CCEEFF"/>
          </w:tcPr>
          <w:p>
            <w:pPr>
              <w:jc w:val="right"/>
              <w:ind w:right="81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(239)</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r>
      <w:tr>
        <w:trPr>
          <w:trHeight w:val="27"/>
        </w:trPr>
        <w:tc>
          <w:tcPr>
            <w:tcW w:w="51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6" w:lineRule="exact"/>
        <w:rPr>
          <w:sz w:val="20"/>
          <w:szCs w:val="20"/>
          <w:color w:val="auto"/>
        </w:rPr>
      </w:pPr>
    </w:p>
    <w:p>
      <w:pPr>
        <w:jc w:val="both"/>
        <w:ind w:firstLine="475"/>
        <w:spacing w:after="0" w:line="249" w:lineRule="auto"/>
        <w:rPr>
          <w:sz w:val="20"/>
          <w:szCs w:val="20"/>
          <w:color w:val="auto"/>
        </w:rPr>
      </w:pPr>
      <w:r>
        <w:rPr>
          <w:rFonts w:ascii="Times New Roman" w:cs="Times New Roman" w:eastAsia="Times New Roman" w:hAnsi="Times New Roman"/>
          <w:sz w:val="18"/>
          <w:szCs w:val="18"/>
          <w:color w:val="auto"/>
        </w:rPr>
        <w:t>Revenue decreased by $0.2 million for the three months ended June 30, 2025, compared to the same period in 2024. Automotive sales revenue was zero million for the three months ended June 30, 2025 compared to $0.3 million for the same period in 2024. Automotive leasing revenue was $0.1 million for the three months ended June 30, 2025 compared to an insignificant amount for the same period in 2024. Additionally, one vehicle was delivered during the three months ended June 30, 2025, compared to three for the same period in 2024. The vehicle delivered in the current period was sold under an arrangement that was combined with a co-creation agreement and accounted for as a single arrangement. As a result, no automotive sales revenue was recognized for this delivery, and the related consideration was presented net of co-creation fees in marketing expense.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(6-Month Overview)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180" w:type="dxa"/>
            <w:vAlign w:val="bottom"/>
          </w:tcPr>
          <w:p>
            <w:pPr>
              <w:spacing w:after="0"/>
              <w:rPr>
                <w:sz w:val="19"/>
                <w:szCs w:val="19"/>
                <w:color w:val="auto"/>
              </w:rPr>
            </w:pPr>
          </w:p>
        </w:tc>
        <w:tc>
          <w:tcPr>
            <w:tcW w:w="2480" w:type="dxa"/>
            <w:vAlign w:val="bottom"/>
            <w:tcBorders>
              <w:bottom w:val="single" w:sz="8" w:color="auto"/>
            </w:tcBorders>
            <w:gridSpan w:val="4"/>
          </w:tcPr>
          <w:p>
            <w:pPr>
              <w:ind w:left="52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4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Borders>
              <w:bottom w:val="single" w:sz="8" w:color="auto"/>
            </w:tcBorders>
          </w:tcPr>
          <w:p>
            <w:pPr>
              <w:spacing w:after="0"/>
              <w:rPr>
                <w:sz w:val="19"/>
                <w:szCs w:val="19"/>
                <w:color w:val="auto"/>
              </w:rPr>
            </w:pPr>
          </w:p>
        </w:tc>
      </w:tr>
      <w:tr>
        <w:trPr>
          <w:trHeight w:val="257"/>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7"/>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980" w:type="dxa"/>
            <w:vAlign w:val="bottom"/>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25.4 %</w:t>
            </w:r>
          </w:p>
        </w:tc>
      </w:tr>
      <w:tr>
        <w:trPr>
          <w:trHeight w:val="27"/>
        </w:trPr>
        <w:tc>
          <w:tcPr>
            <w:tcW w:w="51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6" w:lineRule="exact"/>
        <w:rPr>
          <w:sz w:val="20"/>
          <w:szCs w:val="20"/>
          <w:color w:val="auto"/>
        </w:rPr>
      </w:pPr>
    </w:p>
    <w:p>
      <w:pPr>
        <w:jc w:val="both"/>
        <w:ind w:firstLine="475"/>
        <w:spacing w:after="0" w:line="250" w:lineRule="auto"/>
        <w:rPr>
          <w:sz w:val="20"/>
          <w:szCs w:val="20"/>
          <w:color w:val="auto"/>
        </w:rPr>
      </w:pPr>
      <w:r>
        <w:rPr>
          <w:rFonts w:ascii="Times New Roman" w:cs="Times New Roman" w:eastAsia="Times New Roman" w:hAnsi="Times New Roman"/>
          <w:sz w:val="18"/>
          <w:szCs w:val="18"/>
          <w:color w:val="auto"/>
        </w:rPr>
        <w:t>Revenue increased by $0.1 million for the six months ended June 30, 2025, compared to the same period in 2024. Automotive sales revenue was $0.0 million for the six months ended June 30, 2025 compared to $0.3 million for the same period in 2024. Automotive leasing revenue was $0.4 million for the six months ended June 30, 2025 compared to an insignificant amount for the same period in 2024. Additionally, two vehicle was delivered during the six months ended June 30, 2025, compared to three for the same period in 2024. Additionally, two vehicles were delivered during the six months ended June 30, 2025, compared to three in the same period in 2024. One of the vehicles delivered in the current period was sold under</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635"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4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an arrangement that was combined with a co-creation agreement and accounted for as a single arrangement. As a result, no automotive sales revenue was recognized for this delivery, and the related consideration was presented net of co-creation fees in marketing expense.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(3-Month Overview)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40" w:type="dxa"/>
            <w:vAlign w:val="bottom"/>
            <w:gridSpan w:val="4"/>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60" w:type="dxa"/>
            <w:vAlign w:val="bottom"/>
          </w:tcPr>
          <w:p>
            <w:pPr>
              <w:spacing w:after="0"/>
              <w:rPr>
                <w:sz w:val="19"/>
                <w:szCs w:val="19"/>
                <w:color w:val="auto"/>
              </w:rPr>
            </w:pPr>
          </w:p>
        </w:tc>
        <w:tc>
          <w:tcPr>
            <w:tcW w:w="1740" w:type="dxa"/>
            <w:vAlign w:val="bottom"/>
            <w:gridSpan w:val="3"/>
          </w:tcPr>
          <w:p>
            <w:pPr>
              <w:ind w:left="10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Pr>
          <w:p>
            <w:pPr>
              <w:spacing w:after="0"/>
              <w:rPr>
                <w:sz w:val="19"/>
                <w:szCs w:val="19"/>
                <w:color w:val="auto"/>
              </w:rPr>
            </w:pPr>
          </w:p>
        </w:tc>
      </w:tr>
      <w:tr>
        <w:trPr>
          <w:trHeight w:val="257"/>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jc w:val="right"/>
              <w:ind w:right="455"/>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740" w:type="dxa"/>
            <w:vAlign w:val="bottom"/>
            <w:tcBorders>
              <w:top w:val="single" w:sz="8" w:color="auto"/>
            </w:tcBorders>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60" w:type="dxa"/>
            <w:vAlign w:val="bottom"/>
            <w:tcBorders>
              <w:top w:val="single" w:sz="8" w:color="auto"/>
            </w:tcBorders>
          </w:tcPr>
          <w:p>
            <w:pPr>
              <w:jc w:val="right"/>
              <w:ind w:right="616"/>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7"/>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26,912</w:t>
            </w:r>
          </w:p>
        </w:tc>
        <w:tc>
          <w:tcPr>
            <w:tcW w:w="40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20,970</w:t>
            </w:r>
          </w:p>
        </w:tc>
        <w:tc>
          <w:tcPr>
            <w:tcW w:w="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5,942</w:t>
            </w:r>
          </w:p>
        </w:tc>
        <w:tc>
          <w:tcPr>
            <w:tcW w:w="8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28.3 %</w:t>
            </w:r>
          </w:p>
        </w:tc>
      </w:tr>
      <w:tr>
        <w:trPr>
          <w:trHeight w:val="27"/>
        </w:trPr>
        <w:tc>
          <w:tcPr>
            <w:tcW w:w="51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6"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Cost of revenue increased by $5.9 million for the three months ended June 30, 2025, compared to the same period in 2024. This increase was primarily driven by higher depreciation expenses as equipment, an increase in inventory reserves, and expenses related to FF ieFactory California lease agreement, which commenced in late 2023, and the collateralized loan financing, initiated in 2024.</w:t>
      </w:r>
    </w:p>
    <w:p>
      <w:pPr>
        <w:spacing w:after="0" w:line="113" w:lineRule="exact"/>
        <w:rPr>
          <w:sz w:val="20"/>
          <w:szCs w:val="20"/>
          <w:color w:val="auto"/>
        </w:rPr>
      </w:pPr>
    </w:p>
    <w:p>
      <w:pPr>
        <w:jc w:val="both"/>
        <w:ind w:firstLine="475"/>
        <w:spacing w:after="0" w:line="304" w:lineRule="auto"/>
        <w:rPr>
          <w:sz w:val="20"/>
          <w:szCs w:val="20"/>
          <w:color w:val="auto"/>
        </w:rPr>
      </w:pPr>
      <w:r>
        <w:rPr>
          <w:rFonts w:ascii="Times New Roman" w:cs="Times New Roman" w:eastAsia="Times New Roman" w:hAnsi="Times New Roman"/>
          <w:sz w:val="16"/>
          <w:szCs w:val="16"/>
          <w:color w:val="auto"/>
        </w:rPr>
        <w:t>During the three months ended June 30, 2025, we continued expanding our production capabilities to include both luxury and more affordable electric vehicles. This strategic shift, aligned with broader market demand, is expected to increase fixed cost allocations to cost of revenues as new equipment is placed into service. We remain focused on optimizing production efficiencies and preparing the FF ieFactory California facility for planned new product lines.</w:t>
      </w:r>
    </w:p>
    <w:p>
      <w:pPr>
        <w:spacing w:after="0" w:line="66" w:lineRule="exact"/>
        <w:rPr>
          <w:sz w:val="20"/>
          <w:szCs w:val="20"/>
          <w:color w:val="auto"/>
        </w:rPr>
      </w:pPr>
    </w:p>
    <w:p>
      <w:pPr>
        <w:jc w:val="both"/>
        <w:ind w:firstLine="475"/>
        <w:spacing w:after="0" w:line="250" w:lineRule="auto"/>
        <w:rPr>
          <w:sz w:val="20"/>
          <w:szCs w:val="20"/>
          <w:color w:val="auto"/>
        </w:rPr>
      </w:pPr>
      <w:r>
        <w:rPr>
          <w:rFonts w:ascii="Times New Roman" w:cs="Times New Roman" w:eastAsia="Times New Roman" w:hAnsi="Times New Roman"/>
          <w:sz w:val="18"/>
          <w:szCs w:val="18"/>
          <w:color w:val="auto"/>
        </w:rPr>
        <w:t>For the three months ended June 30, 2025, U.S. tariffs on electric vehicle components imported from China did not have a material impact on the Company’s cost of goods sold. This was primarily due to the Company’s low production volume and the utilization of existing inventory that was procured prior to recent tariff adjustments. However, as production scales and the Company sources a greater volume of materials subject to current tariff rates, these duties may increase per-unit build costs in future periods. Management continues to monitor trade developments and assess sourcing strategies to mitigate potential cost escalation.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(6-Month Overview)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80" w:type="dxa"/>
            <w:vAlign w:val="bottom"/>
            <w:gridSpan w:val="4"/>
          </w:tcPr>
          <w:p>
            <w:pPr>
              <w:ind w:left="20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260" w:type="dxa"/>
            <w:vAlign w:val="bottom"/>
          </w:tcPr>
          <w:p>
            <w:pPr>
              <w:spacing w:after="0"/>
              <w:rPr>
                <w:sz w:val="19"/>
                <w:szCs w:val="19"/>
                <w:color w:val="auto"/>
              </w:rPr>
            </w:pPr>
          </w:p>
        </w:tc>
        <w:tc>
          <w:tcPr>
            <w:tcW w:w="1740" w:type="dxa"/>
            <w:vAlign w:val="bottom"/>
            <w:gridSpan w:val="3"/>
          </w:tcPr>
          <w:p>
            <w:pPr>
              <w:ind w:left="10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Pr>
          <w:p>
            <w:pPr>
              <w:spacing w:after="0"/>
              <w:rPr>
                <w:sz w:val="19"/>
                <w:szCs w:val="19"/>
                <w:color w:val="auto"/>
              </w:rPr>
            </w:pPr>
          </w:p>
        </w:tc>
      </w:tr>
      <w:tr>
        <w:trPr>
          <w:trHeight w:val="257"/>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740" w:type="dxa"/>
            <w:vAlign w:val="bottom"/>
            <w:tcBorders>
              <w:top w:val="single" w:sz="8" w:color="auto"/>
            </w:tcBorders>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60" w:type="dxa"/>
            <w:vAlign w:val="bottom"/>
            <w:tcBorders>
              <w:top w:val="single" w:sz="8" w:color="auto"/>
            </w:tcBorders>
          </w:tcPr>
          <w:p>
            <w:pPr>
              <w:jc w:val="right"/>
              <w:ind w:right="616"/>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7"/>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48,293</w:t>
            </w:r>
          </w:p>
        </w:tc>
        <w:tc>
          <w:tcPr>
            <w:tcW w:w="40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41,657</w:t>
            </w:r>
          </w:p>
        </w:tc>
        <w:tc>
          <w:tcPr>
            <w:tcW w:w="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6,636</w:t>
            </w:r>
          </w:p>
        </w:tc>
        <w:tc>
          <w:tcPr>
            <w:tcW w:w="8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15.9 %</w:t>
            </w:r>
          </w:p>
        </w:tc>
      </w:tr>
      <w:tr>
        <w:trPr>
          <w:trHeight w:val="27"/>
        </w:trPr>
        <w:tc>
          <w:tcPr>
            <w:tcW w:w="51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6"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Cost of revenue increased by $6.6 million for the six months ended June 30, 2025, compared to the same period in 2024. This increase was primarily driven by higher depreciation expenses as equipment, an increase in inventory reserves, and expenses related to FF ieFactory California lease agreement, which commenced in late 2023, and the Collateralized Loan financing, initiated in 2024.</w:t>
      </w:r>
    </w:p>
    <w:p>
      <w:pPr>
        <w:spacing w:after="0" w:line="113" w:lineRule="exact"/>
        <w:rPr>
          <w:sz w:val="20"/>
          <w:szCs w:val="20"/>
          <w:color w:val="auto"/>
        </w:rPr>
      </w:pPr>
    </w:p>
    <w:p>
      <w:pPr>
        <w:jc w:val="both"/>
        <w:ind w:firstLine="475"/>
        <w:spacing w:after="0" w:line="304" w:lineRule="auto"/>
        <w:rPr>
          <w:sz w:val="20"/>
          <w:szCs w:val="20"/>
          <w:color w:val="auto"/>
        </w:rPr>
      </w:pPr>
      <w:r>
        <w:rPr>
          <w:rFonts w:ascii="Times New Roman" w:cs="Times New Roman" w:eastAsia="Times New Roman" w:hAnsi="Times New Roman"/>
          <w:sz w:val="16"/>
          <w:szCs w:val="16"/>
          <w:color w:val="auto"/>
        </w:rPr>
        <w:t>During the six months ended June 30, 2025, we continued expanding our production capabilities to include both luxury and more affordable electric vehicles. This strategic shift, aligned with broader market demand, is expected to increase fixed cost allocations to cost of revenues as new equipment is placed into service. We remain focused on optimizing production efficiencies and preparing the FF ieFactory California facility for planned new product lines.</w:t>
      </w:r>
    </w:p>
    <w:p>
      <w:pPr>
        <w:spacing w:after="0" w:line="66" w:lineRule="exact"/>
        <w:rPr>
          <w:sz w:val="20"/>
          <w:szCs w:val="20"/>
          <w:color w:val="auto"/>
        </w:rPr>
      </w:pPr>
    </w:p>
    <w:p>
      <w:pPr>
        <w:jc w:val="both"/>
        <w:ind w:firstLine="475"/>
        <w:spacing w:after="0" w:line="250" w:lineRule="auto"/>
        <w:rPr>
          <w:sz w:val="20"/>
          <w:szCs w:val="20"/>
          <w:color w:val="auto"/>
        </w:rPr>
      </w:pPr>
      <w:r>
        <w:rPr>
          <w:rFonts w:ascii="Times New Roman" w:cs="Times New Roman" w:eastAsia="Times New Roman" w:hAnsi="Times New Roman"/>
          <w:sz w:val="18"/>
          <w:szCs w:val="18"/>
          <w:color w:val="auto"/>
        </w:rPr>
        <w:t>For the six months ended June 30, 2025, U.S. tariffs on electric vehicle components imported from China did not have a material impact on the Company’s cost of goods sold. This was primarily due to the Company’s low production volume and the utilization of existing inventory that was procured prior to recent tariff adjustments. However, as production scales and the Company sources a greater volume of materials subject to current tariff rates, these duties may increase per-unit build costs in future periods. Management continues to monitor trade developments and assess sourcing strategies to mitigate potential cost escalation.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(3-Month Overview)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2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60" w:type="dxa"/>
            <w:vAlign w:val="bottom"/>
          </w:tcPr>
          <w:p>
            <w:pPr>
              <w:spacing w:after="0"/>
              <w:rPr>
                <w:sz w:val="19"/>
                <w:szCs w:val="19"/>
                <w:color w:val="auto"/>
              </w:rPr>
            </w:pPr>
          </w:p>
        </w:tc>
        <w:tc>
          <w:tcPr>
            <w:tcW w:w="1740" w:type="dxa"/>
            <w:vAlign w:val="bottom"/>
            <w:gridSpan w:val="3"/>
          </w:tcPr>
          <w:p>
            <w:pPr>
              <w:ind w:left="10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Pr>
          <w:p>
            <w:pPr>
              <w:spacing w:after="0"/>
              <w:rPr>
                <w:sz w:val="19"/>
                <w:szCs w:val="19"/>
                <w:color w:val="auto"/>
              </w:rPr>
            </w:pPr>
          </w:p>
        </w:tc>
      </w:tr>
      <w:tr>
        <w:trPr>
          <w:trHeight w:val="257"/>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ind w:right="435"/>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740" w:type="dxa"/>
            <w:vAlign w:val="bottom"/>
            <w:tcBorders>
              <w:top w:val="single" w:sz="8" w:color="auto"/>
            </w:tcBorders>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60" w:type="dxa"/>
            <w:vAlign w:val="bottom"/>
            <w:tcBorders>
              <w:top w:val="single" w:sz="8" w:color="auto"/>
            </w:tcBorders>
          </w:tcPr>
          <w:p>
            <w:pPr>
              <w:jc w:val="right"/>
              <w:ind w:right="616"/>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7"/>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5,004</w:t>
            </w:r>
          </w:p>
        </w:tc>
        <w:tc>
          <w:tcPr>
            <w:tcW w:w="1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8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50.9 %</w:t>
            </w:r>
          </w:p>
        </w:tc>
      </w:tr>
      <w:tr>
        <w:trPr>
          <w:trHeight w:val="27"/>
        </w:trPr>
        <w:tc>
          <w:tcPr>
            <w:tcW w:w="5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6" w:lineRule="exact"/>
        <w:rPr>
          <w:sz w:val="20"/>
          <w:szCs w:val="20"/>
          <w:color w:val="auto"/>
        </w:rPr>
      </w:pPr>
    </w:p>
    <w:p>
      <w:pPr>
        <w:jc w:val="both"/>
        <w:ind w:firstLine="475"/>
        <w:spacing w:after="0" w:line="304" w:lineRule="auto"/>
        <w:rPr>
          <w:sz w:val="20"/>
          <w:szCs w:val="20"/>
          <w:color w:val="auto"/>
        </w:rPr>
      </w:pPr>
      <w:r>
        <w:rPr>
          <w:rFonts w:ascii="Times New Roman" w:cs="Times New Roman" w:eastAsia="Times New Roman" w:hAnsi="Times New Roman"/>
          <w:sz w:val="16"/>
          <w:szCs w:val="16"/>
          <w:color w:val="auto"/>
        </w:rPr>
        <w:t>R&amp;D expense increased by $1.7 million for the three months ended June 30, 2025, compared to the same period in 2024. The increase was primarily driven by a $2.8 million increase in salary and headcount costs, as well as a $0.4 million increase in technology infrastructure to support product development and collaboration tools. These increases were partially offset by a $1.9 million reduction in other R&amp;D-related IT costs as part of cost management initiatives.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635"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47"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Current R&amp;D efforts are primarily focused on supporting the development and production readiness of the SuperOne vehicle. As the Company transitions from an R&amp;D-intensive phase to one focused on commercialization, resources are being strategically reallocated from R&amp;D to manufacturing. This includes coordination with the flexible production line at our Hanford facility, which is being configured to support scalable manufacturing across multiple vehicle variants.</w:t>
      </w:r>
    </w:p>
    <w:p>
      <w:pPr>
        <w:spacing w:after="0" w:line="209" w:lineRule="exact"/>
        <w:rPr>
          <w:sz w:val="20"/>
          <w:szCs w:val="20"/>
          <w:color w:val="auto"/>
        </w:rPr>
      </w:pPr>
    </w:p>
    <w:p>
      <w:pPr>
        <w:ind w:right="40" w:firstLine="475"/>
        <w:spacing w:after="0" w:line="257" w:lineRule="auto"/>
        <w:rPr>
          <w:sz w:val="20"/>
          <w:szCs w:val="20"/>
          <w:color w:val="auto"/>
        </w:rPr>
      </w:pPr>
      <w:r>
        <w:rPr>
          <w:rFonts w:ascii="Times New Roman" w:cs="Times New Roman" w:eastAsia="Times New Roman" w:hAnsi="Times New Roman"/>
          <w:sz w:val="18"/>
          <w:szCs w:val="18"/>
          <w:color w:val="auto"/>
        </w:rPr>
        <w:t>While internal R&amp;D activity has begun to normalize, we continue to advance key initiatives through a combination of targeted internal development and expanded collaboration with external technology partners. In addition, we are broadening our EV technology roadmap to include more affordable platforms, enabling us to address both luxury and accessible segments in line with industry trends.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(6-Month Overview)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8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260" w:type="dxa"/>
            <w:vAlign w:val="bottom"/>
          </w:tcPr>
          <w:p>
            <w:pPr>
              <w:spacing w:after="0"/>
              <w:rPr>
                <w:sz w:val="19"/>
                <w:szCs w:val="19"/>
                <w:color w:val="auto"/>
              </w:rPr>
            </w:pPr>
          </w:p>
        </w:tc>
        <w:tc>
          <w:tcPr>
            <w:tcW w:w="1740" w:type="dxa"/>
            <w:vAlign w:val="bottom"/>
            <w:gridSpan w:val="3"/>
          </w:tcPr>
          <w:p>
            <w:pPr>
              <w:ind w:left="10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Pr>
          <w:p>
            <w:pPr>
              <w:spacing w:after="0"/>
              <w:rPr>
                <w:sz w:val="19"/>
                <w:szCs w:val="19"/>
                <w:color w:val="auto"/>
              </w:rPr>
            </w:pPr>
          </w:p>
        </w:tc>
      </w:tr>
      <w:tr>
        <w:trPr>
          <w:trHeight w:val="257"/>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740" w:type="dxa"/>
            <w:vAlign w:val="bottom"/>
            <w:tcBorders>
              <w:top w:val="single" w:sz="8" w:color="auto"/>
            </w:tcBorders>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60" w:type="dxa"/>
            <w:vAlign w:val="bottom"/>
            <w:tcBorders>
              <w:top w:val="single" w:sz="8" w:color="auto"/>
            </w:tcBorders>
          </w:tcPr>
          <w:p>
            <w:pPr>
              <w:jc w:val="right"/>
              <w:ind w:right="616"/>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7"/>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11,423</w:t>
            </w:r>
          </w:p>
        </w:tc>
        <w:tc>
          <w:tcPr>
            <w:tcW w:w="1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10,005</w:t>
            </w:r>
          </w:p>
        </w:tc>
        <w:tc>
          <w:tcPr>
            <w:tcW w:w="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8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14.2 %</w:t>
            </w:r>
          </w:p>
        </w:tc>
      </w:tr>
      <w:tr>
        <w:trPr>
          <w:trHeight w:val="27"/>
        </w:trPr>
        <w:tc>
          <w:tcPr>
            <w:tcW w:w="51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6"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R&amp;D expense increased by $1.4 million for the six months ended June 30, 2025, compared to the same period in 2024. The increase was primarily driven by a $2.5 million increase in salaries and headcount costs and a $2.4 million increase resulting from lower allocations to cost of revenue in 2025. These increases were partially offset by a $3.5 million decrease in information technology expenses. Overall, these shifts resulted in more expenses remaining in the R&amp;D category this year.</w:t>
      </w:r>
    </w:p>
    <w:p>
      <w:pPr>
        <w:spacing w:after="0" w:line="116"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Our current R&amp;D activities are heavily focused on supporting the engineering, design, and production readiness of the SuperOne vehicle. As the Company transitions from a development phase to production, R&amp;D resources are being strategically directed toward finalizing the SuperOne platform and preparing for scalable manufacturing. This includes coordination with the flexible production line at the Hanford facility, which is designed to accommodate multiple vehicle variants.</w:t>
      </w:r>
    </w:p>
    <w:p>
      <w:pPr>
        <w:spacing w:after="0" w:line="209" w:lineRule="exact"/>
        <w:rPr>
          <w:sz w:val="20"/>
          <w:szCs w:val="20"/>
          <w:color w:val="auto"/>
        </w:rPr>
      </w:pPr>
    </w:p>
    <w:p>
      <w:pPr>
        <w:ind w:right="140" w:firstLine="475"/>
        <w:spacing w:after="0" w:line="257" w:lineRule="auto"/>
        <w:rPr>
          <w:sz w:val="20"/>
          <w:szCs w:val="20"/>
          <w:color w:val="auto"/>
        </w:rPr>
      </w:pPr>
      <w:r>
        <w:rPr>
          <w:rFonts w:ascii="Times New Roman" w:cs="Times New Roman" w:eastAsia="Times New Roman" w:hAnsi="Times New Roman"/>
          <w:sz w:val="18"/>
          <w:szCs w:val="18"/>
          <w:color w:val="auto"/>
        </w:rPr>
        <w:t>While overall R&amp;D spending is beginning to moderate, we continue to leverage a combination of internal capabilities and external partnerships to sustain innovation efficiently. We are also broadening our technology portfolio to include more accessible EV platforms, allowing us to serve both luxury and broader market segments in alignment with evolving industry demand.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(3-Month Overview)</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2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080" w:type="dxa"/>
            <w:vAlign w:val="bottom"/>
          </w:tcPr>
          <w:p>
            <w:pPr>
              <w:spacing w:after="0"/>
              <w:rPr>
                <w:sz w:val="19"/>
                <w:szCs w:val="19"/>
                <w:color w:val="auto"/>
              </w:rPr>
            </w:pPr>
          </w:p>
        </w:tc>
        <w:tc>
          <w:tcPr>
            <w:tcW w:w="920" w:type="dxa"/>
            <w:vAlign w:val="bottom"/>
            <w:gridSpan w:val="3"/>
          </w:tcPr>
          <w:p>
            <w:pPr>
              <w:ind w:left="2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Pr>
          <w:p>
            <w:pPr>
              <w:spacing w:after="0"/>
              <w:rPr>
                <w:sz w:val="19"/>
                <w:szCs w:val="19"/>
                <w:color w:val="auto"/>
              </w:rPr>
            </w:pPr>
          </w:p>
        </w:tc>
      </w:tr>
      <w:tr>
        <w:trPr>
          <w:trHeight w:val="257"/>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4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CCEEFF"/>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616"/>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7"/>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27"/>
        </w:trPr>
        <w:tc>
          <w:tcPr>
            <w:tcW w:w="5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6"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Sales and marketing expense increased by $0.1 million for the three months ended June 30, 2025, compared to the same period in 2024. The increase was primarily driven by a $1.0 million rise in marketing expenses related to the promotion of the new FX line and a $0.1 million increase in professional service costs. These increases were partially offset by a $0.8 million reduction in rent and a $0.3 million decrease in compensation costs.</w:t>
      </w:r>
    </w:p>
    <w:p>
      <w:pPr>
        <w:spacing w:after="0" w:line="113"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Although headcount in the sales and marketing function has been reduced, the Company continues to scale its outreach through a Co-Creation strategy that engages high-profile influencers, industry pioneers, and social media personalities. This model allows us to extend brand awareness efficiently by integrating key stakeholders into the vehicle launch process and public-facing campaigns.</w:t>
      </w:r>
    </w:p>
    <w:p>
      <w:pPr>
        <w:spacing w:after="0" w:line="206"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We also held VIP experiences and participated in high-impact industry events to generate media coverage and drive customer engagement. These efforts helped increase brand visibility and contributed to a rise in customer reservations. This lean, targeted approach has allowed us to maintain a strong marketing presence while optimizing internal cost structure.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635"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(6-Month Overview)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180" w:type="dxa"/>
            <w:vAlign w:val="bottom"/>
          </w:tcPr>
          <w:p>
            <w:pPr>
              <w:spacing w:after="0"/>
              <w:rPr>
                <w:sz w:val="19"/>
                <w:szCs w:val="19"/>
                <w:color w:val="auto"/>
              </w:rPr>
            </w:pPr>
          </w:p>
        </w:tc>
        <w:tc>
          <w:tcPr>
            <w:tcW w:w="2420" w:type="dxa"/>
            <w:vAlign w:val="bottom"/>
            <w:tcBorders>
              <w:bottom w:val="single" w:sz="8" w:color="auto"/>
            </w:tcBorders>
            <w:gridSpan w:val="4"/>
          </w:tcPr>
          <w:p>
            <w:pPr>
              <w:ind w:left="540"/>
              <w:spacing w:after="0"/>
              <w:rPr>
                <w:sz w:val="20"/>
                <w:szCs w:val="20"/>
                <w:color w:val="auto"/>
              </w:rPr>
            </w:pPr>
            <w:r>
              <w:rPr>
                <w:rFonts w:ascii="Times New Roman" w:cs="Times New Roman" w:eastAsia="Times New Roman" w:hAnsi="Times New Roman"/>
                <w:sz w:val="16"/>
                <w:szCs w:val="16"/>
                <w:b w:val="1"/>
                <w:bCs w:val="1"/>
                <w:color w:val="auto"/>
                <w:w w:val="99"/>
              </w:rPr>
              <w:t>Six Months Ended June 30,</w:t>
            </w:r>
          </w:p>
        </w:tc>
        <w:tc>
          <w:tcPr>
            <w:tcW w:w="5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Borders>
              <w:bottom w:val="single" w:sz="8" w:color="auto"/>
            </w:tcBorders>
          </w:tcPr>
          <w:p>
            <w:pPr>
              <w:spacing w:after="0"/>
              <w:rPr>
                <w:sz w:val="19"/>
                <w:szCs w:val="19"/>
                <w:color w:val="auto"/>
              </w:rPr>
            </w:pPr>
          </w:p>
        </w:tc>
      </w:tr>
      <w:tr>
        <w:trPr>
          <w:trHeight w:val="257"/>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8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7"/>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2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4,502</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4,256</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r>
      <w:tr>
        <w:trPr>
          <w:trHeight w:val="27"/>
        </w:trPr>
        <w:tc>
          <w:tcPr>
            <w:tcW w:w="51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19"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Sales and marketing expense increased by $0.2 million for the six months ended June 30, 2025, compared to the same period in 2024. The increase was primarily driven by a $1.7 million rise in marketing expenses related to the promotion of the new FX line and a $0.2 million increase in compensation costs, despite a reduction in sales and marketing personnel. These increases were partially offset by a $1.3 million reduction in rent.</w:t>
      </w:r>
    </w:p>
    <w:p>
      <w:pPr>
        <w:spacing w:after="0" w:line="100"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The Company continues to execute an efficient marketing strategy by leveraging its Co-Creation model, which engages industry pioneers, high-profile influencers, and social media personalities to promote the brand. This collaborative approach enables us to extend our marketing reach and generate visibility across key customer segments with lower internal resources.</w:t>
      </w:r>
    </w:p>
    <w:p>
      <w:pPr>
        <w:spacing w:after="0" w:line="113" w:lineRule="exact"/>
        <w:rPr>
          <w:sz w:val="20"/>
          <w:szCs w:val="20"/>
          <w:color w:val="auto"/>
        </w:rPr>
      </w:pPr>
    </w:p>
    <w:p>
      <w:pPr>
        <w:jc w:val="both"/>
        <w:ind w:right="140" w:firstLine="475"/>
        <w:spacing w:after="0" w:line="257" w:lineRule="auto"/>
        <w:rPr>
          <w:sz w:val="20"/>
          <w:szCs w:val="20"/>
          <w:color w:val="auto"/>
        </w:rPr>
      </w:pPr>
      <w:r>
        <w:rPr>
          <w:rFonts w:ascii="Times New Roman" w:cs="Times New Roman" w:eastAsia="Times New Roman" w:hAnsi="Times New Roman"/>
          <w:sz w:val="18"/>
          <w:szCs w:val="18"/>
          <w:color w:val="auto"/>
        </w:rPr>
        <w:t>In addition, we hosted targeted launch events, VIP showcases, and participated in major automotive industry exhibitions. These immersive experiences contributed to growing customer interest and increased vehicle reservations, particularly for the FX line. The combination of external partnerships and digital engagement has allowed us to maintain brand momentum while controlling costs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(3-Month Overview)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4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60" w:type="dxa"/>
            <w:vAlign w:val="bottom"/>
          </w:tcPr>
          <w:p>
            <w:pPr>
              <w:spacing w:after="0"/>
              <w:rPr>
                <w:sz w:val="19"/>
                <w:szCs w:val="19"/>
                <w:color w:val="auto"/>
              </w:rPr>
            </w:pPr>
          </w:p>
        </w:tc>
        <w:tc>
          <w:tcPr>
            <w:tcW w:w="1740" w:type="dxa"/>
            <w:vAlign w:val="bottom"/>
            <w:gridSpan w:val="3"/>
          </w:tcPr>
          <w:p>
            <w:pPr>
              <w:ind w:left="10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Pr>
          <w:p>
            <w:pPr>
              <w:spacing w:after="0"/>
              <w:rPr>
                <w:sz w:val="19"/>
                <w:szCs w:val="19"/>
                <w:color w:val="auto"/>
              </w:rPr>
            </w:pPr>
          </w:p>
        </w:tc>
      </w:tr>
      <w:tr>
        <w:trPr>
          <w:trHeight w:val="257"/>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jc w:val="right"/>
              <w:ind w:right="435"/>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740" w:type="dxa"/>
            <w:vAlign w:val="bottom"/>
            <w:tcBorders>
              <w:top w:val="single" w:sz="8" w:color="auto"/>
            </w:tcBorders>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60" w:type="dxa"/>
            <w:vAlign w:val="bottom"/>
            <w:tcBorders>
              <w:top w:val="single" w:sz="8" w:color="auto"/>
            </w:tcBorders>
          </w:tcPr>
          <w:p>
            <w:pPr>
              <w:jc w:val="right"/>
              <w:ind w:right="616"/>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7"/>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14,097</w:t>
            </w:r>
          </w:p>
        </w:tc>
        <w:tc>
          <w:tcPr>
            <w:tcW w:w="1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17,201</w:t>
            </w:r>
          </w:p>
        </w:tc>
        <w:tc>
          <w:tcPr>
            <w:tcW w:w="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w:t>
            </w:r>
          </w:p>
        </w:tc>
        <w:tc>
          <w:tcPr>
            <w:tcW w:w="8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7"/>
        </w:trPr>
        <w:tc>
          <w:tcPr>
            <w:tcW w:w="51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19"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General and administrative expense decreased by $3.1 million for the three months ended June 30, 2025, compared to the same period in 2024. The decrease was primarily driven by a $2.9 million reduction in insurance costs—mainly due to lower directors and officers’ insurance premiums—a $3.5 million increase in allocation to cost of goods sold, and a $2.5 million decrease in operating consumables. These reductions were partially offset by a$2.1 million increase in compensation and a $1.7 million increase in general expenses.</w:t>
      </w:r>
    </w:p>
    <w:p>
      <w:pPr>
        <w:spacing w:after="0" w:line="103"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This net decrease reflects the impact of our ongoing cost-optimization initiatives aimed at increasing administrative efficiency. Key measures included renegotiating vendor contracts, consolidating office space to reduce occupancy expenses, and restructuring elements of our workforce. These actions have allowed us to lower baseline overhead while maintaining necessary investments in personnel, advisors, and infrastructure critical to executing on our operational and strategic priorities.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(6-Month Overview)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8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260" w:type="dxa"/>
            <w:vAlign w:val="bottom"/>
          </w:tcPr>
          <w:p>
            <w:pPr>
              <w:spacing w:after="0"/>
              <w:rPr>
                <w:sz w:val="19"/>
                <w:szCs w:val="19"/>
                <w:color w:val="auto"/>
              </w:rPr>
            </w:pPr>
          </w:p>
        </w:tc>
        <w:tc>
          <w:tcPr>
            <w:tcW w:w="1740" w:type="dxa"/>
            <w:vAlign w:val="bottom"/>
            <w:gridSpan w:val="3"/>
          </w:tcPr>
          <w:p>
            <w:pPr>
              <w:ind w:left="10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Pr>
          <w:p>
            <w:pPr>
              <w:spacing w:after="0"/>
              <w:rPr>
                <w:sz w:val="19"/>
                <w:szCs w:val="19"/>
                <w:color w:val="auto"/>
              </w:rPr>
            </w:pPr>
          </w:p>
        </w:tc>
      </w:tr>
      <w:tr>
        <w:trPr>
          <w:trHeight w:val="257"/>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740" w:type="dxa"/>
            <w:vAlign w:val="bottom"/>
            <w:tcBorders>
              <w:top w:val="single" w:sz="8" w:color="auto"/>
            </w:tcBorders>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60" w:type="dxa"/>
            <w:vAlign w:val="bottom"/>
            <w:tcBorders>
              <w:top w:val="single" w:sz="8" w:color="auto"/>
            </w:tcBorders>
          </w:tcPr>
          <w:p>
            <w:pPr>
              <w:jc w:val="right"/>
              <w:ind w:right="616"/>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7"/>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27,771</w:t>
            </w:r>
          </w:p>
        </w:tc>
        <w:tc>
          <w:tcPr>
            <w:tcW w:w="1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31,049</w:t>
            </w:r>
          </w:p>
        </w:tc>
        <w:tc>
          <w:tcPr>
            <w:tcW w:w="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8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7"/>
        </w:trPr>
        <w:tc>
          <w:tcPr>
            <w:tcW w:w="51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6"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General and administrative expense decreased by $3.3 million for the six months ended June 30, 2025, compared to the same period in2024. The decrease was primarily driven by a $5.8 million reduction in insurance costs—mainly due to lower directors and officers’ insurance premiums—a $4.3 million reduction in allocation to cost of goods sold, and a $0.8 million decrease in information technology expenses. These reductions were partially offset by a $4.8 million increase in compensation and a $1.3 million increase in professional service fees.</w:t>
      </w:r>
    </w:p>
    <w:p>
      <w:pPr>
        <w:spacing w:after="0" w:line="116"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This net decrease reflects the continued impact of our cost-optimization initiatives aimed at improving the efficiency of general and administrative operations. Key actions during the period included renegotiating vendor agreements, consolidating office space to lower occupancy costs, and restructuring portions of our workforce. These measures have allowed us to reduce overhead in areas such as insurance and IT, while preserving investment capacity for critical personnel and external advisors supporting the Company’s core business objectives.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Impairment, net (3-Month Overview)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000" w:type="dxa"/>
            <w:vAlign w:val="bottom"/>
          </w:tcPr>
          <w:p>
            <w:pPr>
              <w:spacing w:after="0"/>
              <w:rPr>
                <w:sz w:val="19"/>
                <w:szCs w:val="19"/>
                <w:color w:val="auto"/>
              </w:rPr>
            </w:pPr>
          </w:p>
        </w:tc>
        <w:tc>
          <w:tcPr>
            <w:tcW w:w="2680" w:type="dxa"/>
            <w:vAlign w:val="bottom"/>
            <w:tcBorders>
              <w:bottom w:val="single" w:sz="8" w:color="auto"/>
            </w:tcBorders>
            <w:gridSpan w:val="4"/>
          </w:tcPr>
          <w:p>
            <w:pPr>
              <w:ind w:left="58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0" w:type="dxa"/>
            <w:vAlign w:val="bottom"/>
            <w:tcBorders>
              <w:bottom w:val="single" w:sz="8" w:color="auto"/>
            </w:tcBorders>
          </w:tcPr>
          <w:p>
            <w:pPr>
              <w:spacing w:after="0"/>
              <w:rPr>
                <w:sz w:val="19"/>
                <w:szCs w:val="19"/>
                <w:color w:val="auto"/>
              </w:rPr>
            </w:pPr>
          </w:p>
        </w:tc>
      </w:tr>
      <w:tr>
        <w:trPr>
          <w:trHeight w:val="257"/>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7"/>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impairment, net</w:t>
            </w:r>
          </w:p>
        </w:tc>
        <w:tc>
          <w:tcPr>
            <w:tcW w:w="1120" w:type="dxa"/>
            <w:vAlign w:val="bottom"/>
            <w:shd w:val="clear" w:color="auto" w:fill="CCEEFF"/>
          </w:tcPr>
          <w:p>
            <w:pPr>
              <w:jc w:val="right"/>
              <w:ind w:right="935"/>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3"/>
            <w:shd w:val="clear" w:color="auto" w:fill="CCEEFF"/>
          </w:tcPr>
          <w:p>
            <w:pPr>
              <w:jc w:val="right"/>
              <w:ind w:right="852"/>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7,616</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(7,616)</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7"/>
        </w:trPr>
        <w:tc>
          <w:tcPr>
            <w:tcW w:w="50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73"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During the three months ended June 30, 2024, we recorded a $7.6 million impairment loss related to lease right-of-use (“ROU”) assets. This loss was associated with our decision to exit a leased store facility, a research facility, and an administrative office in China. These actions were part of broader efforts to negotiate early lease terminations with landlords and streamline our global footprint.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Impairment, net (6-Month Overview)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000" w:type="dxa"/>
            <w:vAlign w:val="bottom"/>
          </w:tcPr>
          <w:p>
            <w:pPr>
              <w:spacing w:after="0"/>
              <w:rPr>
                <w:sz w:val="19"/>
                <w:szCs w:val="19"/>
                <w:color w:val="auto"/>
              </w:rPr>
            </w:pPr>
          </w:p>
        </w:tc>
        <w:tc>
          <w:tcPr>
            <w:tcW w:w="2660" w:type="dxa"/>
            <w:vAlign w:val="bottom"/>
            <w:tcBorders>
              <w:bottom w:val="single" w:sz="8" w:color="auto"/>
            </w:tcBorders>
            <w:gridSpan w:val="4"/>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5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0" w:type="dxa"/>
            <w:vAlign w:val="bottom"/>
            <w:tcBorders>
              <w:bottom w:val="single" w:sz="8" w:color="auto"/>
            </w:tcBorders>
          </w:tcPr>
          <w:p>
            <w:pPr>
              <w:spacing w:after="0"/>
              <w:rPr>
                <w:sz w:val="19"/>
                <w:szCs w:val="19"/>
                <w:color w:val="auto"/>
              </w:rPr>
            </w:pPr>
          </w:p>
        </w:tc>
      </w:tr>
      <w:tr>
        <w:trPr>
          <w:trHeight w:val="257"/>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7"/>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impairment, net</w:t>
            </w:r>
          </w:p>
        </w:tc>
        <w:tc>
          <w:tcPr>
            <w:tcW w:w="1120" w:type="dxa"/>
            <w:vAlign w:val="bottom"/>
            <w:shd w:val="clear" w:color="auto" w:fill="CCEEFF"/>
          </w:tcPr>
          <w:p>
            <w:pPr>
              <w:jc w:val="right"/>
              <w:ind w:right="935"/>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3"/>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7,616</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(7,616)</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7"/>
        </w:trPr>
        <w:tc>
          <w:tcPr>
            <w:tcW w:w="50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60"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During the six months ended June 30, 2024, we recorded a $7.6 million impairment loss related to lease right-of-use (“ROU”) assets. This loss resulted from moving out of a leased store facility, a leased research facility, and an administrative facility in China, as we worked with landlords to negotiate the related lease terminations.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(gain) from disposal of property, plant and equipment (3-Month Overview)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180" w:type="dxa"/>
            <w:vAlign w:val="bottom"/>
          </w:tcPr>
          <w:p>
            <w:pPr>
              <w:spacing w:after="0"/>
              <w:rPr>
                <w:sz w:val="19"/>
                <w:szCs w:val="19"/>
                <w:color w:val="auto"/>
              </w:rPr>
            </w:pPr>
          </w:p>
        </w:tc>
        <w:tc>
          <w:tcPr>
            <w:tcW w:w="2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Borders>
              <w:bottom w:val="single" w:sz="8" w:color="auto"/>
            </w:tcBorders>
          </w:tcPr>
          <w:p>
            <w:pPr>
              <w:spacing w:after="0"/>
              <w:rPr>
                <w:sz w:val="19"/>
                <w:szCs w:val="19"/>
                <w:color w:val="auto"/>
              </w:rPr>
            </w:pPr>
          </w:p>
        </w:tc>
      </w:tr>
      <w:tr>
        <w:trPr>
          <w:trHeight w:val="257"/>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7"/>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(gain) on disposal of property, plant, and equipment</w:t>
            </w:r>
          </w:p>
        </w:tc>
        <w:tc>
          <w:tcPr>
            <w:tcW w:w="980" w:type="dxa"/>
            <w:vAlign w:val="bottom"/>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140" w:type="dxa"/>
            <w:vAlign w:val="bottom"/>
            <w:shd w:val="clear" w:color="auto" w:fill="CCEEFF"/>
          </w:tcPr>
          <w:p>
            <w:pPr>
              <w:jc w:val="right"/>
              <w:ind w:right="87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1625.0 %</w:t>
            </w:r>
          </w:p>
        </w:tc>
      </w:tr>
      <w:tr>
        <w:trPr>
          <w:trHeight w:val="27"/>
        </w:trPr>
        <w:tc>
          <w:tcPr>
            <w:tcW w:w="51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6" w:lineRule="exact"/>
        <w:rPr>
          <w:sz w:val="20"/>
          <w:szCs w:val="20"/>
          <w:color w:val="auto"/>
        </w:rPr>
      </w:pPr>
    </w:p>
    <w:p>
      <w:pPr>
        <w:jc w:val="both"/>
        <w:ind w:firstLine="475"/>
        <w:spacing w:after="0" w:line="333" w:lineRule="auto"/>
        <w:rPr>
          <w:sz w:val="20"/>
          <w:szCs w:val="20"/>
          <w:color w:val="auto"/>
        </w:rPr>
      </w:pPr>
      <w:r>
        <w:rPr>
          <w:rFonts w:ascii="Times New Roman" w:cs="Times New Roman" w:eastAsia="Times New Roman" w:hAnsi="Times New Roman"/>
          <w:sz w:val="16"/>
          <w:szCs w:val="16"/>
          <w:color w:val="auto"/>
        </w:rPr>
        <w:t>Loss (gain) on disposal of property, plant, and equipment increased by approximately $0.3 million for the three months ended June 30, 2025, compared to the same period in 2024. We dispose of equipment when the assets become obsolete, costly to maintain, or are replaced by more efficient technologies.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(gain) from disposal of property, plant and equipment (6-Month Overview)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180" w:type="dxa"/>
            <w:vAlign w:val="bottom"/>
          </w:tcPr>
          <w:p>
            <w:pPr>
              <w:spacing w:after="0"/>
              <w:rPr>
                <w:sz w:val="19"/>
                <w:szCs w:val="19"/>
                <w:color w:val="auto"/>
              </w:rPr>
            </w:pPr>
          </w:p>
        </w:tc>
        <w:tc>
          <w:tcPr>
            <w:tcW w:w="248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4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Borders>
              <w:bottom w:val="single" w:sz="8" w:color="auto"/>
            </w:tcBorders>
          </w:tcPr>
          <w:p>
            <w:pPr>
              <w:spacing w:after="0"/>
              <w:rPr>
                <w:sz w:val="19"/>
                <w:szCs w:val="19"/>
                <w:color w:val="auto"/>
              </w:rPr>
            </w:pPr>
          </w:p>
        </w:tc>
      </w:tr>
      <w:tr>
        <w:trPr>
          <w:trHeight w:val="257"/>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7"/>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(gain) on disposal of property, plant, and equipment</w:t>
            </w:r>
          </w:p>
        </w:tc>
        <w:tc>
          <w:tcPr>
            <w:tcW w:w="980" w:type="dxa"/>
            <w:vAlign w:val="bottom"/>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60" w:type="dxa"/>
            <w:vAlign w:val="bottom"/>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(550.7)%</w:t>
            </w:r>
          </w:p>
        </w:tc>
      </w:tr>
      <w:tr>
        <w:trPr>
          <w:trHeight w:val="27"/>
        </w:trPr>
        <w:tc>
          <w:tcPr>
            <w:tcW w:w="51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19" w:lineRule="exact"/>
        <w:rPr>
          <w:sz w:val="20"/>
          <w:szCs w:val="20"/>
          <w:color w:val="auto"/>
        </w:rPr>
      </w:pPr>
    </w:p>
    <w:p>
      <w:pPr>
        <w:jc w:val="both"/>
        <w:ind w:firstLine="475"/>
        <w:spacing w:after="0" w:line="269" w:lineRule="auto"/>
        <w:rPr>
          <w:sz w:val="20"/>
          <w:szCs w:val="20"/>
          <w:color w:val="auto"/>
        </w:rPr>
      </w:pPr>
      <w:r>
        <w:rPr>
          <w:rFonts w:ascii="Times New Roman" w:cs="Times New Roman" w:eastAsia="Times New Roman" w:hAnsi="Times New Roman"/>
          <w:sz w:val="18"/>
          <w:szCs w:val="18"/>
          <w:color w:val="auto"/>
        </w:rPr>
        <w:t>Loss (gain) on disposal of property, plant, and equipment increased by approximately $0.3 million for the six months ended June 30, 2025, compared to the same period in 2024. We dispose of equipment when the assets become obsolete, costly to maintain, or are replaced by more efficient technologies.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Notes Payable, Warrant Liabilities, and Derivative Call Options (3-Month Overview)</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2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80" w:type="dxa"/>
            <w:vAlign w:val="bottom"/>
          </w:tcPr>
          <w:p>
            <w:pPr>
              <w:spacing w:after="0"/>
              <w:rPr>
                <w:sz w:val="19"/>
                <w:szCs w:val="19"/>
                <w:color w:val="auto"/>
              </w:rPr>
            </w:pPr>
          </w:p>
        </w:tc>
        <w:tc>
          <w:tcPr>
            <w:tcW w:w="1740" w:type="dxa"/>
            <w:vAlign w:val="bottom"/>
            <w:gridSpan w:val="3"/>
          </w:tcPr>
          <w:p>
            <w:pPr>
              <w:ind w:left="10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Pr>
          <w:p>
            <w:pPr>
              <w:spacing w:after="0"/>
              <w:rPr>
                <w:sz w:val="19"/>
                <w:szCs w:val="19"/>
                <w:color w:val="auto"/>
              </w:rPr>
            </w:pPr>
          </w:p>
        </w:tc>
      </w:tr>
      <w:tr>
        <w:trPr>
          <w:trHeight w:val="257"/>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jc w:val="right"/>
              <w:ind w:right="455"/>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74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60" w:type="dxa"/>
            <w:vAlign w:val="bottom"/>
            <w:tcBorders>
              <w:top w:val="single" w:sz="8" w:color="auto"/>
            </w:tcBorders>
          </w:tcPr>
          <w:p>
            <w:pPr>
              <w:jc w:val="right"/>
              <w:ind w:right="616"/>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6"/>
        </w:trPr>
        <w:tc>
          <w:tcPr>
            <w:tcW w:w="5160" w:type="dxa"/>
            <w:vAlign w:val="bottom"/>
            <w:tcBorders>
              <w:top w:val="single" w:sz="8" w:color="CCEEFF"/>
            </w:tcBorders>
            <w:shd w:val="clear" w:color="auto" w:fill="CCEEFF"/>
          </w:tcPr>
          <w:p>
            <w:pPr>
              <w:ind w:left="20"/>
              <w:spacing w:after="0" w:line="206" w:lineRule="exact"/>
              <w:rPr>
                <w:sz w:val="20"/>
                <w:szCs w:val="20"/>
                <w:color w:val="auto"/>
              </w:rPr>
            </w:pPr>
            <w:r>
              <w:rPr>
                <w:rFonts w:ascii="Times New Roman" w:cs="Times New Roman" w:eastAsia="Times New Roman" w:hAnsi="Times New Roman"/>
                <w:sz w:val="18"/>
                <w:szCs w:val="18"/>
                <w:color w:val="auto"/>
                <w:w w:val="99"/>
              </w:rPr>
              <w:t>Change in fair value of notes payable, warrant liabilities, and derivative</w:t>
            </w:r>
          </w:p>
        </w:tc>
        <w:tc>
          <w:tcPr>
            <w:tcW w:w="2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r>
      <w:tr>
        <w:trPr>
          <w:trHeight w:val="229"/>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call options</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(46,078)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536.0 %</w:t>
            </w:r>
          </w:p>
        </w:tc>
      </w:tr>
      <w:tr>
        <w:trPr>
          <w:trHeight w:val="27"/>
        </w:trPr>
        <w:tc>
          <w:tcPr>
            <w:tcW w:w="51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6" w:lineRule="exact"/>
        <w:rPr>
          <w:sz w:val="20"/>
          <w:szCs w:val="20"/>
          <w:color w:val="auto"/>
        </w:rPr>
      </w:pPr>
    </w:p>
    <w:p>
      <w:pPr>
        <w:jc w:val="both"/>
        <w:ind w:firstLine="475"/>
        <w:spacing w:after="0" w:line="269" w:lineRule="auto"/>
        <w:rPr>
          <w:sz w:val="20"/>
          <w:szCs w:val="20"/>
          <w:color w:val="auto"/>
        </w:rPr>
      </w:pPr>
      <w:r>
        <w:rPr>
          <w:rFonts w:ascii="Times New Roman" w:cs="Times New Roman" w:eastAsia="Times New Roman" w:hAnsi="Times New Roman"/>
          <w:sz w:val="18"/>
          <w:szCs w:val="18"/>
          <w:color w:val="auto"/>
        </w:rPr>
        <w:t>During the three months ended June 30, 2025 we recognized an aggregate day-one loss of $12.5 million related to the initial measurement of SPA Portfolio Notes, Warrants and Incremental Warrants. By contrast, during the same period in 2024,</w:t>
      </w:r>
    </w:p>
    <w:p>
      <w:pPr>
        <w:sectPr>
          <w:pgSz w:w="11900" w:h="16838" w:orient="portrait"/>
          <w:cols w:equalWidth="0" w:num="1">
            <w:col w:w="11240"/>
          </w:cols>
          <w:pgMar w:left="320" w:top="635"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635" w:right="33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color w:val="auto"/>
        </w:rPr>
        <w:t>these instruments were calibrated to the cash proceeds received and did not result in a day-one loss. The 2025 loss was further impacted by $31.8 million loss from subsequent fair value remeasurement. The re-measurement was primarily driven by increases in the Company’s stock price during the period compared to preceding three month. However, the increase in the total monetary impact was attributable to the following factors. During the three months ended June 30, 2025 we recognized a $8.7 million loss from the change in fair value of the Incremental Warrants. There was no comparable instrument outstanding during the three months ended June 30, 2024. During the three months ended June 30, 2025 we recognized a $14.3 million loss from the change in fair value of the SPA Portfolio warrants compared to a $0.2 million gain during the same period in 2024. This increase was largely driven by the year-over-year growth in the number of SPA Portfolio warrants outstanding. Beginning in the second half of 2024, we began issuing SPA Portfolio warrants equal to 100% of the shares issuable upon conversion of the aggregate principal amount of the applicable SPA Portfolio Note, significantly increasing the number of warrants outstanding year over year. As of June 30, 2025 there were 52,596,811 SPA Portfolio third party warrants outstanding compared to 13,355 outstanding as of June 30, 2024.</w:t>
      </w:r>
    </w:p>
    <w:p>
      <w:pPr>
        <w:spacing w:after="0" w:line="99" w:lineRule="exact"/>
        <w:rPr>
          <w:sz w:val="20"/>
          <w:szCs w:val="20"/>
          <w:color w:val="auto"/>
        </w:rPr>
      </w:pPr>
    </w:p>
    <w:p>
      <w:pPr>
        <w:jc w:val="both"/>
        <w:ind w:firstLine="475"/>
        <w:spacing w:after="0" w:line="333" w:lineRule="auto"/>
        <w:rPr>
          <w:sz w:val="20"/>
          <w:szCs w:val="20"/>
          <w:color w:val="auto"/>
        </w:rPr>
      </w:pPr>
      <w:r>
        <w:rPr>
          <w:rFonts w:ascii="Times New Roman" w:cs="Times New Roman" w:eastAsia="Times New Roman" w:hAnsi="Times New Roman"/>
          <w:sz w:val="16"/>
          <w:szCs w:val="16"/>
          <w:color w:val="auto"/>
        </w:rPr>
        <w:t>During the three months ended June 30, 2024, the fair value of our outstanding notes and warrants were revalued at higher values than in the preceding three month period due to pricing inputs that use the market price of our Common Stock and debt discount rate, which experienced a relative increase.</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Notes Payable, Warrant Liabilities, and Derivative Call Options (6-Month Overview)</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180" w:type="dxa"/>
            <w:vAlign w:val="bottom"/>
          </w:tcPr>
          <w:p>
            <w:pPr>
              <w:spacing w:after="0"/>
              <w:rPr>
                <w:sz w:val="19"/>
                <w:szCs w:val="19"/>
                <w:color w:val="auto"/>
              </w:rPr>
            </w:pPr>
          </w:p>
        </w:tc>
        <w:tc>
          <w:tcPr>
            <w:tcW w:w="2980" w:type="dxa"/>
            <w:vAlign w:val="bottom"/>
            <w:gridSpan w:val="6"/>
          </w:tcPr>
          <w:p>
            <w:pPr>
              <w:ind w:left="52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280" w:type="dxa"/>
            <w:vAlign w:val="bottom"/>
          </w:tcPr>
          <w:p>
            <w:pPr>
              <w:spacing w:after="0"/>
              <w:rPr>
                <w:sz w:val="19"/>
                <w:szCs w:val="19"/>
                <w:color w:val="auto"/>
              </w:rPr>
            </w:pPr>
          </w:p>
        </w:tc>
        <w:tc>
          <w:tcPr>
            <w:tcW w:w="1740" w:type="dxa"/>
            <w:vAlign w:val="bottom"/>
            <w:gridSpan w:val="3"/>
          </w:tcPr>
          <w:p>
            <w:pPr>
              <w:ind w:left="10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Pr>
          <w:p>
            <w:pPr>
              <w:spacing w:after="0"/>
              <w:rPr>
                <w:sz w:val="19"/>
                <w:szCs w:val="19"/>
                <w:color w:val="auto"/>
              </w:rPr>
            </w:pPr>
          </w:p>
        </w:tc>
      </w:tr>
      <w:tr>
        <w:trPr>
          <w:trHeight w:val="257"/>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0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50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74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60" w:type="dxa"/>
            <w:vAlign w:val="bottom"/>
            <w:tcBorders>
              <w:top w:val="single" w:sz="8" w:color="auto"/>
            </w:tcBorders>
          </w:tcPr>
          <w:p>
            <w:pPr>
              <w:jc w:val="right"/>
              <w:ind w:right="616"/>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6"/>
        </w:trPr>
        <w:tc>
          <w:tcPr>
            <w:tcW w:w="5180" w:type="dxa"/>
            <w:vAlign w:val="bottom"/>
            <w:tcBorders>
              <w:top w:val="single" w:sz="8" w:color="CCEEFF"/>
            </w:tcBorders>
            <w:shd w:val="clear" w:color="auto" w:fill="CCEEFF"/>
          </w:tcPr>
          <w:p>
            <w:pPr>
              <w:ind w:left="20"/>
              <w:spacing w:after="0" w:line="206" w:lineRule="exact"/>
              <w:rPr>
                <w:sz w:val="20"/>
                <w:szCs w:val="20"/>
                <w:color w:val="auto"/>
              </w:rPr>
            </w:pPr>
            <w:r>
              <w:rPr>
                <w:rFonts w:ascii="Times New Roman" w:cs="Times New Roman" w:eastAsia="Times New Roman" w:hAnsi="Times New Roman"/>
                <w:sz w:val="18"/>
                <w:szCs w:val="18"/>
                <w:color w:val="auto"/>
                <w:w w:val="99"/>
              </w:rPr>
              <w:t>Change in fair value of notes payable, warrant liabilities, and derivative</w:t>
            </w:r>
          </w:p>
        </w:tc>
        <w:tc>
          <w:tcPr>
            <w:tcW w:w="9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r>
      <w:tr>
        <w:trPr>
          <w:trHeight w:val="229"/>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call options</w:t>
            </w:r>
          </w:p>
        </w:tc>
        <w:tc>
          <w:tcPr>
            <w:tcW w:w="90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5,380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r>
      <w:tr>
        <w:trPr>
          <w:trHeight w:val="27"/>
        </w:trPr>
        <w:tc>
          <w:tcPr>
            <w:tcW w:w="51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6" w:lineRule="exact"/>
        <w:rPr>
          <w:sz w:val="20"/>
          <w:szCs w:val="20"/>
          <w:color w:val="auto"/>
        </w:rPr>
      </w:pPr>
    </w:p>
    <w:p>
      <w:pPr>
        <w:jc w:val="both"/>
        <w:ind w:firstLine="475"/>
        <w:spacing w:after="0" w:line="279" w:lineRule="auto"/>
        <w:rPr>
          <w:sz w:val="20"/>
          <w:szCs w:val="20"/>
          <w:color w:val="auto"/>
        </w:rPr>
      </w:pPr>
      <w:r>
        <w:rPr>
          <w:rFonts w:ascii="Times New Roman" w:cs="Times New Roman" w:eastAsia="Times New Roman" w:hAnsi="Times New Roman"/>
          <w:sz w:val="16"/>
          <w:szCs w:val="16"/>
          <w:color w:val="auto"/>
        </w:rPr>
        <w:t>During the six months ended June 30, 2025 we recognized an aggregate day-one loss of $36.1 million related to the initial measurement of SPA Portfolio Notes, Warrants and Incremental Warrants. By contrast, during the same period in 2024, these instruments were calibrated to the cash proceeds received and did not result in a day-one loss. This loss was offset by a $43.7 million net gain from subsequent remeasurement. Our outstanding notes and warrants were remeasured at predominantly lower fair values due to pricing inputs that use the market price of our Common Stock, which experienced a decline during the period. The fair value of the SPA Portfolio Notes and associated warrants is influenced by the relationship between the Company’s stock price and the applicable conversion or exercise prices. As of June 30, 2025, the stock price was $1.68, compared to a weighted average conversion price of $1.225 for the SPA Portfolio Notes and warrant exercise prices ranging from $1.16 to $1.464. While these instruments remained in-the-money, the narrowing spread relative to December 31, 2024—when the stock price was $2.43 — reduced their intrinsic value. This decline in intrinsic value contributed to the decrease in fair value and the resulting net gains recognized during the period. Specifically, during the six months ended June 30, 2025 we recognized a $23.6 million net gain from the change in fair value of the Incremental Warrants. There was no comparable instrument outstanding during the six months ended June 30, 2024. During the six months ended June 30, 2025 we recognized a $7.1 million net gain from the change in fair value of the SPA Portfolio Note warrants compared to a zero net gain during the same period in 2024. This increase was largely driven by the year-over-year growth in the number of SPA Portfolio Note warrants outstanding. Beginning in the second half of 2024, we began issuing SPA Portfolio Note warrants equal to 100% of the shares issuable upon conversion of the aggregate principal amount of the applicable SPA Portfolio Note, significantly increasing the number of warrants outstanding year over year. As of June 30, 2025 there were 52,596,811 SPA Portfolio third party warrants outstanding compared to 13,355 outstanding as of June 30, 2024.</w:t>
      </w:r>
    </w:p>
    <w:p>
      <w:pPr>
        <w:spacing w:after="0" w:line="316"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During the six months ended June 30, 2024, the fair value of our outstanding notes and warrants were revalued at lower values than in the preceding six month periods. Our outstanding notes and warrants were remeasured at predominantly lower fair values due to pricing inputs that use the market price of our Common Stock and debt discount rate, which have experienced a decline.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635"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Related Party Notes Payable and Related Party Warrant Liabilities (3-Month Overview)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2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80" w:type="dxa"/>
            <w:vAlign w:val="bottom"/>
          </w:tcPr>
          <w:p>
            <w:pPr>
              <w:spacing w:after="0"/>
              <w:rPr>
                <w:sz w:val="19"/>
                <w:szCs w:val="19"/>
                <w:color w:val="auto"/>
              </w:rPr>
            </w:pPr>
          </w:p>
        </w:tc>
        <w:tc>
          <w:tcPr>
            <w:tcW w:w="1740" w:type="dxa"/>
            <w:vAlign w:val="bottom"/>
            <w:gridSpan w:val="3"/>
          </w:tcPr>
          <w:p>
            <w:pPr>
              <w:ind w:left="10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Pr>
          <w:p>
            <w:pPr>
              <w:spacing w:after="0"/>
              <w:rPr>
                <w:sz w:val="19"/>
                <w:szCs w:val="19"/>
                <w:color w:val="auto"/>
              </w:rPr>
            </w:pPr>
          </w:p>
        </w:tc>
      </w:tr>
      <w:tr>
        <w:trPr>
          <w:trHeight w:val="257"/>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jc w:val="right"/>
              <w:ind w:right="435"/>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74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60" w:type="dxa"/>
            <w:vAlign w:val="bottom"/>
            <w:tcBorders>
              <w:top w:val="single" w:sz="8" w:color="auto"/>
            </w:tcBorders>
          </w:tcPr>
          <w:p>
            <w:pPr>
              <w:jc w:val="right"/>
              <w:ind w:right="616"/>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6"/>
        </w:trPr>
        <w:tc>
          <w:tcPr>
            <w:tcW w:w="5180" w:type="dxa"/>
            <w:vAlign w:val="bottom"/>
            <w:tcBorders>
              <w:top w:val="single" w:sz="8" w:color="CCEEFF"/>
            </w:tcBorders>
            <w:shd w:val="clear" w:color="auto" w:fill="CCEEFF"/>
          </w:tcPr>
          <w:p>
            <w:pPr>
              <w:ind w:left="20"/>
              <w:spacing w:after="0" w:line="206" w:lineRule="exact"/>
              <w:rPr>
                <w:sz w:val="20"/>
                <w:szCs w:val="20"/>
                <w:color w:val="auto"/>
              </w:rPr>
            </w:pPr>
            <w:r>
              <w:rPr>
                <w:rFonts w:ascii="Times New Roman" w:cs="Times New Roman" w:eastAsia="Times New Roman" w:hAnsi="Times New Roman"/>
                <w:sz w:val="18"/>
                <w:szCs w:val="18"/>
                <w:color w:val="auto"/>
              </w:rPr>
              <w:t>Change in fair value of related party notes payable, warrant liabilities,</w:t>
            </w:r>
          </w:p>
        </w:tc>
        <w:tc>
          <w:tcPr>
            <w:tcW w:w="2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r>
      <w:tr>
        <w:trPr>
          <w:trHeight w:val="229"/>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derivative call options</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1451.2 %</w:t>
            </w:r>
          </w:p>
        </w:tc>
      </w:tr>
      <w:tr>
        <w:trPr>
          <w:trHeight w:val="27"/>
        </w:trPr>
        <w:tc>
          <w:tcPr>
            <w:tcW w:w="51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6" w:lineRule="exact"/>
        <w:rPr>
          <w:sz w:val="20"/>
          <w:szCs w:val="20"/>
          <w:color w:val="auto"/>
        </w:rPr>
      </w:pPr>
    </w:p>
    <w:p>
      <w:pPr>
        <w:jc w:val="both"/>
        <w:ind w:firstLine="475"/>
        <w:spacing w:after="0" w:line="247" w:lineRule="auto"/>
        <w:rPr>
          <w:sz w:val="20"/>
          <w:szCs w:val="20"/>
          <w:color w:val="auto"/>
        </w:rPr>
      </w:pPr>
      <w:r>
        <w:rPr>
          <w:rFonts w:ascii="Times New Roman" w:cs="Times New Roman" w:eastAsia="Times New Roman" w:hAnsi="Times New Roman"/>
          <w:sz w:val="18"/>
          <w:szCs w:val="18"/>
          <w:color w:val="auto"/>
        </w:rPr>
        <w:t>The Change in fair value of related party notes payable, warrant liabilities, and derivative call options increased by $4.8 million for the three months ended June 30, 2025, when compared with the same period in 2024. Significant driving factors include (1) an increase in related party activity, such as issuance and conversion of the related party 2025 March Unsecured SPA Notes, warrants, and Incremental Warrants and (2) the recognition of day-one losses upon the issuance of related party 2025 March Unsecured SPA Notes and associated instruments. During the three months ended June 30, 2025 we issued $3.0 million of related party SPA Portfolio Notes. Upon issuance the Company recognized a day-one loss of $2.3 million, as the combined fair value of the SPA Portfolio Note, SPA Portfolio Note Warrant, and Incremental Warrant exceeded the cash proceeds received. These issuance-date losses were further increased by a $2.7 million loss from the remeasurement of related party notes payable, related party warrant liabilities, and related party Incremental Warrants as of June 30, 2025. The fair value of our related party instruments increased during the period ended June 30, 2025, primarily due to a 48.7% increase in our Class A Common Stock price over the quarter.</w:t>
      </w:r>
    </w:p>
    <w:p>
      <w:pPr>
        <w:spacing w:after="0" w:line="1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There was not significant related party debt outstanding or activity during the three months ended June 30, 2024.</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Related Party Notes Payable and Related Party Warrant Liabilities (6-Month Overview)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6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280" w:type="dxa"/>
            <w:vAlign w:val="bottom"/>
          </w:tcPr>
          <w:p>
            <w:pPr>
              <w:spacing w:after="0"/>
              <w:rPr>
                <w:sz w:val="19"/>
                <w:szCs w:val="19"/>
                <w:color w:val="auto"/>
              </w:rPr>
            </w:pPr>
          </w:p>
        </w:tc>
        <w:tc>
          <w:tcPr>
            <w:tcW w:w="1740" w:type="dxa"/>
            <w:vAlign w:val="bottom"/>
            <w:gridSpan w:val="3"/>
          </w:tcPr>
          <w:p>
            <w:pPr>
              <w:ind w:left="10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Pr>
          <w:p>
            <w:pPr>
              <w:spacing w:after="0"/>
              <w:rPr>
                <w:sz w:val="19"/>
                <w:szCs w:val="19"/>
                <w:color w:val="auto"/>
              </w:rPr>
            </w:pPr>
          </w:p>
        </w:tc>
      </w:tr>
      <w:tr>
        <w:trPr>
          <w:trHeight w:val="257"/>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74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60" w:type="dxa"/>
            <w:vAlign w:val="bottom"/>
            <w:tcBorders>
              <w:top w:val="single" w:sz="8" w:color="auto"/>
            </w:tcBorders>
          </w:tcPr>
          <w:p>
            <w:pPr>
              <w:jc w:val="right"/>
              <w:ind w:right="616"/>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6"/>
        </w:trPr>
        <w:tc>
          <w:tcPr>
            <w:tcW w:w="5180" w:type="dxa"/>
            <w:vAlign w:val="bottom"/>
            <w:tcBorders>
              <w:top w:val="single" w:sz="8" w:color="CCEEFF"/>
            </w:tcBorders>
            <w:shd w:val="clear" w:color="auto" w:fill="CCEEFF"/>
          </w:tcPr>
          <w:p>
            <w:pPr>
              <w:ind w:left="20"/>
              <w:spacing w:after="0" w:line="206" w:lineRule="exact"/>
              <w:rPr>
                <w:sz w:val="20"/>
                <w:szCs w:val="20"/>
                <w:color w:val="auto"/>
              </w:rPr>
            </w:pPr>
            <w:r>
              <w:rPr>
                <w:rFonts w:ascii="Times New Roman" w:cs="Times New Roman" w:eastAsia="Times New Roman" w:hAnsi="Times New Roman"/>
                <w:sz w:val="18"/>
                <w:szCs w:val="18"/>
                <w:color w:val="auto"/>
              </w:rPr>
              <w:t>Change in fair value of related party notes payable, warrant liabilities,</w:t>
            </w:r>
          </w:p>
        </w:tc>
        <w:tc>
          <w:tcPr>
            <w:tcW w:w="3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r>
      <w:tr>
        <w:trPr>
          <w:trHeight w:val="229"/>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derivative call options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1500.9 %</w:t>
            </w:r>
          </w:p>
        </w:tc>
      </w:tr>
      <w:tr>
        <w:trPr>
          <w:trHeight w:val="27"/>
        </w:trPr>
        <w:tc>
          <w:tcPr>
            <w:tcW w:w="51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6" w:lineRule="exact"/>
        <w:rPr>
          <w:sz w:val="20"/>
          <w:szCs w:val="20"/>
          <w:color w:val="auto"/>
        </w:rPr>
      </w:pPr>
    </w:p>
    <w:p>
      <w:pPr>
        <w:jc w:val="both"/>
        <w:ind w:firstLine="475"/>
        <w:spacing w:after="0" w:line="247" w:lineRule="auto"/>
        <w:rPr>
          <w:sz w:val="20"/>
          <w:szCs w:val="20"/>
          <w:color w:val="auto"/>
        </w:rPr>
      </w:pPr>
      <w:r>
        <w:rPr>
          <w:rFonts w:ascii="Times New Roman" w:cs="Times New Roman" w:eastAsia="Times New Roman" w:hAnsi="Times New Roman"/>
          <w:sz w:val="18"/>
          <w:szCs w:val="18"/>
          <w:color w:val="auto"/>
        </w:rPr>
        <w:t>The Change in fair value of related party notes payable, warrant liabilities, and derivative call options increased by $5.1 million for the six months ended June 30, 2025, when compared with the same period in 2024. Significant driving factors include (1) an increase in related party activity, such as issuance and conversion of the related party 2025 March Unsecured SPA Notes, warrants, and Incremental Warrants and (2) the recognition of day-one losses upon issuance of related party 2025 March Unsecured SPA Notes and associated instruments. We issued $4.6 million of related party SPA Portfolio Notes during the six months ended June 30, 2025. Upon issuance the Company recognized a day-one loss of $3.4 million, as the combined fair value of the SPA Portfolio Note, SPA Portfolio Note Warrant, and Incremental Warrant exceeded the cash proceeds received. These issuance-date losses were further increased by $1.8 million loss from the remeasurement of related party notes payable, related party warrant liabilities, and related party Incremental Warrants as of June 30, 2025. The fair value of our related party instruments increased during the period ended June 30, 2025, primarily due to a 33% in our Class A Common Stock price over the period since the first issuance of 2025 March Unsecured SPA Notes to related parties in March 2025.</w:t>
      </w:r>
    </w:p>
    <w:p>
      <w:pPr>
        <w:spacing w:after="0" w:line="1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There was not significant related party debt activity during the six months ended June 30, 2024.</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Settlement of Notes Payable (3-Month Overview)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2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80" w:type="dxa"/>
            <w:vAlign w:val="bottom"/>
          </w:tcPr>
          <w:p>
            <w:pPr>
              <w:spacing w:after="0"/>
              <w:rPr>
                <w:sz w:val="19"/>
                <w:szCs w:val="19"/>
                <w:color w:val="auto"/>
              </w:rPr>
            </w:pPr>
          </w:p>
        </w:tc>
        <w:tc>
          <w:tcPr>
            <w:tcW w:w="1740" w:type="dxa"/>
            <w:vAlign w:val="bottom"/>
            <w:gridSpan w:val="3"/>
          </w:tcPr>
          <w:p>
            <w:pPr>
              <w:ind w:left="10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Pr>
          <w:p>
            <w:pPr>
              <w:spacing w:after="0"/>
              <w:rPr>
                <w:sz w:val="19"/>
                <w:szCs w:val="19"/>
                <w:color w:val="auto"/>
              </w:rPr>
            </w:pPr>
          </w:p>
        </w:tc>
      </w:tr>
      <w:tr>
        <w:trPr>
          <w:trHeight w:val="257"/>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jc w:val="right"/>
              <w:ind w:right="455"/>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74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60" w:type="dxa"/>
            <w:vAlign w:val="bottom"/>
            <w:tcBorders>
              <w:top w:val="single" w:sz="8" w:color="auto"/>
            </w:tcBorders>
          </w:tcPr>
          <w:p>
            <w:pPr>
              <w:jc w:val="right"/>
              <w:ind w:right="616"/>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7"/>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settlement of notes payable</w:t>
            </w: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(22,458)</w:t>
            </w:r>
          </w:p>
        </w:tc>
        <w:tc>
          <w:tcPr>
            <w:tcW w:w="8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(46,978)</w:t>
            </w:r>
          </w:p>
        </w:tc>
        <w:tc>
          <w:tcPr>
            <w:tcW w:w="8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24,520</w:t>
            </w:r>
          </w:p>
        </w:tc>
        <w:tc>
          <w:tcPr>
            <w:tcW w:w="10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r>
      <w:tr>
        <w:trPr>
          <w:trHeight w:val="27"/>
        </w:trPr>
        <w:tc>
          <w:tcPr>
            <w:tcW w:w="51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6" w:lineRule="exact"/>
        <w:rPr>
          <w:sz w:val="20"/>
          <w:szCs w:val="20"/>
          <w:color w:val="auto"/>
        </w:rPr>
      </w:pPr>
    </w:p>
    <w:p>
      <w:pPr>
        <w:jc w:val="both"/>
        <w:ind w:firstLine="475"/>
        <w:spacing w:after="0" w:line="249" w:lineRule="auto"/>
        <w:rPr>
          <w:sz w:val="20"/>
          <w:szCs w:val="20"/>
          <w:color w:val="auto"/>
        </w:rPr>
      </w:pPr>
      <w:r>
        <w:rPr>
          <w:rFonts w:ascii="Times New Roman" w:cs="Times New Roman" w:eastAsia="Times New Roman" w:hAnsi="Times New Roman"/>
          <w:sz w:val="18"/>
          <w:szCs w:val="18"/>
          <w:color w:val="auto"/>
        </w:rPr>
        <w:t>The $24.5 million decrease in Loss on settlement of notes payable for the three months ended June 30, 2025, as compared to the same period in 2024, was primarily driven by a lower effective conversion ratio. The notes converted during the three months ended June 30, 2025 predominantly carried a 10% interest rate and did not include an interest make-whole provision. In contrast, the notes converted during the same period in 2024 bore a 15% interest rate and included an interest make-whole through maturity. The interest make-whole provision, which was eliminated pursuant to the Waiver Agreements entered into on August 2, 2024, and higher interest rate resulted in a greater number of shares being issued per dollar of principal converted during the three months ended June 30, 2024. As a result, the 2024 conversions generated a higher loss on settlement compared to 2025.</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635"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Settlement of Notes Payable (6-Month Overview)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8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280" w:type="dxa"/>
            <w:vAlign w:val="bottom"/>
          </w:tcPr>
          <w:p>
            <w:pPr>
              <w:spacing w:after="0"/>
              <w:rPr>
                <w:sz w:val="19"/>
                <w:szCs w:val="19"/>
                <w:color w:val="auto"/>
              </w:rPr>
            </w:pPr>
          </w:p>
        </w:tc>
        <w:tc>
          <w:tcPr>
            <w:tcW w:w="1740" w:type="dxa"/>
            <w:vAlign w:val="bottom"/>
            <w:gridSpan w:val="3"/>
          </w:tcPr>
          <w:p>
            <w:pPr>
              <w:ind w:left="10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Pr>
          <w:p>
            <w:pPr>
              <w:spacing w:after="0"/>
              <w:rPr>
                <w:sz w:val="19"/>
                <w:szCs w:val="19"/>
                <w:color w:val="auto"/>
              </w:rPr>
            </w:pPr>
          </w:p>
        </w:tc>
      </w:tr>
      <w:tr>
        <w:trPr>
          <w:trHeight w:val="257"/>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74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60" w:type="dxa"/>
            <w:vAlign w:val="bottom"/>
            <w:tcBorders>
              <w:top w:val="single" w:sz="8" w:color="auto"/>
            </w:tcBorders>
          </w:tcPr>
          <w:p>
            <w:pPr>
              <w:jc w:val="right"/>
              <w:ind w:right="616"/>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7"/>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settlement of notes payable</w:t>
            </w: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(38,378)</w:t>
            </w:r>
          </w:p>
        </w:tc>
        <w:tc>
          <w:tcPr>
            <w:tcW w:w="8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(58,381)</w:t>
            </w:r>
          </w:p>
        </w:tc>
        <w:tc>
          <w:tcPr>
            <w:tcW w:w="8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20,003</w:t>
            </w:r>
          </w:p>
        </w:tc>
        <w:tc>
          <w:tcPr>
            <w:tcW w:w="10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7"/>
        </w:trPr>
        <w:tc>
          <w:tcPr>
            <w:tcW w:w="51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6" w:lineRule="exact"/>
        <w:rPr>
          <w:sz w:val="20"/>
          <w:szCs w:val="20"/>
          <w:color w:val="auto"/>
        </w:rPr>
      </w:pPr>
    </w:p>
    <w:p>
      <w:pPr>
        <w:jc w:val="both"/>
        <w:ind w:firstLine="475"/>
        <w:spacing w:after="0" w:line="249" w:lineRule="auto"/>
        <w:rPr>
          <w:sz w:val="20"/>
          <w:szCs w:val="20"/>
          <w:color w:val="auto"/>
        </w:rPr>
      </w:pPr>
      <w:r>
        <w:rPr>
          <w:rFonts w:ascii="Times New Roman" w:cs="Times New Roman" w:eastAsia="Times New Roman" w:hAnsi="Times New Roman"/>
          <w:sz w:val="18"/>
          <w:szCs w:val="18"/>
          <w:color w:val="auto"/>
        </w:rPr>
        <w:t>The $20.0 million decrease in Loss on settlement of notes payable for the six months ended June 30, 2025, as compared to the same period in 2024, was primarily driven by a lower effective conversion ratio. The notes converted during the six months ended June 30, 2025 predominantly carried a 10% interest rate and did not include an interest make-whole provision. In contrast, the notes converted during the same period in 2024 bore a 15% interest rate and included an interest make-whole through maturity. The interest make-whole provision, which was eliminated pursuant to the Waiver Agreements entered into on August 2, 2024, and higher interest rate resulted in a greater number of shares being issued per dollar of principal converted during the six months ended June 30, 2024. As a result, the 2024 conversions generated a higher loss on settlement compared to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Settlement of Related Party Notes Payable (3-Month Overview)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3"/>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Borders>
              <w:bottom w:val="single" w:sz="8" w:color="auto"/>
            </w:tcBorders>
          </w:tcPr>
          <w:p>
            <w:pPr>
              <w:spacing w:after="0"/>
              <w:rPr>
                <w:sz w:val="19"/>
                <w:szCs w:val="19"/>
                <w:color w:val="auto"/>
              </w:rPr>
            </w:pPr>
          </w:p>
        </w:tc>
      </w:tr>
      <w:tr>
        <w:trPr>
          <w:trHeight w:val="257"/>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7"/>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settlement of related party notes payable</w:t>
            </w: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87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5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6"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During the three months ended June 30, 2025 a related party converted a $2.1 million note in exchange for 2,017,794 shares of our Class A Common Stock. We recognized a $1.9 million Loss on settlement of related party notes payable for the difference between the fair value of the shares issued and the fair value of the debt instrument. There were no related party debt conversions during the three months ended June 30,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Settlement of Related Party Notes Payable (6-Month Overview)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8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280" w:type="dxa"/>
            <w:vAlign w:val="bottom"/>
          </w:tcPr>
          <w:p>
            <w:pPr>
              <w:spacing w:after="0"/>
              <w:rPr>
                <w:sz w:val="19"/>
                <w:szCs w:val="19"/>
                <w:color w:val="auto"/>
              </w:rPr>
            </w:pPr>
          </w:p>
        </w:tc>
        <w:tc>
          <w:tcPr>
            <w:tcW w:w="1740" w:type="dxa"/>
            <w:vAlign w:val="bottom"/>
            <w:gridSpan w:val="3"/>
          </w:tcPr>
          <w:p>
            <w:pPr>
              <w:ind w:left="10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Pr>
          <w:p>
            <w:pPr>
              <w:spacing w:after="0"/>
              <w:rPr>
                <w:sz w:val="19"/>
                <w:szCs w:val="19"/>
                <w:color w:val="auto"/>
              </w:rPr>
            </w:pPr>
          </w:p>
        </w:tc>
      </w:tr>
      <w:tr>
        <w:trPr>
          <w:trHeight w:val="257"/>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74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60" w:type="dxa"/>
            <w:vAlign w:val="bottom"/>
            <w:tcBorders>
              <w:top w:val="single" w:sz="8" w:color="auto"/>
            </w:tcBorders>
          </w:tcPr>
          <w:p>
            <w:pPr>
              <w:jc w:val="right"/>
              <w:ind w:right="616"/>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7"/>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settlement of related party notes payable</w:t>
            </w: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8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(14,295)</w:t>
            </w:r>
          </w:p>
        </w:tc>
        <w:tc>
          <w:tcPr>
            <w:tcW w:w="8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11,255</w:t>
            </w:r>
          </w:p>
        </w:tc>
        <w:tc>
          <w:tcPr>
            <w:tcW w:w="10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r>
      <w:tr>
        <w:trPr>
          <w:trHeight w:val="27"/>
        </w:trPr>
        <w:tc>
          <w:tcPr>
            <w:tcW w:w="51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19"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During the six months ended June 30, 2025 a related party converted various notes with an aggregate principal of $3.6 million in exchange for 3,370,561.00 shares of our Class A Common Stock. We recognized a $3.0 million Loss on settlement of related party notes payable for the difference between the fair value of the shares issued and the fair value of the debt. instrument.</w:t>
      </w:r>
    </w:p>
    <w:p>
      <w:pPr>
        <w:spacing w:after="0" w:line="100"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 xml:space="preserve">During the six months ended June 30, 2024 we recognized a $14.1 million loss on related party notes related to interest, penalties, and principal increases resulting from our breach of the agreement with Chongqing Leshi Small Loan Co., Ltd. (“Chongqing”), as discussed in Note 8, </w:t>
      </w:r>
      <w:r>
        <w:rPr>
          <w:rFonts w:ascii="Times New Roman" w:cs="Times New Roman" w:eastAsia="Times New Roman" w:hAnsi="Times New Roman"/>
          <w:sz w:val="18"/>
          <w:szCs w:val="18"/>
          <w:i w:val="1"/>
          <w:iCs w:val="1"/>
          <w:color w:val="auto"/>
        </w:rPr>
        <w:t>Related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Transactions </w:t>
      </w:r>
      <w:r>
        <w:rPr>
          <w:rFonts w:ascii="Times New Roman" w:cs="Times New Roman" w:eastAsia="Times New Roman" w:hAnsi="Times New Roman"/>
          <w:sz w:val="18"/>
          <w:szCs w:val="18"/>
          <w:color w:val="auto"/>
        </w:rPr>
        <w:t>in the notes to the Unaudited Condensed Consolidated Financial Statements. There was no breach of our agreement with Chongqing 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six months ended June 30, 2025 and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(3-Month Overview)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180" w:type="dxa"/>
            <w:vAlign w:val="bottom"/>
          </w:tcPr>
          <w:p>
            <w:pPr>
              <w:spacing w:after="0"/>
              <w:rPr>
                <w:sz w:val="19"/>
                <w:szCs w:val="19"/>
                <w:color w:val="auto"/>
              </w:rPr>
            </w:pPr>
          </w:p>
        </w:tc>
        <w:tc>
          <w:tcPr>
            <w:tcW w:w="2980" w:type="dxa"/>
            <w:vAlign w:val="bottom"/>
            <w:gridSpan w:val="6"/>
          </w:tcPr>
          <w:p>
            <w:pPr>
              <w:ind w:left="4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040" w:type="dxa"/>
            <w:vAlign w:val="bottom"/>
          </w:tcPr>
          <w:p>
            <w:pPr>
              <w:spacing w:after="0"/>
              <w:rPr>
                <w:sz w:val="19"/>
                <w:szCs w:val="19"/>
                <w:color w:val="auto"/>
              </w:rPr>
            </w:pPr>
          </w:p>
        </w:tc>
        <w:tc>
          <w:tcPr>
            <w:tcW w:w="980" w:type="dxa"/>
            <w:vAlign w:val="bottom"/>
            <w:gridSpan w:val="3"/>
          </w:tcPr>
          <w:p>
            <w:pPr>
              <w:ind w:left="2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Pr>
          <w:p>
            <w:pPr>
              <w:spacing w:after="0"/>
              <w:rPr>
                <w:sz w:val="19"/>
                <w:szCs w:val="19"/>
                <w:color w:val="auto"/>
              </w:rPr>
            </w:pPr>
          </w:p>
        </w:tc>
      </w:tr>
      <w:tr>
        <w:trPr>
          <w:trHeight w:val="257"/>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616"/>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7"/>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920" w:type="dxa"/>
            <w:vAlign w:val="bottom"/>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(812)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r>
      <w:tr>
        <w:trPr>
          <w:trHeight w:val="27"/>
        </w:trPr>
        <w:tc>
          <w:tcPr>
            <w:tcW w:w="51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32" w:lineRule="exact"/>
        <w:rPr>
          <w:sz w:val="20"/>
          <w:szCs w:val="20"/>
          <w:color w:val="auto"/>
        </w:rPr>
      </w:pPr>
    </w:p>
    <w:p>
      <w:pPr>
        <w:jc w:val="both"/>
        <w:ind w:firstLine="475"/>
        <w:spacing w:after="0" w:line="250" w:lineRule="auto"/>
        <w:rPr>
          <w:sz w:val="20"/>
          <w:szCs w:val="20"/>
          <w:color w:val="auto"/>
        </w:rPr>
      </w:pPr>
      <w:r>
        <w:rPr>
          <w:rFonts w:ascii="Times New Roman" w:cs="Times New Roman" w:eastAsia="Times New Roman" w:hAnsi="Times New Roman"/>
          <w:sz w:val="18"/>
          <w:szCs w:val="18"/>
          <w:color w:val="auto"/>
        </w:rPr>
        <w:t>Interest expense decreased by approximately $0.9 million for the three months ended June 30, 2025, compared to the same period in 2024. This decrease primarily reflects the allocation of interest expense between reporting quarters, partially offset by higher interest costs associated with our financial obligations related to the FF ieFactory California manufacturing facility in Hanford, California. The interest expense on this financing obligation increases over time under the effective interest method, as the principal balance remains outstanding until maturity, with capitalized tenant improvement costs funded by a third party also increasing the carrying amount of the liability.</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635"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(6-Month Overview)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8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040" w:type="dxa"/>
            <w:vAlign w:val="bottom"/>
          </w:tcPr>
          <w:p>
            <w:pPr>
              <w:spacing w:after="0"/>
              <w:rPr>
                <w:sz w:val="19"/>
                <w:szCs w:val="19"/>
                <w:color w:val="auto"/>
              </w:rPr>
            </w:pPr>
          </w:p>
        </w:tc>
        <w:tc>
          <w:tcPr>
            <w:tcW w:w="980" w:type="dxa"/>
            <w:vAlign w:val="bottom"/>
            <w:gridSpan w:val="3"/>
          </w:tcPr>
          <w:p>
            <w:pPr>
              <w:ind w:left="2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Pr>
          <w:p>
            <w:pPr>
              <w:spacing w:after="0"/>
              <w:rPr>
                <w:sz w:val="19"/>
                <w:szCs w:val="19"/>
                <w:color w:val="auto"/>
              </w:rPr>
            </w:pPr>
          </w:p>
        </w:tc>
      </w:tr>
      <w:tr>
        <w:trPr>
          <w:trHeight w:val="257"/>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616"/>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7"/>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(3,944)</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7"/>
        </w:trPr>
        <w:tc>
          <w:tcPr>
            <w:tcW w:w="51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19" w:lineRule="exact"/>
        <w:rPr>
          <w:sz w:val="20"/>
          <w:szCs w:val="20"/>
          <w:color w:val="auto"/>
        </w:rPr>
      </w:pPr>
    </w:p>
    <w:p>
      <w:pPr>
        <w:jc w:val="both"/>
        <w:ind w:firstLine="475"/>
        <w:spacing w:after="0" w:line="250" w:lineRule="auto"/>
        <w:rPr>
          <w:sz w:val="20"/>
          <w:szCs w:val="20"/>
          <w:color w:val="auto"/>
        </w:rPr>
      </w:pPr>
      <w:r>
        <w:rPr>
          <w:rFonts w:ascii="Times New Roman" w:cs="Times New Roman" w:eastAsia="Times New Roman" w:hAnsi="Times New Roman"/>
          <w:sz w:val="18"/>
          <w:szCs w:val="18"/>
          <w:color w:val="auto"/>
        </w:rPr>
        <w:t>Interest expense decreased by approximately $0.9 million for the six months ended June 30, 2025, compared to the same period in 2024. This decrease was primarily due to interest expense allocated to construction in progress, partially offset by higher interest costs associated with our financial obligations related to the FF ieFactory California manufacturing facility in Hanford, California. The interest expense on this financing obligation increases over time under the effective interest method, as the principal balance remains outstanding until maturity, with capitalized tenant improvement costs funded by a third party also increasing the carrying amount of the liability.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Interest Expense (3-Month Overview)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160" w:type="dxa"/>
            <w:vAlign w:val="bottom"/>
          </w:tcPr>
          <w:p>
            <w:pPr>
              <w:spacing w:after="0"/>
              <w:rPr>
                <w:sz w:val="19"/>
                <w:szCs w:val="19"/>
                <w:color w:val="auto"/>
              </w:rPr>
            </w:pPr>
          </w:p>
        </w:tc>
        <w:tc>
          <w:tcPr>
            <w:tcW w:w="2980" w:type="dxa"/>
            <w:vAlign w:val="bottom"/>
            <w:gridSpan w:val="6"/>
          </w:tcPr>
          <w:p>
            <w:pPr>
              <w:ind w:left="4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60" w:type="dxa"/>
            <w:vAlign w:val="bottom"/>
          </w:tcPr>
          <w:p>
            <w:pPr>
              <w:spacing w:after="0"/>
              <w:rPr>
                <w:sz w:val="19"/>
                <w:szCs w:val="19"/>
                <w:color w:val="auto"/>
              </w:rPr>
            </w:pPr>
          </w:p>
        </w:tc>
        <w:tc>
          <w:tcPr>
            <w:tcW w:w="1760" w:type="dxa"/>
            <w:vAlign w:val="bottom"/>
            <w:gridSpan w:val="3"/>
          </w:tcPr>
          <w:p>
            <w:pPr>
              <w:ind w:left="10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80" w:type="dxa"/>
            <w:vAlign w:val="bottom"/>
          </w:tcPr>
          <w:p>
            <w:pPr>
              <w:spacing w:after="0"/>
              <w:rPr>
                <w:sz w:val="19"/>
                <w:szCs w:val="19"/>
                <w:color w:val="auto"/>
              </w:rPr>
            </w:pPr>
          </w:p>
        </w:tc>
      </w:tr>
      <w:tr>
        <w:trPr>
          <w:trHeight w:val="257"/>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Borders>
              <w:top w:val="single" w:sz="8" w:color="auto"/>
              <w:bottom w:val="single" w:sz="8" w:color="CCEEFF"/>
            </w:tcBorders>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636"/>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7"/>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party interest expense</w:t>
            </w:r>
          </w:p>
        </w:tc>
        <w:tc>
          <w:tcPr>
            <w:tcW w:w="1020" w:type="dxa"/>
            <w:vAlign w:val="bottom"/>
            <w:shd w:val="clear" w:color="auto" w:fill="CCEEFF"/>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7"/>
        </w:trPr>
        <w:tc>
          <w:tcPr>
            <w:tcW w:w="51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06"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Related party interest expense decreased by $1.5 million for the three months ended June 30, 2025, compared to the same period in 2024. The decrease was primarily driven by our default in the first quarter of 2024 on the loan with our related party lender, Chongqing, which triggered retroactive interest charges and penalties under the prior agreement. Under the revised loan agreement, no interest is incurred unless the Company defaults.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Interest Expense (6-Month Overview)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160" w:type="dxa"/>
            <w:vAlign w:val="bottom"/>
          </w:tcPr>
          <w:p>
            <w:pPr>
              <w:spacing w:after="0"/>
              <w:rPr>
                <w:sz w:val="19"/>
                <w:szCs w:val="19"/>
                <w:color w:val="auto"/>
              </w:rPr>
            </w:pPr>
          </w:p>
        </w:tc>
        <w:tc>
          <w:tcPr>
            <w:tcW w:w="2980" w:type="dxa"/>
            <w:vAlign w:val="bottom"/>
            <w:gridSpan w:val="6"/>
          </w:tcPr>
          <w:p>
            <w:pPr>
              <w:ind w:left="52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260" w:type="dxa"/>
            <w:vAlign w:val="bottom"/>
          </w:tcPr>
          <w:p>
            <w:pPr>
              <w:spacing w:after="0"/>
              <w:rPr>
                <w:sz w:val="19"/>
                <w:szCs w:val="19"/>
                <w:color w:val="auto"/>
              </w:rPr>
            </w:pPr>
          </w:p>
        </w:tc>
        <w:tc>
          <w:tcPr>
            <w:tcW w:w="1760" w:type="dxa"/>
            <w:vAlign w:val="bottom"/>
            <w:gridSpan w:val="3"/>
          </w:tcPr>
          <w:p>
            <w:pPr>
              <w:ind w:left="10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80" w:type="dxa"/>
            <w:vAlign w:val="bottom"/>
          </w:tcPr>
          <w:p>
            <w:pPr>
              <w:spacing w:after="0"/>
              <w:rPr>
                <w:sz w:val="19"/>
                <w:szCs w:val="19"/>
                <w:color w:val="auto"/>
              </w:rPr>
            </w:pPr>
          </w:p>
        </w:tc>
      </w:tr>
      <w:tr>
        <w:trPr>
          <w:trHeight w:val="257"/>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2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Borders>
              <w:top w:val="single" w:sz="8" w:color="auto"/>
              <w:bottom w:val="single" w:sz="8" w:color="CCEEFF"/>
            </w:tcBorders>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636"/>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7"/>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party interest expense</w:t>
            </w:r>
          </w:p>
        </w:tc>
        <w:tc>
          <w:tcPr>
            <w:tcW w:w="1020" w:type="dxa"/>
            <w:vAlign w:val="bottom"/>
            <w:shd w:val="clear" w:color="auto" w:fill="CCEEFF"/>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7"/>
        </w:trPr>
        <w:tc>
          <w:tcPr>
            <w:tcW w:w="51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06"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Related party interest expense decreased by $6.6 million for the six months ended June 30, 2025, compared to the same period in 2024. The decrease was primarily driven by our default in the first quarter of 2024 on the loan with our related party lender, Chongqing, which triggered retroactive interest charges and penalties under the prior agreement. Under the revised loan agreement, no interest is incurred unless the Company defaults.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net (3-Month Overview)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140" w:type="dxa"/>
            <w:vAlign w:val="bottom"/>
          </w:tcPr>
          <w:p>
            <w:pPr>
              <w:spacing w:after="0"/>
              <w:rPr>
                <w:sz w:val="19"/>
                <w:szCs w:val="19"/>
                <w:color w:val="auto"/>
              </w:rPr>
            </w:pPr>
          </w:p>
        </w:tc>
        <w:tc>
          <w:tcPr>
            <w:tcW w:w="2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80" w:type="dxa"/>
            <w:vAlign w:val="bottom"/>
            <w:tcBorders>
              <w:bottom w:val="single" w:sz="8" w:color="auto"/>
            </w:tcBorders>
          </w:tcPr>
          <w:p>
            <w:pPr>
              <w:spacing w:after="0"/>
              <w:rPr>
                <w:sz w:val="19"/>
                <w:szCs w:val="19"/>
                <w:color w:val="auto"/>
              </w:rPr>
            </w:pPr>
          </w:p>
        </w:tc>
      </w:tr>
      <w:tr>
        <w:trPr>
          <w:trHeight w:val="257"/>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7"/>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(loss), net</w:t>
            </w:r>
          </w:p>
        </w:tc>
        <w:tc>
          <w:tcPr>
            <w:tcW w:w="940" w:type="dxa"/>
            <w:vAlign w:val="bottom"/>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(292)</w:t>
            </w: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7"/>
        </w:trPr>
        <w:tc>
          <w:tcPr>
            <w:tcW w:w="51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06"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Other loss, net decreased by approximately $0.1 million for the three months ended June 30, 2025, compared to the same period in 2024. During 2025, the U.S. dollar’s continued strengthening against the Chinese yuan (CNY) resulted in a foreign currency transaction loss within Other income (loss), net. However, the extent of the dollar's appreciation was less than in 2024, leading to a smaller foreign currency transaction loss and contributing to the overall reduction in Other income (loss), net.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net (6-Month Overview)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180" w:type="dxa"/>
            <w:vAlign w:val="bottom"/>
          </w:tcPr>
          <w:p>
            <w:pPr>
              <w:spacing w:after="0"/>
              <w:rPr>
                <w:sz w:val="19"/>
                <w:szCs w:val="19"/>
                <w:color w:val="auto"/>
              </w:rPr>
            </w:pPr>
          </w:p>
        </w:tc>
        <w:tc>
          <w:tcPr>
            <w:tcW w:w="2480" w:type="dxa"/>
            <w:vAlign w:val="bottom"/>
            <w:tcBorders>
              <w:bottom w:val="single" w:sz="8" w:color="auto"/>
            </w:tcBorders>
            <w:gridSpan w:val="4"/>
          </w:tcPr>
          <w:p>
            <w:pPr>
              <w:ind w:left="52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4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Borders>
              <w:bottom w:val="single" w:sz="8" w:color="auto"/>
            </w:tcBorders>
          </w:tcPr>
          <w:p>
            <w:pPr>
              <w:spacing w:after="0"/>
              <w:rPr>
                <w:sz w:val="19"/>
                <w:szCs w:val="19"/>
                <w:color w:val="auto"/>
              </w:rPr>
            </w:pPr>
          </w:p>
        </w:tc>
      </w:tr>
      <w:tr>
        <w:trPr>
          <w:trHeight w:val="257"/>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2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4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60" w:type="dxa"/>
            <w:vAlign w:val="bottom"/>
          </w:tcPr>
          <w:p>
            <w:pPr>
              <w:jc w:val="right"/>
              <w:ind w:right="616"/>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7"/>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(loss), net</w:t>
            </w:r>
          </w:p>
        </w:tc>
        <w:tc>
          <w:tcPr>
            <w:tcW w:w="920" w:type="dxa"/>
            <w:vAlign w:val="bottom"/>
            <w:tcBorders>
              <w:top w:val="single" w:sz="8" w:color="auto"/>
            </w:tcBorders>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1,574</w:t>
            </w:r>
          </w:p>
        </w:tc>
        <w:tc>
          <w:tcPr>
            <w:tcW w:w="100" w:type="dxa"/>
            <w:vAlign w:val="bottom"/>
            <w:tcBorders>
              <w:top w:val="single" w:sz="8" w:color="CCEEFF"/>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0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561.3%</w:t>
            </w:r>
          </w:p>
        </w:tc>
      </w:tr>
      <w:tr>
        <w:trPr>
          <w:trHeight w:val="27"/>
        </w:trPr>
        <w:tc>
          <w:tcPr>
            <w:tcW w:w="51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6" w:lineRule="exact"/>
        <w:rPr>
          <w:sz w:val="20"/>
          <w:szCs w:val="20"/>
          <w:color w:val="auto"/>
        </w:rPr>
      </w:pPr>
    </w:p>
    <w:p>
      <w:pPr>
        <w:jc w:val="both"/>
        <w:ind w:firstLine="475"/>
        <w:spacing w:after="0" w:line="269" w:lineRule="auto"/>
        <w:rPr>
          <w:sz w:val="20"/>
          <w:szCs w:val="20"/>
          <w:color w:val="auto"/>
        </w:rPr>
      </w:pPr>
      <w:r>
        <w:rPr>
          <w:rFonts w:ascii="Times New Roman" w:cs="Times New Roman" w:eastAsia="Times New Roman" w:hAnsi="Times New Roman"/>
          <w:sz w:val="18"/>
          <w:szCs w:val="18"/>
          <w:color w:val="auto"/>
        </w:rPr>
        <w:t>Other income, net increased by $1,336 for the six months ended June 30, 2025, compared to the same period in 2024. During 2025, the U.S. dollar’s continued strengthening against the Chinese yuan (CNY) resulted in a foreign currency</w:t>
      </w:r>
    </w:p>
    <w:p>
      <w:pPr>
        <w:sectPr>
          <w:pgSz w:w="11900" w:h="16838" w:orient="portrait"/>
          <w:cols w:equalWidth="0" w:num="1">
            <w:col w:w="11240"/>
          </w:cols>
          <w:pgMar w:left="320" w:top="636"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4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transaction loss within Other income, net. However, the extent of the dollar's appreciation was less than in 2024, leading to a smaller foreign currency transaction loss and contributing to the overall reduction in Other income, net.</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140" w:lineRule="exact"/>
        <w:rPr>
          <w:sz w:val="20"/>
          <w:szCs w:val="20"/>
          <w:color w:val="auto"/>
        </w:rPr>
      </w:pPr>
    </w:p>
    <w:p>
      <w:pPr>
        <w:jc w:val="both"/>
        <w:ind w:firstLine="475"/>
        <w:spacing w:after="0" w:line="250" w:lineRule="auto"/>
        <w:rPr>
          <w:sz w:val="20"/>
          <w:szCs w:val="20"/>
          <w:color w:val="auto"/>
        </w:rPr>
      </w:pPr>
      <w:r>
        <w:rPr>
          <w:rFonts w:ascii="Times New Roman" w:cs="Times New Roman" w:eastAsia="Times New Roman" w:hAnsi="Times New Roman"/>
          <w:sz w:val="18"/>
          <w:szCs w:val="18"/>
          <w:color w:val="auto"/>
        </w:rPr>
        <w:t>We have evaluated whether there are certain conditions and events, considered in the aggregate, that raise substantial doubt about our ability to continue as a going concern within one year after the date that the Unaudited Condensed Consolidated Financial Statements are issued. Based on our recurring losses from operations since inception and continued cash outflows from operating activities (all as described below), we have concluded that there is substantial doubt about our ability to continue as a going concern for a period of one year from the date that these Unaudited Condensed Consolidated Financial Statements were issued.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Preparation of Financial statements</w:t>
      </w:r>
    </w:p>
    <w:p>
      <w:pPr>
        <w:spacing w:after="0" w:line="153"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The Unaudited Condensed Consolidated Financial Statements do not include any adjustments that might result from the outcome of this uncertainty. Accordingly, the Unaudited Condensed Consolidated Financial Statements have been prepared on a basis that assumes we will continue as a going concern, and which contemplates the realization of assets and satisfaction of liabilities and commitments in the ordinary course of business.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Investment, SPA Portfolio Notes, and Future Equity Plans</w:t>
      </w:r>
    </w:p>
    <w:p>
      <w:pPr>
        <w:spacing w:after="0" w:line="153"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We have and will continue to devote substantial effort and, to the extent available, capital resources, to strategic planning, engineering, design, and development of our electric vehicle platform, development of vehicle models, finalizing the build out of the FF ieFactory California manufacturing facility, and capital raising. We have incurred cumulative losses from operations, negative cash flows from operating activities, and we have an accumulated deficit of $4,449.3 million, an unrestricted cash balance of $13.2 million and a negative working capital position of $146.0 million as of June 30, 2025.</w:t>
      </w:r>
    </w:p>
    <w:p>
      <w:pPr>
        <w:spacing w:after="0" w:line="116"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During 2023, we commenced deliveries of the FF Series, specifically the FF 91 model, to customers. We are currently manufacturing the FF 91 with plans to manufacture FF 92 models within the FF Series. We have launched the FX Series, beginning with the SuperOne model, and is accepting pre-orders. We are preparing to initiate full-scale, series production of the FX Series, including the SuperOne, for commercial sale, as distinct from prototype builds or validation units. We expect to continue to incur significant operating losses for the foreseeable future.</w:t>
      </w:r>
    </w:p>
    <w:p>
      <w:pPr>
        <w:spacing w:after="0" w:line="103"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 xml:space="preserve">The Company has funded its operations and capital needs primarily through the issuance of notes payable and related party notes payable convertible notes (see Note 7, </w:t>
      </w:r>
      <w:r>
        <w:rPr>
          <w:rFonts w:ascii="Times New Roman" w:cs="Times New Roman" w:eastAsia="Times New Roman" w:hAnsi="Times New Roman"/>
          <w:sz w:val="18"/>
          <w:szCs w:val="18"/>
          <w:i w:val="1"/>
          <w:iCs w:val="1"/>
          <w:color w:val="auto"/>
        </w:rPr>
        <w:t>Notes Payable</w:t>
      </w:r>
      <w:r>
        <w:rPr>
          <w:rFonts w:ascii="Times New Roman" w:cs="Times New Roman" w:eastAsia="Times New Roman" w:hAnsi="Times New Roman"/>
          <w:sz w:val="18"/>
          <w:szCs w:val="18"/>
          <w:color w:val="auto"/>
        </w:rPr>
        <w:t xml:space="preserve"> and Note 8,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and the sale of common stock. Substantial doubt exists about the Company’s ability to continue as a going concern; however, management plans to continue funding operations through these means.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Commitments under SPA Portfolio Notes and Other Notes</w:t>
      </w:r>
    </w:p>
    <w:p>
      <w:pPr>
        <w:spacing w:after="0" w:line="1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i w:val="1"/>
          <w:iCs w:val="1"/>
          <w:u w:val="single" w:color="auto"/>
          <w:color w:val="auto"/>
        </w:rPr>
        <w:t>SPA Portfolio Notes: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We have issued various financing arrangements collectively known as the SPA Portfolio Notes. These are categorized as follows:</w:t>
      </w:r>
    </w:p>
    <w:p>
      <w:pPr>
        <w:spacing w:after="0" w:line="47" w:lineRule="exact"/>
        <w:rPr>
          <w:sz w:val="20"/>
          <w:szCs w:val="20"/>
          <w:color w:val="auto"/>
        </w:rPr>
      </w:pPr>
    </w:p>
    <w:p>
      <w:pPr>
        <w:ind w:left="160" w:firstLine="4"/>
        <w:spacing w:after="0" w:line="249" w:lineRule="auto"/>
        <w:tabs>
          <w:tab w:leader="none" w:pos="37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SPA Notes; (ii) 2023 Unsecured SPA Notes; (iii) Junior Secured SPA Notes; (iv) 2024 Unsecured SPA Notes (v) and 2025 March Unsecured SPA Notes. As of June 30, 2025, the SPA Portfolio Notes were in good standing.</w:t>
      </w:r>
    </w:p>
    <w:p>
      <w:pPr>
        <w:spacing w:after="0" w:line="105" w:lineRule="exact"/>
        <w:rPr>
          <w:sz w:val="20"/>
          <w:szCs w:val="20"/>
          <w:color w:val="auto"/>
        </w:rPr>
      </w:pPr>
    </w:p>
    <w:p>
      <w:pPr>
        <w:jc w:val="both"/>
        <w:ind w:firstLine="475"/>
        <w:spacing w:after="0" w:line="248" w:lineRule="auto"/>
        <w:rPr>
          <w:sz w:val="20"/>
          <w:szCs w:val="20"/>
          <w:color w:val="auto"/>
        </w:rPr>
      </w:pPr>
      <w:r>
        <w:rPr>
          <w:rFonts w:ascii="Times New Roman" w:cs="Times New Roman" w:eastAsia="Times New Roman" w:hAnsi="Times New Roman"/>
          <w:sz w:val="18"/>
          <w:szCs w:val="18"/>
          <w:color w:val="auto"/>
        </w:rPr>
        <w:t xml:space="preserve">Pursuant to the SPA Portfolio Notes commitments (collectively the “SPA Commitments”) (see Note 7, </w:t>
      </w:r>
      <w:r>
        <w:rPr>
          <w:rFonts w:ascii="Times New Roman" w:cs="Times New Roman" w:eastAsia="Times New Roman" w:hAnsi="Times New Roman"/>
          <w:sz w:val="18"/>
          <w:szCs w:val="18"/>
          <w:i w:val="1"/>
          <w:iCs w:val="1"/>
          <w:color w:val="auto"/>
        </w:rPr>
        <w:t>Notes Payable</w:t>
      </w:r>
      <w:r>
        <w:rPr>
          <w:rFonts w:ascii="Times New Roman" w:cs="Times New Roman" w:eastAsia="Times New Roman" w:hAnsi="Times New Roman"/>
          <w:sz w:val="18"/>
          <w:szCs w:val="18"/>
          <w:color w:val="auto"/>
        </w:rPr>
        <w:t xml:space="preserve"> and Note 8, </w:t>
      </w:r>
      <w:r>
        <w:rPr>
          <w:rFonts w:ascii="Times New Roman" w:cs="Times New Roman" w:eastAsia="Times New Roman" w:hAnsi="Times New Roman"/>
          <w:sz w:val="18"/>
          <w:szCs w:val="18"/>
          <w:i w:val="1"/>
          <w:iCs w:val="1"/>
          <w:color w:val="auto"/>
        </w:rPr>
        <w:t>Related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w:t>
      </w:r>
      <w:r>
        <w:rPr>
          <w:rFonts w:ascii="Times New Roman" w:cs="Times New Roman" w:eastAsia="Times New Roman" w:hAnsi="Times New Roman"/>
          <w:sz w:val="18"/>
          <w:szCs w:val="18"/>
          <w:color w:val="auto"/>
        </w:rPr>
        <w:t>), we obtained commitments from several investors. As of June 30, 2025, the SPA Commitments totaled $655.5 million, of which $449.3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funded, $206.2 million remained to be funded, and $33.3 million in principal was outstanding. As of June 30, 2025, Optional Commitments (including incremental warrants) under the SPA Commitments totaled $467.0 million, of which $60.9 million was funded, $406.1 million remained to be funded, and $10.0 million was outstanding. Of these amounts, $189.2 million of SPA Commitments and $305.1 million of Optional Commitments expired unfunded after June 30, 2025, but prior to issuance of these financial statements. The remaining amounts to be funded as of June 30, 2025 are subject to the achievement of delivery milestones, satisfaction of closing conditions, resolving disputes with investors, and satisfaction or waiver of other conditions, including for a portion of such financing an effective registration statement for the shares underlying the applicable notes.</w:t>
      </w:r>
    </w:p>
    <w:p>
      <w:pPr>
        <w:spacing w:after="0" w:line="124" w:lineRule="exact"/>
        <w:rPr>
          <w:sz w:val="20"/>
          <w:szCs w:val="20"/>
          <w:color w:val="auto"/>
        </w:rPr>
      </w:pPr>
    </w:p>
    <w:p>
      <w:pPr>
        <w:jc w:val="both"/>
        <w:ind w:firstLine="475"/>
        <w:spacing w:after="0" w:line="269" w:lineRule="auto"/>
        <w:rPr>
          <w:sz w:val="20"/>
          <w:szCs w:val="20"/>
          <w:color w:val="auto"/>
        </w:rPr>
      </w:pPr>
      <w:r>
        <w:rPr>
          <w:rFonts w:ascii="Times New Roman" w:cs="Times New Roman" w:eastAsia="Times New Roman" w:hAnsi="Times New Roman"/>
          <w:sz w:val="18"/>
          <w:szCs w:val="18"/>
          <w:color w:val="auto"/>
        </w:rPr>
        <w:t>We may be unable to satisfy the closing conditions under the SPA Commitments or obtain additional incremental convertible senior secured note purchasers under the SPA Commitments or other debt or equity financing in a timely manner, on acceptable terms, or at all.</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635"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5"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Subsequent to June 30, 2025, we entered into an $82.0 million financing agreement and raised approximately $45.7 million in gross proceeds from SPA Portfolio Notes financings and $1.4 million from warrant exercises (see Note 16 Subsequent Events) for details. While these transactions partially address our short-term liquidity needs, substantial doubt continues to exist regarding our ability to continue as a going concern.</w:t>
      </w:r>
    </w:p>
    <w:p>
      <w:pPr>
        <w:spacing w:after="0" w:line="98" w:lineRule="exact"/>
        <w:rPr>
          <w:sz w:val="20"/>
          <w:szCs w:val="20"/>
          <w:color w:val="auto"/>
        </w:rPr>
      </w:pPr>
    </w:p>
    <w:p>
      <w:pPr>
        <w:jc w:val="both"/>
        <w:ind w:firstLine="475"/>
        <w:spacing w:after="0" w:line="272" w:lineRule="auto"/>
        <w:rPr>
          <w:sz w:val="20"/>
          <w:szCs w:val="20"/>
          <w:color w:val="auto"/>
        </w:rPr>
      </w:pPr>
      <w:r>
        <w:rPr>
          <w:rFonts w:ascii="Times New Roman" w:cs="Times New Roman" w:eastAsia="Times New Roman" w:hAnsi="Times New Roman"/>
          <w:sz w:val="18"/>
          <w:szCs w:val="18"/>
          <w:i w:val="1"/>
          <w:iCs w:val="1"/>
          <w:u w:val="single" w:color="auto"/>
          <w:color w:val="auto"/>
        </w:rPr>
        <w:t>Other Financing Arrangements and Related Party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highlight w:val="white"/>
        </w:rPr>
        <w:t>Additional financing is provided via convertible debt instruments, equipment financing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arrangements, and related party notes that support our operations and capital expenditures. As of June 30, 2025, all notes were in good standing.</w:t>
      </w:r>
    </w:p>
    <w:p>
      <w:pPr>
        <w:spacing w:after="0" w:line="96" w:lineRule="exact"/>
        <w:rPr>
          <w:sz w:val="20"/>
          <w:szCs w:val="20"/>
          <w:color w:val="auto"/>
        </w:rPr>
      </w:pPr>
    </w:p>
    <w:p>
      <w:pPr>
        <w:ind w:right="4260"/>
        <w:spacing w:after="0" w:line="407" w:lineRule="auto"/>
        <w:rPr>
          <w:sz w:val="20"/>
          <w:szCs w:val="20"/>
          <w:color w:val="auto"/>
        </w:rPr>
      </w:pPr>
      <w:r>
        <w:rPr>
          <w:rFonts w:ascii="Times New Roman" w:cs="Times New Roman" w:eastAsia="Times New Roman" w:hAnsi="Times New Roman"/>
          <w:sz w:val="18"/>
          <w:szCs w:val="18"/>
          <w:b w:val="1"/>
          <w:bCs w:val="1"/>
          <w:i w:val="1"/>
          <w:iCs w:val="1"/>
          <w:color w:val="auto"/>
        </w:rPr>
        <w:t>Standby Equity Purchase Agreement, At-The-Market Offerin</w:t>
      </w: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8"/>
          <w:szCs w:val="18"/>
          <w:b w:val="1"/>
          <w:bCs w:val="1"/>
          <w:i w:val="1"/>
          <w:iCs w:val="1"/>
          <w:color w:val="auto"/>
        </w:rPr>
        <w:t xml:space="preserve">, and Equity Issuance Constraints </w:t>
      </w:r>
      <w:r>
        <w:rPr>
          <w:rFonts w:ascii="Times New Roman" w:cs="Times New Roman" w:eastAsia="Times New Roman" w:hAnsi="Times New Roman"/>
          <w:sz w:val="18"/>
          <w:szCs w:val="18"/>
          <w:i w:val="1"/>
          <w:iCs w:val="1"/>
          <w:color w:val="auto"/>
        </w:rPr>
        <w:t>Standby Equity Purchase Agreement</w:t>
      </w:r>
    </w:p>
    <w:p>
      <w:pPr>
        <w:spacing w:after="0" w:line="1"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On November 11, 2022, we entered into the SEPA, which expires in November 2025. Under the terms of the SEPA, we may, at our option, issue and sell from time to time up to $200.0 million (which can be increased up to $350.0 million in the aggregate at our option) of Class A Common Stock to Yorkville, subject to certain limitations. As of June 30, 2025, we had the right to issue and sell up to an additional $192.5 million, or $342.5 million if we exercise our option under the SEPA.</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At-The-Market Offerin</w:t>
      </w:r>
      <w:r>
        <w:rPr>
          <w:rFonts w:ascii="Times New Roman" w:cs="Times New Roman" w:eastAsia="Times New Roman" w:hAnsi="Times New Roman"/>
          <w:sz w:val="18"/>
          <w:szCs w:val="18"/>
          <w:color w:val="auto"/>
        </w:rPr>
        <w:t>g</w:t>
      </w:r>
    </w:p>
    <w:p>
      <w:pPr>
        <w:spacing w:after="0" w:line="151" w:lineRule="exact"/>
        <w:rPr>
          <w:sz w:val="20"/>
          <w:szCs w:val="20"/>
          <w:color w:val="auto"/>
        </w:rPr>
      </w:pPr>
    </w:p>
    <w:p>
      <w:pPr>
        <w:jc w:val="both"/>
        <w:ind w:firstLine="475"/>
        <w:spacing w:after="0" w:line="249" w:lineRule="auto"/>
        <w:rPr>
          <w:sz w:val="20"/>
          <w:szCs w:val="20"/>
          <w:color w:val="auto"/>
        </w:rPr>
      </w:pPr>
      <w:r>
        <w:rPr>
          <w:rFonts w:ascii="Times New Roman" w:cs="Times New Roman" w:eastAsia="Times New Roman" w:hAnsi="Times New Roman"/>
          <w:sz w:val="18"/>
          <w:szCs w:val="18"/>
          <w:color w:val="auto"/>
        </w:rPr>
        <w:t>On September 26, 2023, we entered into a sales agreement with Stifel, Nicolaus &amp; Company, Incorporated, B. Riley Securities, Inc., A.G.P./Alliance Global Partners, Wedbush Securities Inc. and Maxim Group LLC, as sales agents, to sell shares of Class A Common Stock, from time to time, with aggregate gross sales proceeds of up to $90.0 million pursuant to the Registration Statement as an “at-the-market” offering under the Securities Act (the “ATM Program”). Under applicable SEC rules and regulations, because the Company failed to timely file its Form 10-K for the year ended December 31, 2023, as well as its Form 10-Qs for the quarters ended March 31, 2024 and June 30, 2024, the Company was previously ineligible to access the ATM Program. However, as of August 1, 2025, the Company regained eligibility to access the ATM Program.</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Issuance Constraints</w:t>
      </w:r>
    </w:p>
    <w:p>
      <w:pPr>
        <w:spacing w:after="0" w:line="151" w:lineRule="exact"/>
        <w:rPr>
          <w:sz w:val="20"/>
          <w:szCs w:val="20"/>
          <w:color w:val="auto"/>
        </w:rPr>
      </w:pPr>
    </w:p>
    <w:p>
      <w:pPr>
        <w:jc w:val="both"/>
        <w:ind w:firstLine="475"/>
        <w:spacing w:after="0" w:line="250" w:lineRule="auto"/>
        <w:rPr>
          <w:sz w:val="20"/>
          <w:szCs w:val="20"/>
          <w:color w:val="auto"/>
        </w:rPr>
      </w:pPr>
      <w:r>
        <w:rPr>
          <w:rFonts w:ascii="Times New Roman" w:cs="Times New Roman" w:eastAsia="Times New Roman" w:hAnsi="Times New Roman"/>
          <w:sz w:val="18"/>
          <w:szCs w:val="18"/>
          <w:color w:val="auto"/>
        </w:rPr>
        <w:t>Our ability to issue and sell additional shares of Class A Common Stock or warrants to support ongoing capital needs is further constrained by the number of authorized shares. In addition to outstanding shares, we must also consider shares reserved for issuance under convertible debt, warrants or other obligations with equity rights. In addition, equity issuances can potentially trigger various anti-dilution features in our debt and equity instruments that increase the number of shares to be issued and/or reduce the exercise price. This could result in us having inadequate authorized shares to meet our outstanding commitments.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Needs, FX Series Production, and Bankruptcy Risk</w:t>
      </w:r>
    </w:p>
    <w:p>
      <w:pPr>
        <w:spacing w:after="0" w:line="140" w:lineRule="exact"/>
        <w:rPr>
          <w:sz w:val="20"/>
          <w:szCs w:val="20"/>
          <w:color w:val="auto"/>
        </w:rPr>
      </w:pPr>
    </w:p>
    <w:p>
      <w:pPr>
        <w:jc w:val="both"/>
        <w:ind w:firstLine="475"/>
        <w:spacing w:after="0" w:line="249" w:lineRule="auto"/>
        <w:rPr>
          <w:sz w:val="20"/>
          <w:szCs w:val="20"/>
          <w:color w:val="auto"/>
        </w:rPr>
      </w:pPr>
      <w:r>
        <w:rPr>
          <w:rFonts w:ascii="Times New Roman" w:cs="Times New Roman" w:eastAsia="Times New Roman" w:hAnsi="Times New Roman"/>
          <w:sz w:val="18"/>
          <w:szCs w:val="18"/>
          <w:color w:val="auto"/>
        </w:rPr>
        <w:t>We project that we will require substantial additional funds to continue operations and support production of the FF 91, and our FX Series of vehicles. If additional capital is not secured, we will not have sufficient resources to meet our obligations and continue operations, which could result in bankruptcy protection and asset liquidation, with equity holders receiving little to no recovery. However, the anticipated start of FX Series production is expected to generate new revenue streams and enhance operational performance, thereby partially mitigating near-term cash flow pressures. However, if additional capital is not secured, we will not have sufficient resources to meet our obligations and continue operations, which could result in bankruptcy protection and asset liquidation, with equity holders receiving little to no recovery.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Alternatives and Risks</w:t>
      </w:r>
    </w:p>
    <w:p>
      <w:pPr>
        <w:spacing w:after="0" w:line="153" w:lineRule="exact"/>
        <w:rPr>
          <w:sz w:val="20"/>
          <w:szCs w:val="20"/>
          <w:color w:val="auto"/>
        </w:rPr>
      </w:pPr>
    </w:p>
    <w:p>
      <w:pPr>
        <w:jc w:val="both"/>
        <w:ind w:firstLine="475"/>
        <w:spacing w:after="0" w:line="247" w:lineRule="auto"/>
        <w:rPr>
          <w:sz w:val="20"/>
          <w:szCs w:val="20"/>
          <w:color w:val="auto"/>
        </w:rPr>
      </w:pPr>
      <w:r>
        <w:rPr>
          <w:rFonts w:ascii="Times New Roman" w:cs="Times New Roman" w:eastAsia="Times New Roman" w:hAnsi="Times New Roman"/>
          <w:sz w:val="18"/>
          <w:szCs w:val="18"/>
          <w:color w:val="auto"/>
        </w:rPr>
        <w:t>We continue to explore various funding and financing alternatives to fund our ongoing operations and to ramp up production. The particular funding and financing mechanisms, terms, timing, and amounts depend on our assessment of opportunities available in the marketplace and the circumstances of the business at the relevant time. However, there have been delays in securing additional funding commitments, which have exacerbated supply chain pressures, among other things. If our ongoing capital raising efforts are unsuccessful or significantly delayed, or if we experience prolonged material adverse trends in our business, production will be delayed or decreased, and actual use of cash, production volume and revenue for 2025 will vary from our previously disclosed forecasts, and such variances may be material. While we are actively engaged in negotiations with potential financing sources, we may be unable to raise additional capital on terms acceptable to us or at all. In addition to the risk that our assumptions and analyses may prove incorrect, the projections may underestimate the professional fees and other costs to be incurred related to the pursuit of various financing options currently being considered and ongoing legal risks. Capital needs to fund development of our remaining product portfolio will highly depend on the market success and profitability of the FF 91 and the launch of the FX series, and our ability to accurately estimate and control costs. Apart from</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635"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FF 91 series and FX series, substantial additional capital will be required to fund operations, research, development, and design efforts for future vehicles.</w:t>
      </w:r>
    </w:p>
    <w:p>
      <w:pPr>
        <w:spacing w:after="0" w:line="172"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In addition, elevated U.S. import tariffs on electric vehicle components sourced from China could increase our future manufacturing costs as production of the FX Series and other future vehicle models are introduced. While tariffs did not materially impact cost of goods sold for the six months ended June 30, 2025, due to limited production volume, continued reliance on China-based suppliers may contribute to higher input costs, pressure gross margins, and increase the Company's future funding needs.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 and Future Capital Strat</w:t>
      </w:r>
      <w:r>
        <w:rPr>
          <w:rFonts w:ascii="Times New Roman" w:cs="Times New Roman" w:eastAsia="Times New Roman" w:hAnsi="Times New Roman"/>
          <w:sz w:val="18"/>
          <w:szCs w:val="18"/>
          <w:color w:val="auto"/>
        </w:rPr>
        <w:t>egy</w:t>
      </w:r>
    </w:p>
    <w:p>
      <w:pPr>
        <w:spacing w:after="0" w:line="140"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Despite our diversified financing structure - including the SPA Portfolio Notes, convertible debt instruments, and equipment financing, and targeted inflows from new debt, and anticipated equity - and our current cash flow projections, our recurring operating losses and continuing negative cash flows from operations continue to raise substantial doubt about our ability to continue as a going concern.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53"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 xml:space="preserve">As of June 30, 2025, our principal source of liquidity was cash on hand totaling $13.2 million, which was held for working capital and general corporate purposes. We also have access to various sources of additional capital, including the SEPA and the SPA Commitments. Our ability to access these sources of capital and further information on amounts available is discussed in Note 2, </w:t>
      </w:r>
      <w:r>
        <w:rPr>
          <w:rFonts w:ascii="Times New Roman" w:cs="Times New Roman" w:eastAsia="Times New Roman" w:hAnsi="Times New Roman"/>
          <w:sz w:val="18"/>
          <w:szCs w:val="18"/>
          <w:i w:val="1"/>
          <w:iCs w:val="1"/>
          <w:color w:val="auto"/>
        </w:rPr>
        <w:t>Liquidity and Capital Resources and Going Concern,</w:t>
      </w:r>
      <w:r>
        <w:rPr>
          <w:rFonts w:ascii="Times New Roman" w:cs="Times New Roman" w:eastAsia="Times New Roman" w:hAnsi="Times New Roman"/>
          <w:sz w:val="18"/>
          <w:szCs w:val="18"/>
          <w:color w:val="auto"/>
        </w:rPr>
        <w:t xml:space="preserve"> of the notes to the Consolidated Financial Statements included in this Form 10-Q.</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Related Party Notes Payable and Notes Payable Facilities</w:t>
      </w:r>
    </w:p>
    <w:p>
      <w:pPr>
        <w:spacing w:after="0" w:line="151" w:lineRule="exact"/>
        <w:rPr>
          <w:sz w:val="20"/>
          <w:szCs w:val="20"/>
          <w:color w:val="auto"/>
        </w:rPr>
      </w:pPr>
    </w:p>
    <w:p>
      <w:pPr>
        <w:jc w:val="both"/>
        <w:ind w:firstLine="475"/>
        <w:spacing w:after="0" w:line="249" w:lineRule="auto"/>
        <w:rPr>
          <w:sz w:val="20"/>
          <w:szCs w:val="20"/>
          <w:color w:val="auto"/>
        </w:rPr>
      </w:pPr>
      <w:r>
        <w:rPr>
          <w:rFonts w:ascii="Times New Roman" w:cs="Times New Roman" w:eastAsia="Times New Roman" w:hAnsi="Times New Roman"/>
          <w:sz w:val="18"/>
          <w:szCs w:val="18"/>
          <w:color w:val="auto"/>
        </w:rPr>
        <w:t xml:space="preserve">We have been significantly funded by notes payable from related parties and third parties. The related parties include employees as well as affiliates of employees and affiliates and other companies controlled or previously controlled by our founder and Chief Product and User Ecosystem Officer (who, in April 2025, became Global Co-CEO). Effective August 13, 2025, during the pendency of the SEC investigation, Mr. Jia was temporarily excluded from oversight of the finance, legal, accounting, and public reporting functions (see Note 16). For more information on the outstanding related party notes payable and notes payable as well as the related schedules of maturities, see Note 7, </w:t>
      </w:r>
      <w:r>
        <w:rPr>
          <w:rFonts w:ascii="Times New Roman" w:cs="Times New Roman" w:eastAsia="Times New Roman" w:hAnsi="Times New Roman"/>
          <w:sz w:val="18"/>
          <w:szCs w:val="18"/>
          <w:i w:val="1"/>
          <w:iCs w:val="1"/>
          <w:color w:val="auto"/>
        </w:rPr>
        <w:t>Notes Payable</w:t>
      </w:r>
      <w:r>
        <w:rPr>
          <w:rFonts w:ascii="Times New Roman" w:cs="Times New Roman" w:eastAsia="Times New Roman" w:hAnsi="Times New Roman"/>
          <w:sz w:val="18"/>
          <w:szCs w:val="18"/>
          <w:color w:val="auto"/>
        </w:rPr>
        <w:t xml:space="preserve">, and Note 8,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of the notes to the Consolidated Financial Statements included in this Form 10-Q.</w:t>
      </w:r>
    </w:p>
    <w:p>
      <w:pPr>
        <w:spacing w:after="0" w:line="123" w:lineRule="exact"/>
        <w:rPr>
          <w:sz w:val="20"/>
          <w:szCs w:val="20"/>
          <w:color w:val="auto"/>
        </w:rPr>
      </w:pPr>
    </w:p>
    <w:p>
      <w:pPr>
        <w:jc w:val="both"/>
        <w:ind w:firstLine="475"/>
        <w:spacing w:after="0" w:line="333" w:lineRule="auto"/>
        <w:rPr>
          <w:sz w:val="20"/>
          <w:szCs w:val="20"/>
          <w:color w:val="auto"/>
        </w:rPr>
      </w:pPr>
      <w:r>
        <w:rPr>
          <w:rFonts w:ascii="Times New Roman" w:cs="Times New Roman" w:eastAsia="Times New Roman" w:hAnsi="Times New Roman"/>
          <w:sz w:val="16"/>
          <w:szCs w:val="16"/>
          <w:color w:val="auto"/>
        </w:rPr>
        <w:t>Notes payable with third parties and related parties are summarized in the following tables as of June 30, 2025, including contractual maturities, stated interest rates, unpaid principal balances, fair value adjustments, original issue discounts (including amounts allocated to warrants), and net carrying values.</w:t>
      </w:r>
    </w:p>
    <w:p>
      <w:pPr>
        <w:spacing w:after="0" w:line="43" w:lineRule="exact"/>
        <w:rPr>
          <w:sz w:val="20"/>
          <w:szCs w:val="20"/>
          <w:color w:val="auto"/>
        </w:rPr>
      </w:pPr>
    </w:p>
    <w:p>
      <w:pPr>
        <w:jc w:val="both"/>
        <w:ind w:firstLine="475"/>
        <w:spacing w:after="0" w:line="248" w:lineRule="auto"/>
        <w:rPr>
          <w:sz w:val="20"/>
          <w:szCs w:val="20"/>
          <w:color w:val="auto"/>
        </w:rPr>
      </w:pPr>
      <w:r>
        <w:rPr>
          <w:rFonts w:ascii="Times New Roman" w:cs="Times New Roman" w:eastAsia="Times New Roman" w:hAnsi="Times New Roman"/>
          <w:sz w:val="18"/>
          <w:szCs w:val="18"/>
          <w:color w:val="auto"/>
        </w:rPr>
        <w:t>Most of our notes payable are measured under the fair value option, with changes in fair value recorded in the Unaudited Condensed Consolidated Statements of Operations and Comprehensive Loss. Because these instruments are carried at fair value, no effective interest rate is presented. While the SPA Portfolio Notes bear stated interest rates of 10% or 15%, our effective cost of capital is substantially higher. Each SPA Portfolio Note permits settlement in shares at a value exceeding the stated principal and accrued interest. In addition, each holder receives an SPA Portfolio Warrant, and certain holders receive an Incremental Warrant. These features significantly increase the effective cost of capital beyond the stated rates. The financial impact of the SPA Portfolio Notes is reflected in changes in fair value and losses on extinguishment, as presented in our Unaudited Condensed Consolidated Statements of Operations and Comprehensive Loss.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Third-Party Notes Payable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2023 Unsecured SPA Notes</w:t>
      </w:r>
    </w:p>
    <w:p>
      <w:pPr>
        <w:spacing w:after="0" w:line="1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2024 Unsecured SPA Notes</w:t>
      </w:r>
    </w:p>
    <w:p>
      <w:pPr>
        <w:spacing w:after="0" w:line="162" w:lineRule="exact"/>
        <w:rPr>
          <w:sz w:val="20"/>
          <w:szCs w:val="20"/>
          <w:color w:val="auto"/>
        </w:rPr>
      </w:pPr>
    </w:p>
    <w:p>
      <w:pPr>
        <w:ind w:left="40" w:right="700"/>
        <w:spacing w:after="0" w:line="402" w:lineRule="auto"/>
        <w:rPr>
          <w:sz w:val="20"/>
          <w:szCs w:val="20"/>
          <w:color w:val="auto"/>
        </w:rPr>
      </w:pPr>
      <w:r>
        <w:rPr>
          <w:rFonts w:ascii="Times New Roman" w:cs="Times New Roman" w:eastAsia="Times New Roman" w:hAnsi="Times New Roman"/>
          <w:sz w:val="16"/>
          <w:szCs w:val="16"/>
          <w:color w:val="auto"/>
        </w:rPr>
        <w:t>March 2025 Unsecured SPA Notes Notes payable – China other</w:t>
      </w: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Notes payable, current</w:t>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Notes payable, long-term portion</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Related Party Notes Payable (June 30, 2025)</w:t>
      </w:r>
    </w:p>
    <w:p>
      <w:pPr>
        <w:spacing w:after="0" w:line="200" w:lineRule="exact"/>
        <w:rPr>
          <w:sz w:val="20"/>
          <w:szCs w:val="20"/>
          <w:color w:val="auto"/>
        </w:rPr>
      </w:pPr>
    </w:p>
    <w:p>
      <w:pPr>
        <w:spacing w:after="0" w:line="3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69" w:lineRule="exact"/>
        <w:rPr>
          <w:sz w:val="20"/>
          <w:szCs w:val="20"/>
          <w:color w:val="auto"/>
        </w:rPr>
      </w:pPr>
    </w:p>
    <w:p>
      <w:pPr>
        <w:ind w:left="240" w:right="520"/>
        <w:spacing w:after="0" w:line="313" w:lineRule="auto"/>
        <w:rPr>
          <w:sz w:val="20"/>
          <w:szCs w:val="20"/>
          <w:color w:val="auto"/>
        </w:rPr>
      </w:pPr>
      <w:r>
        <w:rPr>
          <w:rFonts w:ascii="Times New Roman" w:cs="Times New Roman" w:eastAsia="Times New Roman" w:hAnsi="Times New Roman"/>
          <w:sz w:val="18"/>
          <w:szCs w:val="18"/>
          <w:color w:val="auto"/>
        </w:rPr>
        <w:t>2025 March Unsecured SPA Notes Notes Payable — China</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Notes Payable on Demand — China</w:t>
      </w:r>
    </w:p>
    <w:p>
      <w:pPr>
        <w:spacing w:after="0" w:line="5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FFGP Note</w:t>
      </w:r>
    </w:p>
    <w:p>
      <w:pPr>
        <w:spacing w:after="0" w:line="5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Convertible FFGP Note</w:t>
      </w:r>
    </w:p>
    <w:p>
      <w:pPr>
        <w:spacing w:after="0" w:line="5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Other Notes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40" w:right="240"/>
        <w:spacing w:after="0" w:line="402" w:lineRule="auto"/>
        <w:rPr>
          <w:sz w:val="20"/>
          <w:szCs w:val="20"/>
          <w:color w:val="auto"/>
        </w:rPr>
      </w:pPr>
      <w:r>
        <w:rPr>
          <w:rFonts w:ascii="Times New Roman" w:cs="Times New Roman" w:eastAsia="Times New Roman" w:hAnsi="Times New Roman"/>
          <w:sz w:val="16"/>
          <w:szCs w:val="16"/>
          <w:color w:val="auto"/>
        </w:rPr>
        <w:t>Related party notes payable, current Related party notes payable, long-term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Original Issue</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Discount and</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3"/>
          </w:tcPr>
          <w:p>
            <w:pPr>
              <w:jc w:val="center"/>
              <w:ind w:right="260"/>
              <w:spacing w:after="0" w:line="158"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90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4"/>
                <w:szCs w:val="14"/>
                <w:b w:val="1"/>
                <w:bCs w:val="1"/>
                <w:color w:val="auto"/>
                <w:w w:val="99"/>
              </w:rPr>
              <w:t>Unpaid</w:t>
            </w:r>
          </w:p>
        </w:tc>
        <w:tc>
          <w:tcPr>
            <w:tcW w:w="140" w:type="dxa"/>
            <w:vAlign w:val="bottom"/>
          </w:tcPr>
          <w:p>
            <w:pPr>
              <w:spacing w:after="0"/>
              <w:rPr>
                <w:sz w:val="13"/>
                <w:szCs w:val="13"/>
                <w:color w:val="auto"/>
              </w:rPr>
            </w:pPr>
          </w:p>
        </w:tc>
        <w:tc>
          <w:tcPr>
            <w:tcW w:w="116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Pr>
          <w:p>
            <w:pPr>
              <w:spacing w:after="0"/>
              <w:rPr>
                <w:sz w:val="13"/>
                <w:szCs w:val="13"/>
                <w:color w:val="auto"/>
              </w:rPr>
            </w:pPr>
          </w:p>
        </w:tc>
        <w:tc>
          <w:tcPr>
            <w:tcW w:w="108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4"/>
                <w:szCs w:val="14"/>
                <w:b w:val="1"/>
                <w:bCs w:val="1"/>
                <w:color w:val="auto"/>
                <w:w w:val="96"/>
              </w:rPr>
              <w:t>Proceeds</w:t>
            </w:r>
          </w:p>
        </w:tc>
        <w:tc>
          <w:tcPr>
            <w:tcW w:w="160" w:type="dxa"/>
            <w:vAlign w:val="bottom"/>
          </w:tcPr>
          <w:p>
            <w:pPr>
              <w:spacing w:after="0"/>
              <w:rPr>
                <w:sz w:val="13"/>
                <w:szCs w:val="13"/>
                <w:color w:val="auto"/>
              </w:rPr>
            </w:pPr>
          </w:p>
        </w:tc>
        <w:tc>
          <w:tcPr>
            <w:tcW w:w="820" w:type="dxa"/>
            <w:vAlign w:val="bottom"/>
          </w:tcPr>
          <w:p>
            <w:pPr>
              <w:jc w:val="center"/>
              <w:ind w:right="77"/>
              <w:spacing w:after="0" w:line="158"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71"/>
        </w:trPr>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4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4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Measurement</w:t>
            </w:r>
          </w:p>
        </w:tc>
        <w:tc>
          <w:tcPr>
            <w:tcW w:w="10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Allocated to</w:t>
            </w:r>
          </w:p>
        </w:tc>
        <w:tc>
          <w:tcPr>
            <w:tcW w:w="160" w:type="dxa"/>
            <w:vAlign w:val="bottom"/>
          </w:tcPr>
          <w:p>
            <w:pPr>
              <w:spacing w:after="0"/>
              <w:rPr>
                <w:sz w:val="14"/>
                <w:szCs w:val="14"/>
                <w:color w:val="auto"/>
              </w:rPr>
            </w:pPr>
          </w:p>
        </w:tc>
        <w:tc>
          <w:tcPr>
            <w:tcW w:w="82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7"/>
              </w:rPr>
              <w:t>Carrying</w:t>
            </w:r>
          </w:p>
        </w:tc>
        <w:tc>
          <w:tcPr>
            <w:tcW w:w="0" w:type="dxa"/>
            <w:vAlign w:val="bottom"/>
          </w:tcPr>
          <w:p>
            <w:pPr>
              <w:spacing w:after="0"/>
              <w:rPr>
                <w:sz w:val="1"/>
                <w:szCs w:val="1"/>
                <w:color w:val="auto"/>
              </w:rPr>
            </w:pPr>
          </w:p>
        </w:tc>
      </w:tr>
      <w:tr>
        <w:trPr>
          <w:trHeight w:val="198"/>
        </w:trPr>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4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Rates</w:t>
            </w: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4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10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Warrants</w:t>
            </w:r>
          </w:p>
        </w:tc>
        <w:tc>
          <w:tcPr>
            <w:tcW w:w="160" w:type="dxa"/>
            <w:vAlign w:val="bottom"/>
          </w:tcPr>
          <w:p>
            <w:pPr>
              <w:spacing w:after="0"/>
              <w:rPr>
                <w:sz w:val="17"/>
                <w:szCs w:val="17"/>
                <w:color w:val="auto"/>
              </w:rPr>
            </w:pPr>
          </w:p>
        </w:tc>
        <w:tc>
          <w:tcPr>
            <w:tcW w:w="82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4"/>
        </w:trPr>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June 2032</w:t>
            </w:r>
          </w:p>
        </w:tc>
        <w:tc>
          <w:tcPr>
            <w:tcW w:w="1160" w:type="dxa"/>
            <w:vAlign w:val="bottom"/>
          </w:tcPr>
          <w:p>
            <w:pPr>
              <w:jc w:val="center"/>
              <w:spacing w:after="0" w:line="265" w:lineRule="exact"/>
              <w:rPr>
                <w:sz w:val="20"/>
                <w:szCs w:val="20"/>
                <w:color w:val="auto"/>
              </w:rPr>
            </w:pPr>
            <w:r>
              <w:rPr>
                <w:rFonts w:ascii="Times New Roman" w:cs="Times New Roman" w:eastAsia="Times New Roman" w:hAnsi="Times New Roman"/>
                <w:sz w:val="18"/>
                <w:szCs w:val="18"/>
                <w:color w:val="auto"/>
              </w:rPr>
              <w:t xml:space="preserve">10%  </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xml:space="preserve">  15%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4,539</w:t>
            </w:r>
          </w:p>
        </w:tc>
        <w:tc>
          <w:tcPr>
            <w:tcW w:w="0" w:type="dxa"/>
            <w:vAlign w:val="bottom"/>
          </w:tcPr>
          <w:p>
            <w:pPr>
              <w:spacing w:after="0"/>
              <w:rPr>
                <w:sz w:val="1"/>
                <w:szCs w:val="1"/>
                <w:color w:val="auto"/>
              </w:rPr>
            </w:pPr>
          </w:p>
        </w:tc>
      </w:tr>
      <w:tr>
        <w:trPr>
          <w:trHeight w:val="211"/>
        </w:trPr>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Various through</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18,299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8,683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(16,973)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10,009</w:t>
            </w:r>
          </w:p>
        </w:tc>
        <w:tc>
          <w:tcPr>
            <w:tcW w:w="0" w:type="dxa"/>
            <w:vAlign w:val="bottom"/>
          </w:tcPr>
          <w:p>
            <w:pPr>
              <w:spacing w:after="0"/>
              <w:rPr>
                <w:sz w:val="1"/>
                <w:szCs w:val="1"/>
                <w:color w:val="auto"/>
              </w:rPr>
            </w:pPr>
          </w:p>
        </w:tc>
      </w:tr>
      <w:tr>
        <w:trPr>
          <w:trHeight w:val="123"/>
        </w:trPr>
        <w:tc>
          <w:tcPr>
            <w:tcW w:w="16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7"/>
              </w:rPr>
              <w:t>January 2030</w:t>
            </w:r>
          </w:p>
        </w:tc>
        <w:tc>
          <w:tcPr>
            <w:tcW w:w="11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1640" w:type="dxa"/>
            <w:vAlign w:val="bottom"/>
            <w:gridSpan w:val="2"/>
            <w:vMerge w:val="continue"/>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Various dates in 2030</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9,297</w:t>
            </w:r>
          </w:p>
        </w:tc>
        <w:tc>
          <w:tcPr>
            <w:tcW w:w="0" w:type="dxa"/>
            <w:vAlign w:val="bottom"/>
          </w:tcPr>
          <w:p>
            <w:pPr>
              <w:spacing w:after="0"/>
              <w:rPr>
                <w:sz w:val="1"/>
                <w:szCs w:val="1"/>
                <w:color w:val="auto"/>
              </w:rPr>
            </w:pPr>
          </w:p>
        </w:tc>
      </w:tr>
      <w:tr>
        <w:trPr>
          <w:trHeight w:val="264"/>
        </w:trPr>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Due on Demand</w:t>
            </w:r>
          </w:p>
        </w:tc>
        <w:tc>
          <w:tcPr>
            <w:tcW w:w="14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6"/>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4,188</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44,807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11,592</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(28,366)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28,033</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4"/>
        </w:trPr>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4,188</w:t>
            </w:r>
          </w:p>
        </w:tc>
        <w:tc>
          <w:tcPr>
            <w:tcW w:w="0" w:type="dxa"/>
            <w:vAlign w:val="bottom"/>
          </w:tcPr>
          <w:p>
            <w:pPr>
              <w:spacing w:after="0"/>
              <w:rPr>
                <w:sz w:val="1"/>
                <w:szCs w:val="1"/>
                <w:color w:val="auto"/>
              </w:rPr>
            </w:pPr>
          </w:p>
        </w:tc>
      </w:tr>
      <w:tr>
        <w:trPr>
          <w:trHeight w:val="264"/>
        </w:trPr>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-2392045</wp:posOffset>
            </wp:positionH>
            <wp:positionV relativeFrom="paragraph">
              <wp:posOffset>-1464310</wp:posOffset>
            </wp:positionV>
            <wp:extent cx="7101840" cy="1758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01840" cy="175895"/>
                    </a:xfrm>
                    <a:prstGeom prst="rect">
                      <a:avLst/>
                    </a:prstGeom>
                    <a:noFill/>
                  </pic:spPr>
                </pic:pic>
              </a:graphicData>
            </a:graphic>
          </wp:anchor>
        </w:drawing>
        <w:drawing>
          <wp:anchor simplePos="0" relativeHeight="251657728" behindDoc="1" locked="0" layoutInCell="0" allowOverlap="1">
            <wp:simplePos x="0" y="0"/>
            <wp:positionH relativeFrom="column">
              <wp:posOffset>-2392045</wp:posOffset>
            </wp:positionH>
            <wp:positionV relativeFrom="paragraph">
              <wp:posOffset>-987425</wp:posOffset>
            </wp:positionV>
            <wp:extent cx="7101840" cy="1676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01840" cy="167640"/>
                    </a:xfrm>
                    <a:prstGeom prst="rect">
                      <a:avLst/>
                    </a:prstGeom>
                    <a:noFill/>
                  </pic:spPr>
                </pic:pic>
              </a:graphicData>
            </a:graphic>
          </wp:anchor>
        </w:drawing>
        <w:drawing>
          <wp:anchor simplePos="0" relativeHeight="251657728" behindDoc="1" locked="0" layoutInCell="0" allowOverlap="1">
            <wp:simplePos x="0" y="0"/>
            <wp:positionH relativeFrom="column">
              <wp:posOffset>-2392045</wp:posOffset>
            </wp:positionH>
            <wp:positionV relativeFrom="paragraph">
              <wp:posOffset>-652145</wp:posOffset>
            </wp:positionV>
            <wp:extent cx="7101840" cy="1758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01840" cy="175895"/>
                    </a:xfrm>
                    <a:prstGeom prst="rect">
                      <a:avLst/>
                    </a:prstGeom>
                    <a:noFill/>
                  </pic:spPr>
                </pic:pic>
              </a:graphicData>
            </a:graphic>
          </wp:anchor>
        </w:drawing>
        <w:drawing>
          <wp:anchor simplePos="0" relativeHeight="251657728" behindDoc="1" locked="0" layoutInCell="0" allowOverlap="1">
            <wp:simplePos x="0" y="0"/>
            <wp:positionH relativeFrom="column">
              <wp:posOffset>-2392045</wp:posOffset>
            </wp:positionH>
            <wp:positionV relativeFrom="paragraph">
              <wp:posOffset>-316865</wp:posOffset>
            </wp:positionV>
            <wp:extent cx="7101840" cy="1676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01840" cy="167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1940" w:type="dxa"/>
        <w:tblCellMar>
          <w:top w:w="0" w:type="dxa"/>
          <w:left w:w="0" w:type="dxa"/>
          <w:bottom w:w="0" w:type="dxa"/>
          <w:right w:w="0" w:type="dxa"/>
        </w:tblCellMar>
      </w:tblPr>
      <w:tr>
        <w:trPr>
          <w:trHeight w:val="171"/>
        </w:trPr>
        <w:tc>
          <w:tcPr>
            <w:tcW w:w="23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14"/>
                <w:szCs w:val="14"/>
                <w:color w:val="auto"/>
              </w:rPr>
            </w:pPr>
          </w:p>
        </w:tc>
        <w:tc>
          <w:tcPr>
            <w:tcW w:w="98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171"/>
        </w:trPr>
        <w:tc>
          <w:tcPr>
            <w:tcW w:w="23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Maturity</w:t>
            </w: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200" w:type="dxa"/>
            <w:vAlign w:val="bottom"/>
          </w:tcPr>
          <w:p>
            <w:pPr>
              <w:spacing w:after="0"/>
              <w:rPr>
                <w:sz w:val="14"/>
                <w:szCs w:val="14"/>
                <w:color w:val="auto"/>
              </w:rPr>
            </w:pPr>
          </w:p>
        </w:tc>
        <w:tc>
          <w:tcPr>
            <w:tcW w:w="98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Carrying</w:t>
            </w:r>
          </w:p>
        </w:tc>
      </w:tr>
      <w:tr>
        <w:trPr>
          <w:trHeight w:val="185"/>
        </w:trPr>
        <w:tc>
          <w:tcPr>
            <w:tcW w:w="23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200" w:type="dxa"/>
            <w:vAlign w:val="bottom"/>
          </w:tcPr>
          <w:p>
            <w:pPr>
              <w:spacing w:after="0"/>
              <w:rPr>
                <w:sz w:val="16"/>
                <w:szCs w:val="16"/>
                <w:color w:val="auto"/>
              </w:rPr>
            </w:pPr>
          </w:p>
        </w:tc>
        <w:tc>
          <w:tcPr>
            <w:tcW w:w="98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4"/>
        </w:trPr>
        <w:tc>
          <w:tcPr>
            <w:tcW w:w="2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23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Various dates in 2030</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10.0%</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w:t>
            </w:r>
          </w:p>
        </w:tc>
      </w:tr>
      <w:tr>
        <w:trPr>
          <w:trHeight w:val="273"/>
        </w:trPr>
        <w:tc>
          <w:tcPr>
            <w:tcW w:w="23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April 2027</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18.0%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4,271</w:t>
            </w:r>
          </w:p>
        </w:tc>
      </w:tr>
      <w:tr>
        <w:trPr>
          <w:trHeight w:val="264"/>
        </w:trPr>
        <w:tc>
          <w:tcPr>
            <w:tcW w:w="23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Due on Demand</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w:t>
            </w: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64"/>
        </w:trPr>
        <w:tc>
          <w:tcPr>
            <w:tcW w:w="23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Various 2024</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64"/>
        </w:trPr>
        <w:tc>
          <w:tcPr>
            <w:tcW w:w="23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May 2024</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75"/>
        </w:trPr>
        <w:tc>
          <w:tcPr>
            <w:tcW w:w="23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Due on Demand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12.0%</w:t>
            </w:r>
          </w:p>
        </w:tc>
        <w:tc>
          <w:tcPr>
            <w:tcW w:w="1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7"/>
        </w:trPr>
        <w:tc>
          <w:tcPr>
            <w:tcW w:w="2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7,563</w:t>
            </w:r>
          </w:p>
        </w:tc>
      </w:tr>
      <w:tr>
        <w:trPr>
          <w:trHeight w:val="27"/>
        </w:trPr>
        <w:tc>
          <w:tcPr>
            <w:tcW w:w="2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2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454"/>
        </w:trPr>
        <w:tc>
          <w:tcPr>
            <w:tcW w:w="2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4,342</w:t>
            </w:r>
          </w:p>
        </w:tc>
      </w:tr>
      <w:tr>
        <w:trPr>
          <w:trHeight w:val="264"/>
        </w:trPr>
        <w:tc>
          <w:tcPr>
            <w:tcW w:w="2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-2274570</wp:posOffset>
            </wp:positionH>
            <wp:positionV relativeFrom="paragraph">
              <wp:posOffset>-1682115</wp:posOffset>
            </wp:positionV>
            <wp:extent cx="6867525" cy="1758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67525" cy="175895"/>
                    </a:xfrm>
                    <a:prstGeom prst="rect">
                      <a:avLst/>
                    </a:prstGeom>
                    <a:noFill/>
                  </pic:spPr>
                </pic:pic>
              </a:graphicData>
            </a:graphic>
          </wp:anchor>
        </w:drawing>
        <w:drawing>
          <wp:anchor simplePos="0" relativeHeight="251657728" behindDoc="1" locked="0" layoutInCell="0" allowOverlap="1">
            <wp:simplePos x="0" y="0"/>
            <wp:positionH relativeFrom="column">
              <wp:posOffset>-2274570</wp:posOffset>
            </wp:positionH>
            <wp:positionV relativeFrom="paragraph">
              <wp:posOffset>-1338580</wp:posOffset>
            </wp:positionV>
            <wp:extent cx="6867525" cy="1676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67525" cy="167640"/>
                    </a:xfrm>
                    <a:prstGeom prst="rect">
                      <a:avLst/>
                    </a:prstGeom>
                    <a:noFill/>
                  </pic:spPr>
                </pic:pic>
              </a:graphicData>
            </a:graphic>
          </wp:anchor>
        </w:drawing>
        <w:drawing>
          <wp:anchor simplePos="0" relativeHeight="251657728" behindDoc="1" locked="0" layoutInCell="0" allowOverlap="1">
            <wp:simplePos x="0" y="0"/>
            <wp:positionH relativeFrom="column">
              <wp:posOffset>-2274570</wp:posOffset>
            </wp:positionH>
            <wp:positionV relativeFrom="paragraph">
              <wp:posOffset>-1003935</wp:posOffset>
            </wp:positionV>
            <wp:extent cx="6867525" cy="1676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67525" cy="167640"/>
                    </a:xfrm>
                    <a:prstGeom prst="rect">
                      <a:avLst/>
                    </a:prstGeom>
                    <a:noFill/>
                  </pic:spPr>
                </pic:pic>
              </a:graphicData>
            </a:graphic>
          </wp:anchor>
        </w:drawing>
        <w:drawing>
          <wp:anchor simplePos="0" relativeHeight="251657728" behindDoc="1" locked="0" layoutInCell="0" allowOverlap="1">
            <wp:simplePos x="0" y="0"/>
            <wp:positionH relativeFrom="column">
              <wp:posOffset>-2274570</wp:posOffset>
            </wp:positionH>
            <wp:positionV relativeFrom="paragraph">
              <wp:posOffset>-668655</wp:posOffset>
            </wp:positionV>
            <wp:extent cx="6867525" cy="1924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67525" cy="192405"/>
                    </a:xfrm>
                    <a:prstGeom prst="rect">
                      <a:avLst/>
                    </a:prstGeom>
                    <a:noFill/>
                  </pic:spPr>
                </pic:pic>
              </a:graphicData>
            </a:graphic>
          </wp:anchor>
        </w:drawing>
        <w:drawing>
          <wp:anchor simplePos="0" relativeHeight="251657728" behindDoc="1" locked="0" layoutInCell="0" allowOverlap="1">
            <wp:simplePos x="0" y="0"/>
            <wp:positionH relativeFrom="column">
              <wp:posOffset>-2274570</wp:posOffset>
            </wp:positionH>
            <wp:positionV relativeFrom="paragraph">
              <wp:posOffset>-316865</wp:posOffset>
            </wp:positionV>
            <wp:extent cx="6867525" cy="1676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67525" cy="167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-2421255</wp:posOffset>
            </wp:positionH>
            <wp:positionV relativeFrom="paragraph">
              <wp:posOffset>68580</wp:posOffset>
            </wp:positionV>
            <wp:extent cx="716089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2">
            <w:col w:w="3200" w:space="600"/>
            <w:col w:w="7420"/>
          </w:cols>
          <w:pgMar w:left="320" w:top="635" w:right="3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Analysis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31"/>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4"/>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provided by: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8"/>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activities</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(43,608)</w:t>
            </w:r>
          </w:p>
        </w:tc>
        <w:tc>
          <w:tcPr>
            <w:tcW w:w="80" w:type="dxa"/>
            <w:vAlign w:val="bottom"/>
          </w:tcPr>
          <w:p>
            <w:pPr>
              <w:spacing w:after="0"/>
              <w:rPr>
                <w:sz w:val="19"/>
                <w:szCs w:val="19"/>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(29,091)</w:t>
            </w:r>
          </w:p>
        </w:tc>
      </w:tr>
      <w:tr>
        <w:trPr>
          <w:trHeight w:val="24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Investing activities</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(5,007)</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r>
      <w:tr>
        <w:trPr>
          <w:trHeight w:val="228"/>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Financing activities</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55,052</w:t>
            </w:r>
          </w:p>
        </w:tc>
        <w:tc>
          <w:tcPr>
            <w:tcW w:w="80" w:type="dxa"/>
            <w:vAlign w:val="bottom"/>
          </w:tcPr>
          <w:p>
            <w:pPr>
              <w:spacing w:after="0"/>
              <w:rPr>
                <w:sz w:val="19"/>
                <w:szCs w:val="19"/>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26,715</w:t>
            </w:r>
          </w:p>
        </w:tc>
      </w:tr>
      <w:tr>
        <w:trPr>
          <w:trHeight w:val="24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restricted cash</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51" w:lineRule="exact"/>
        <w:rPr>
          <w:sz w:val="20"/>
          <w:szCs w:val="20"/>
          <w:color w:val="auto"/>
        </w:rPr>
      </w:pPr>
    </w:p>
    <w:p>
      <w:pPr>
        <w:jc w:val="both"/>
        <w:ind w:firstLine="475"/>
        <w:spacing w:after="0" w:line="294" w:lineRule="auto"/>
        <w:rPr>
          <w:sz w:val="20"/>
          <w:szCs w:val="20"/>
          <w:color w:val="auto"/>
        </w:rPr>
      </w:pPr>
      <w:r>
        <w:rPr>
          <w:rFonts w:ascii="Times New Roman" w:cs="Times New Roman" w:eastAsia="Times New Roman" w:hAnsi="Times New Roman"/>
          <w:sz w:val="16"/>
          <w:szCs w:val="16"/>
          <w:color w:val="auto"/>
        </w:rPr>
        <w:t>We continue to experience negative operating cash flows as we advance the design and development of our vehicles and expand our infrastructure in both the United States and China. Our operating cash flows are significantly affected by fluctuations in working capital components, including changes in personnel expenses, accounts payable, accrued interest, other current liabilities, deposits, and current assets. For the six months ended June 30, 2025, net cash used in operating activities was $43.6 million, compared to $29.1 million for the same period in 2024, reflecting a $14.5 million increase in cash outflows.</w:t>
      </w:r>
    </w:p>
    <w:p>
      <w:pPr>
        <w:spacing w:after="0" w:line="86" w:lineRule="exact"/>
        <w:rPr>
          <w:sz w:val="20"/>
          <w:szCs w:val="20"/>
          <w:color w:val="auto"/>
        </w:rPr>
      </w:pPr>
    </w:p>
    <w:p>
      <w:pPr>
        <w:jc w:val="both"/>
        <w:ind w:firstLine="475"/>
        <w:spacing w:after="0" w:line="272" w:lineRule="auto"/>
        <w:rPr>
          <w:sz w:val="20"/>
          <w:szCs w:val="20"/>
          <w:color w:val="auto"/>
        </w:rPr>
      </w:pPr>
      <w:r>
        <w:rPr>
          <w:rFonts w:ascii="Times New Roman" w:cs="Times New Roman" w:eastAsia="Times New Roman" w:hAnsi="Times New Roman"/>
          <w:sz w:val="18"/>
          <w:szCs w:val="18"/>
          <w:i w:val="1"/>
          <w:iCs w:val="1"/>
          <w:u w:val="single" w:color="auto"/>
          <w:color w:val="auto"/>
        </w:rPr>
        <w:t>Net Loss: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reduction of $21.9 million in Net loss is an improvement in 2025 compared to the same period in 2024; however, this figure includes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various non-cash transactions that are excluded when calculating cash flow from operating activities.</w:t>
      </w:r>
    </w:p>
    <w:p>
      <w:pPr>
        <w:spacing w:after="0" w:line="85" w:lineRule="exact"/>
        <w:rPr>
          <w:sz w:val="20"/>
          <w:szCs w:val="20"/>
          <w:color w:val="auto"/>
        </w:rPr>
      </w:pPr>
    </w:p>
    <w:p>
      <w:pPr>
        <w:jc w:val="both"/>
        <w:ind w:firstLine="475"/>
        <w:spacing w:after="0" w:line="249" w:lineRule="auto"/>
        <w:rPr>
          <w:sz w:val="20"/>
          <w:szCs w:val="20"/>
          <w:color w:val="auto"/>
        </w:rPr>
      </w:pPr>
      <w:r>
        <w:rPr>
          <w:rFonts w:ascii="Times New Roman" w:cs="Times New Roman" w:eastAsia="Times New Roman" w:hAnsi="Times New Roman"/>
          <w:sz w:val="18"/>
          <w:szCs w:val="18"/>
          <w:i w:val="1"/>
          <w:iCs w:val="1"/>
          <w:u w:val="single" w:color="auto"/>
          <w:color w:val="auto"/>
        </w:rPr>
        <w:t>Non-cash adjustments: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Non-cash adjustments decreased by $12.0 million for the six months ended June 30, 2025 compared to the same period in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decrease was comprised of a $20.0 million increase in Loss from settlement of notes payable, a $15.3 million decrease in fair value adjustments on Change in fair value of notes payable, warrant liabilities, and derivative call options, decrease in Loss from settlement of related party notes payable, and a $7.6 million decrease in Loss from settlement of related party notes payable. These adjustments were partially offset by a $15.3 million decrease in fair value adjustments on Change in fair value of notes payable, warrant liabilities, and derivative call options, a $5.1 million increase in Change in fair value of related party notes payable and related party warrant liabilities and a $3.8 million inventory reserve adjustment. As these adjustments do not represent actual cash changes, they are disclosed for reconciliation purposes consistent with the cash flow statement.</w:t>
      </w:r>
    </w:p>
    <w:p>
      <w:pPr>
        <w:spacing w:after="0" w:line="119" w:lineRule="exact"/>
        <w:rPr>
          <w:sz w:val="20"/>
          <w:szCs w:val="20"/>
          <w:color w:val="auto"/>
        </w:rPr>
      </w:pPr>
    </w:p>
    <w:p>
      <w:pPr>
        <w:jc w:val="both"/>
        <w:ind w:firstLine="475"/>
        <w:spacing w:after="0" w:line="249" w:lineRule="auto"/>
        <w:rPr>
          <w:sz w:val="20"/>
          <w:szCs w:val="20"/>
          <w:color w:val="auto"/>
        </w:rPr>
      </w:pPr>
      <w:r>
        <w:rPr>
          <w:rFonts w:ascii="Times New Roman" w:cs="Times New Roman" w:eastAsia="Times New Roman" w:hAnsi="Times New Roman"/>
          <w:sz w:val="18"/>
          <w:szCs w:val="18"/>
          <w:i w:val="1"/>
          <w:iCs w:val="1"/>
          <w:u w:val="single" w:color="auto"/>
          <w:color w:val="auto"/>
        </w:rPr>
        <w:t>Changes in working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working capital decreased by $23.8 million for the six months ended June 30, 2025 compared to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2024. For the six months ended June 30, 2025, changes in working capital included unfavorable shifts in our operating assets and liabilities. Notable contributors to the change were a $4.9 million change in Inventory balances, a $5.9 million change in Deposits, a $5.2 million change in Accrued related party interest expense, and a $8.1 million change in Accounts payable. These were partially offset by a $3.6 million change in Accrued expenses and other current and non-current liabilities. While these figures are detailed in the cash flow statement, they underscore the critical role that effective working capital management has played in reducing our operating cash outflows. The reductions in cash outlays for working capital purposes result from our cost-saving and cash management measures.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38"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Net cash used in investing activities was $5.0 million and $0.3 million for the six months ended June 30, 2025 and 2024, respectively. The increase was primarily driven by capitalized Hanford facility improvements funded by a third party, which were accounted for as both additions to property and equipment and a corresponding financing obligation. Although the Company continues to manage through liquidity constraints, these improvements contributed to the higher level of investing activity reported for the period.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51" w:lineRule="exact"/>
        <w:rPr>
          <w:sz w:val="20"/>
          <w:szCs w:val="20"/>
          <w:color w:val="auto"/>
        </w:rPr>
      </w:pPr>
    </w:p>
    <w:p>
      <w:pPr>
        <w:jc w:val="both"/>
        <w:ind w:firstLine="475"/>
        <w:spacing w:after="0" w:line="250" w:lineRule="auto"/>
        <w:rPr>
          <w:sz w:val="20"/>
          <w:szCs w:val="20"/>
          <w:color w:val="auto"/>
        </w:rPr>
      </w:pPr>
      <w:r>
        <w:rPr>
          <w:rFonts w:ascii="Times New Roman" w:cs="Times New Roman" w:eastAsia="Times New Roman" w:hAnsi="Times New Roman"/>
          <w:sz w:val="18"/>
          <w:szCs w:val="18"/>
          <w:color w:val="auto"/>
        </w:rPr>
        <w:t>Amid a challenging financing environment, we are actively seeking strategic opportunities to boost our cash reserves and support growth using a mix of convertible loans and non-convertible funding. For the six months ended June 30, 2025, financing activities provided a net cash inflow of $55.1 million, compared to a net cash inflow of $26.7 million for the same period in 2024—an increase of $28.3 million. The improvement reflects the Company’s continued ability to secure financing despite a challenging capital markets environment. In 2025, proceeds from notes payable were $48.6 million, up by $24.7 million from $23.9 million in 2024. Our proceeds from related party notes payable increased to $4.6 million in 2025 from $3.0</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4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million in 2024, an increase of $1.6 million. Moreover, financing proceeds from other financial obligations transactions totaled $4.4 million for the six months ended June 30, 2025, compared to no similar proceeds for the six months ended June 30, 2024.</w:t>
      </w:r>
    </w:p>
    <w:p>
      <w:pPr>
        <w:spacing w:after="0" w:line="1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cash-based financing activities, during the six months ended June 30, 2024, we reduced debt through the conversion of notes payable with fair value of approximately $35.6 million into equity. We also issued Common Stock warrants with fair value of approximately $33.4 million in connection with financing transactions. While these transactions did not involve cash inflows or outflows, they form part of our overall financing strategy by reducing outstanding debt in the case of conversions and providing potential future equity proceeds through warrant exercises.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of Exchange Rate Changes on Cash and Restricted Cash</w:t>
      </w:r>
    </w:p>
    <w:p>
      <w:pPr>
        <w:spacing w:after="0" w:line="151"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The exchange rates effect on cash and restricted cash was $0.4 million and zero for the six months ended June 30, 2025 and 2024, respectively. The effects of exchange rate changes on cash and restricted cash result from fluctuations on the translation of assets and liabilities denominated in foreign currencies, primarily Chinese Yuan. Fluctuations in exchange rates against the U.S. Dollar may positively or negatively affect our operating results.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38"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We did not have any material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 Thus, we did not have any off-balance sheet arrangements as of June 30, 2025 and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64" w:lineRule="exact"/>
        <w:rPr>
          <w:sz w:val="20"/>
          <w:szCs w:val="20"/>
          <w:color w:val="auto"/>
        </w:rPr>
      </w:pPr>
    </w:p>
    <w:p>
      <w:pPr>
        <w:jc w:val="both"/>
        <w:ind w:firstLine="475"/>
        <w:spacing w:after="0" w:line="250" w:lineRule="auto"/>
        <w:rPr>
          <w:sz w:val="20"/>
          <w:szCs w:val="20"/>
          <w:color w:val="auto"/>
        </w:rPr>
      </w:pPr>
      <w:r>
        <w:rPr>
          <w:rFonts w:ascii="Times New Roman" w:cs="Times New Roman" w:eastAsia="Times New Roman" w:hAnsi="Times New Roman"/>
          <w:sz w:val="18"/>
          <w:szCs w:val="18"/>
          <w:color w:val="auto"/>
        </w:rPr>
        <w:t>The preparation of our Unaudited Condensed Consolidated Financial Statements for the three and six months ended June 30, 2025 and 2024, in accordance GAAP requires management to make estimates and assumptions that affect the reported amounts of assets and liabilities, the disclosure of contingent liabilities, and the reported amounts of expenses during the reporting period. Management bases these estimates on historical experience and on various other assumptions believed to be reasonable under the circumstances, the results of which form the basis for making judgments that are not readily apparent from other sources.</w:t>
      </w:r>
    </w:p>
    <w:p>
      <w:pPr>
        <w:spacing w:after="0" w:line="135"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Actual results may differ from these estimates under different assumptions or conditions. Changes in accounting estimates are reasonably likely to occur from period to period. Accordingly, actual results could differ significantly from management’s estimates, and such differences may materially affect our financial position, results of operations, or cash flows. Given current global macroeconomic and geopolitical conditions, our estimates are subject to additional variability and volatility.</w:t>
      </w:r>
    </w:p>
    <w:p>
      <w:pPr>
        <w:spacing w:after="0" w:line="130"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Critical accounting estimates are defined as estimates made in accordance with GAAP that involve a significant level of estimation uncertainty and have had or are reasonably likely to have a material impact on our financial condition or results of operations. For a description of our critical accounting estimates, refer to the section titled “Critical Accounting Estimates” in Management’s Discussion and Analysis of Financial Condition and Results of Operations, set forth in Part II, Item 7 of our Form 10-K for the year ended December 31, 2024, filed with the SEC on March 31, 2025.</w:t>
      </w:r>
    </w:p>
    <w:p>
      <w:pPr>
        <w:spacing w:after="0" w:line="130" w:lineRule="exact"/>
        <w:rPr>
          <w:sz w:val="20"/>
          <w:szCs w:val="20"/>
          <w:color w:val="auto"/>
        </w:rPr>
      </w:pPr>
    </w:p>
    <w:p>
      <w:pPr>
        <w:jc w:val="both"/>
        <w:ind w:firstLine="475"/>
        <w:spacing w:after="0" w:line="269" w:lineRule="auto"/>
        <w:rPr>
          <w:sz w:val="20"/>
          <w:szCs w:val="20"/>
          <w:color w:val="auto"/>
        </w:rPr>
      </w:pPr>
      <w:r>
        <w:rPr>
          <w:rFonts w:ascii="Times New Roman" w:cs="Times New Roman" w:eastAsia="Times New Roman" w:hAnsi="Times New Roman"/>
          <w:sz w:val="18"/>
          <w:szCs w:val="18"/>
          <w:color w:val="auto"/>
        </w:rPr>
        <w:t>As of the date of this report, there have been no changes to our critical accounting estimates described in the Form 10-K that have had a material impact on our Unaudited Condensed Consolidated Financial Statements and related footnotes.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49"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See the sections titled “</w:t>
      </w:r>
      <w:r>
        <w:rPr>
          <w:rFonts w:ascii="Times New Roman" w:cs="Times New Roman" w:eastAsia="Times New Roman" w:hAnsi="Times New Roman"/>
          <w:sz w:val="18"/>
          <w:szCs w:val="18"/>
          <w:i w:val="1"/>
          <w:iCs w:val="1"/>
          <w:color w:val="auto"/>
        </w:rPr>
        <w:t>Recent Accounting Pronouncements” in</w:t>
      </w:r>
      <w:r>
        <w:rPr>
          <w:rFonts w:ascii="Times New Roman" w:cs="Times New Roman" w:eastAsia="Times New Roman" w:hAnsi="Times New Roman"/>
          <w:sz w:val="18"/>
          <w:szCs w:val="18"/>
          <w:color w:val="auto"/>
        </w:rPr>
        <w:t xml:space="preserve"> Note 1, </w:t>
      </w:r>
      <w:r>
        <w:rPr>
          <w:rFonts w:ascii="Times New Roman" w:cs="Times New Roman" w:eastAsia="Times New Roman" w:hAnsi="Times New Roman"/>
          <w:sz w:val="18"/>
          <w:szCs w:val="18"/>
          <w:i w:val="1"/>
          <w:iCs w:val="1"/>
          <w:color w:val="auto"/>
        </w:rPr>
        <w:t>Nature of Business and Organization, Basis of Presentation, and Summary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Significant Accounting Policies </w:t>
      </w:r>
      <w:r>
        <w:rPr>
          <w:rFonts w:ascii="Times New Roman" w:cs="Times New Roman" w:eastAsia="Times New Roman" w:hAnsi="Times New Roman"/>
          <w:sz w:val="18"/>
          <w:szCs w:val="18"/>
          <w:color w:val="auto"/>
        </w:rPr>
        <w:t>in our Unaudited Condensed Consolidated Financial Statements included elsewhere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5"/>
          <w:szCs w:val="15"/>
          <w:color w:val="auto"/>
        </w:rPr>
        <w:t>Form 10-Q</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 discussion about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recently adopted accounting pronouncements and the recently issued accounting pronouncements not yet adopted which are determined to be applicable to us.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38" w:lineRule="exact"/>
        <w:rPr>
          <w:sz w:val="20"/>
          <w:szCs w:val="20"/>
          <w:color w:val="auto"/>
        </w:rPr>
      </w:pPr>
    </w:p>
    <w:p>
      <w:pPr>
        <w:jc w:val="both"/>
        <w:ind w:firstLine="475"/>
        <w:spacing w:after="0" w:line="269" w:lineRule="auto"/>
        <w:rPr>
          <w:sz w:val="20"/>
          <w:szCs w:val="20"/>
          <w:color w:val="auto"/>
        </w:rPr>
      </w:pPr>
      <w:r>
        <w:rPr>
          <w:rFonts w:ascii="Times New Roman" w:cs="Times New Roman" w:eastAsia="Times New Roman" w:hAnsi="Times New Roman"/>
          <w:sz w:val="18"/>
          <w:szCs w:val="18"/>
          <w:color w:val="auto"/>
        </w:rPr>
        <w:t>Pursuant to Item 305(e) of Regulation S-K, we are not required to provide the information under this Item as we qualify as a “smaller reporting company.”</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635"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53"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The Company’s disclosure controls and procedures are designed to ensure that information required to be disclosed by the issuer in the reports that the Company files or submits under the Exchange Act, is recorded, processed, summarized, and reported within the time periods specified in the Security Exchange Commission's (“SEC”) rules and forms, and that such information is accumulated and communicated to management, including its Global Co-CEO Matthias Aydt and Chief Financial Officer (“CFO”), as appropriate to allow timely decisions regarding required disclosure.</w:t>
      </w:r>
    </w:p>
    <w:p>
      <w:pPr>
        <w:spacing w:after="0" w:line="103"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Based on an evaluation of the Company’s disclosure controls and procedures (as defined in rules 13a-15(e) and 15d-15(e) of the Exchange Act), the Company’s Global Co-CEO Matthias Aydt and CFO ( principal executive officer and principal financial and accounting officer, respectively) have concluded that the Company’s disclosure controls and procedures were not effective as of June 30, 2025, due to the material weaknesses in the Company’s internal control over financial reporting described below.</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53" w:lineRule="exact"/>
        <w:rPr>
          <w:sz w:val="20"/>
          <w:szCs w:val="20"/>
          <w:color w:val="auto"/>
        </w:rPr>
      </w:pPr>
    </w:p>
    <w:p>
      <w:pPr>
        <w:jc w:val="both"/>
        <w:ind w:firstLine="475"/>
        <w:spacing w:after="0" w:line="249" w:lineRule="auto"/>
        <w:rPr>
          <w:sz w:val="20"/>
          <w:szCs w:val="20"/>
          <w:color w:val="auto"/>
        </w:rPr>
      </w:pPr>
      <w:r>
        <w:rPr>
          <w:rFonts w:ascii="Times New Roman" w:cs="Times New Roman" w:eastAsia="Times New Roman" w:hAnsi="Times New Roman"/>
          <w:sz w:val="18"/>
          <w:szCs w:val="18"/>
          <w:color w:val="auto"/>
        </w:rPr>
        <w:t>The Company’s management is responsible for establishing and maintaining adequate internal control over financial reporting, as such term is defined under Rule 13a-15(f) under the Exchange Act. Under the supervision and with the participation of the Company’s management, including the Company’s Global Co-CEO Matthias Aydt and CFO, the Company conducted an evaluation of the effectiveness of the Company’s internal control over financial reporting based on the framework in Internal Control – Integrated Framework issued by the Committee of Sponsoring Organizations of the Treadway Commission (2013 framework). Based on this evaluation, due to the material weaknesses described below, the Company concluded that the system of internal control over financial reporting was not effective.</w:t>
      </w:r>
    </w:p>
    <w:p>
      <w:pPr>
        <w:spacing w:after="0" w:line="110"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The Company identified material weaknesses in its internal control over financial reporting. A material weakness is a deficiency, or combination of deficiencies, in internal control over financial reporting such that there is a reasonable possibility that a material misstatement of its annual or interim consolidated financial statements will not be prevented or detected on a timely basis. The material weaknesses are as follows:</w:t>
      </w:r>
    </w:p>
    <w:p>
      <w:pPr>
        <w:spacing w:after="0" w:line="113" w:lineRule="exact"/>
        <w:rPr>
          <w:sz w:val="20"/>
          <w:szCs w:val="20"/>
          <w:color w:val="auto"/>
        </w:rPr>
      </w:pPr>
    </w:p>
    <w:p>
      <w:pPr>
        <w:jc w:val="both"/>
        <w:ind w:left="800" w:hanging="320"/>
        <w:spacing w:after="0" w:line="249" w:lineRule="auto"/>
        <w:tabs>
          <w:tab w:leader="none" w:pos="79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and maintain an effective control environment commensurate with its financial reporting requirements. Specifically, the Company lacked a sufficient number of professionals with an appropriate level of accounting knowledge, training and experience to appropriately analyze, record and disclose accounting matters timely and accurately. Additionally, management did not establish formal reporting lines in pursuit of its objectives. Further, the lack of a sufficient number of professionals resulted in an inability to consistently establish appropriate authorities and responsibilities in pursuit of its financial reporting objectives, as demonstrated by, among other things, insufficient segregation of duties in its finance and accounting functions.</w:t>
      </w:r>
    </w:p>
    <w:p>
      <w:pPr>
        <w:spacing w:after="0" w:line="17" w:lineRule="exact"/>
        <w:rPr>
          <w:rFonts w:ascii="Times New Roman" w:cs="Times New Roman" w:eastAsia="Times New Roman" w:hAnsi="Times New Roman"/>
          <w:sz w:val="18"/>
          <w:szCs w:val="18"/>
          <w:color w:val="auto"/>
        </w:rPr>
      </w:pPr>
    </w:p>
    <w:p>
      <w:pPr>
        <w:jc w:val="both"/>
        <w:ind w:left="800" w:hanging="320"/>
        <w:spacing w:after="0" w:line="254" w:lineRule="auto"/>
        <w:tabs>
          <w:tab w:leader="none" w:pos="79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and maintain effective controls in response to the risks of material misstatement. Specifically, changes to existing controls or the implementation of new controls were not sufficient to respond to changes to the risks of material misstatement to financial reporting, due to growth in the business.</w:t>
      </w:r>
    </w:p>
    <w:p>
      <w:pPr>
        <w:spacing w:after="0" w:line="2" w:lineRule="exact"/>
        <w:rPr>
          <w:rFonts w:ascii="Times New Roman" w:cs="Times New Roman" w:eastAsia="Times New Roman" w:hAnsi="Times New Roman"/>
          <w:sz w:val="18"/>
          <w:szCs w:val="18"/>
          <w:color w:val="auto"/>
        </w:rPr>
      </w:pPr>
    </w:p>
    <w:p>
      <w:pPr>
        <w:jc w:val="both"/>
        <w:ind w:left="800" w:hanging="320"/>
        <w:spacing w:after="0" w:line="253" w:lineRule="auto"/>
        <w:tabs>
          <w:tab w:leader="none" w:pos="79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and maintain effective controls for communicating and sharing information between the legal, capital markets, and accounting and finance departments. Specifically, the accounting and finance departments were not consistently provided the complete and adequate support, documentation, and information including the nature of relationships with certain counterparties to record transactions within the financial statements timely, completely and accurately.</w:t>
      </w:r>
    </w:p>
    <w:p>
      <w:pPr>
        <w:spacing w:after="0" w:line="10" w:lineRule="exact"/>
        <w:rPr>
          <w:rFonts w:ascii="Times New Roman" w:cs="Times New Roman" w:eastAsia="Times New Roman" w:hAnsi="Times New Roman"/>
          <w:sz w:val="18"/>
          <w:szCs w:val="18"/>
          <w:color w:val="auto"/>
        </w:rPr>
      </w:pPr>
    </w:p>
    <w:p>
      <w:pPr>
        <w:jc w:val="both"/>
        <w:ind w:left="800" w:hanging="320"/>
        <w:spacing w:after="0" w:line="250" w:lineRule="auto"/>
        <w:tabs>
          <w:tab w:leader="none" w:pos="79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and maintain effective controls to address the identification of and accounting for certain non-routine, unusual or complex transactions, including the proper application of generally accepted accounting principles to such transactions. Specifically, the Company did not design and maintain controls to timely identify and account for convertible notes under the fair value option, warrant liabilities, embedded derivatives related to convertible notes, impute interest on related party notes payable with interest rates below market rates, account for failed sale leaseback transactions, and account for warrant instruments.</w:t>
      </w:r>
    </w:p>
    <w:p>
      <w:pPr>
        <w:spacing w:after="0" w:line="16" w:lineRule="exact"/>
        <w:rPr>
          <w:rFonts w:ascii="Times New Roman" w:cs="Times New Roman" w:eastAsia="Times New Roman" w:hAnsi="Times New Roman"/>
          <w:sz w:val="18"/>
          <w:szCs w:val="18"/>
          <w:color w:val="auto"/>
        </w:rPr>
      </w:pPr>
    </w:p>
    <w:p>
      <w:pPr>
        <w:jc w:val="both"/>
        <w:ind w:left="800" w:hanging="320"/>
        <w:spacing w:after="0" w:line="252" w:lineRule="auto"/>
        <w:tabs>
          <w:tab w:leader="none" w:pos="79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and maintain formal accounting policies, procedures and controls to achieve complete, accurate and timely financial accounting, reporting and disclosures, including controls over the period-end financial reporting process addressing areas including financial statement and footnote presentation and disclosures, account reconciliations and journal entries, including segregation of duties, assessing the reliability of reports and spreadsheets used in controls, and the timely identification and accounting for cut-off of expenditures.</w:t>
      </w:r>
    </w:p>
    <w:p>
      <w:pPr>
        <w:spacing w:after="0" w:line="1" w:lineRule="exact"/>
        <w:rPr>
          <w:rFonts w:ascii="Times New Roman" w:cs="Times New Roman" w:eastAsia="Times New Roman" w:hAnsi="Times New Roman"/>
          <w:sz w:val="18"/>
          <w:szCs w:val="18"/>
          <w:color w:val="auto"/>
        </w:rPr>
      </w:pPr>
    </w:p>
    <w:p>
      <w:pPr>
        <w:jc w:val="both"/>
        <w:ind w:left="800" w:hanging="320"/>
        <w:spacing w:after="0" w:line="257" w:lineRule="auto"/>
        <w:tabs>
          <w:tab w:leader="none" w:pos="79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and maintain effective controls over information technology (“IT”) general controls for information systems that are relevant to the preparation of its financial statements, specifically, with respect to (i) program change management controls to ensure that IT program and data changes affecting financial IT applications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635"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1" w:lineRule="exact"/>
        <w:rPr>
          <w:sz w:val="20"/>
          <w:szCs w:val="20"/>
          <w:color w:val="auto"/>
        </w:rPr>
      </w:pPr>
    </w:p>
    <w:p>
      <w:pPr>
        <w:jc w:val="both"/>
        <w:ind w:left="800"/>
        <w:spacing w:after="0" w:line="250" w:lineRule="auto"/>
        <w:rPr>
          <w:sz w:val="20"/>
          <w:szCs w:val="20"/>
          <w:color w:val="auto"/>
        </w:rPr>
      </w:pPr>
      <w:r>
        <w:rPr>
          <w:rFonts w:ascii="Times New Roman" w:cs="Times New Roman" w:eastAsia="Times New Roman" w:hAnsi="Times New Roman"/>
          <w:sz w:val="18"/>
          <w:szCs w:val="18"/>
          <w:color w:val="auto"/>
        </w:rPr>
        <w:t>and underlying accounting records are identified, tested, authorized and implemented appropriately; (ii) user access controls to ensure appropriate segregation of duties and that adequately restrict user and privileged access to financial applications, programs, and data to appropriate company personnel; and (iii) computer operations controls to ensure that critical batch jobs are monitored and data backups are authorized and monitored. These IT deficiencies did not result in a material misstatement to the consolidated financial statements, however, the deficiencies, when aggregated, could result in material misstatements potentially impacting all financial statement accounts and disclosures.</w:t>
      </w:r>
    </w:p>
    <w:p>
      <w:pPr>
        <w:spacing w:after="0" w:line="17" w:lineRule="exact"/>
        <w:rPr>
          <w:sz w:val="20"/>
          <w:szCs w:val="20"/>
          <w:color w:val="auto"/>
        </w:rPr>
      </w:pPr>
    </w:p>
    <w:p>
      <w:pPr>
        <w:jc w:val="both"/>
        <w:ind w:left="800" w:hanging="320"/>
        <w:spacing w:after="0" w:line="253" w:lineRule="auto"/>
        <w:tabs>
          <w:tab w:leader="none" w:pos="79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maintain an effective control environment or demonstrate a commitment to maintain integrity and ethical values. Specifically, members of management failed to reinforce the need for compliance and internal control awareness with certain of the Company’s governance, accounting and finance policies and procedures. This resulted in inaccurate and incomplete disclosures of certain relationships, arrangements, and transactions.</w:t>
      </w:r>
    </w:p>
    <w:p>
      <w:pPr>
        <w:spacing w:after="0" w:line="10" w:lineRule="exact"/>
        <w:rPr>
          <w:rFonts w:ascii="Times New Roman" w:cs="Times New Roman" w:eastAsia="Times New Roman" w:hAnsi="Times New Roman"/>
          <w:sz w:val="18"/>
          <w:szCs w:val="18"/>
          <w:color w:val="auto"/>
        </w:rPr>
      </w:pPr>
    </w:p>
    <w:p>
      <w:pPr>
        <w:ind w:left="800" w:hanging="320"/>
        <w:spacing w:after="0" w:line="259" w:lineRule="auto"/>
        <w:tabs>
          <w:tab w:leader="none" w:pos="79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and maintain effective controls related to the identification and disclosure of certain arrangements and transactions with related parties.</w:t>
      </w:r>
    </w:p>
    <w:p>
      <w:pPr>
        <w:spacing w:after="0" w:line="1" w:lineRule="exact"/>
        <w:rPr>
          <w:rFonts w:ascii="Times New Roman" w:cs="Times New Roman" w:eastAsia="Times New Roman" w:hAnsi="Times New Roman"/>
          <w:sz w:val="18"/>
          <w:szCs w:val="18"/>
          <w:color w:val="auto"/>
        </w:rPr>
      </w:pPr>
    </w:p>
    <w:p>
      <w:pPr>
        <w:ind w:left="800" w:hanging="320"/>
        <w:spacing w:after="0" w:line="269" w:lineRule="auto"/>
        <w:tabs>
          <w:tab w:leader="none" w:pos="79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management has established processes for cybersecurity incident assessment and reporting, these processes do not currently include formal procedures for reporting material cybersecurity incidents to the Board.</w:t>
      </w:r>
    </w:p>
    <w:p>
      <w:pPr>
        <w:spacing w:after="0" w:line="103" w:lineRule="exact"/>
        <w:rPr>
          <w:sz w:val="20"/>
          <w:szCs w:val="20"/>
          <w:color w:val="auto"/>
        </w:rPr>
      </w:pPr>
    </w:p>
    <w:p>
      <w:pPr>
        <w:ind w:right="660"/>
        <w:spacing w:after="0" w:line="405" w:lineRule="auto"/>
        <w:rPr>
          <w:sz w:val="20"/>
          <w:szCs w:val="20"/>
          <w:color w:val="auto"/>
        </w:rPr>
      </w:pPr>
      <w:r>
        <w:rPr>
          <w:rFonts w:ascii="Times New Roman" w:cs="Times New Roman" w:eastAsia="Times New Roman" w:hAnsi="Times New Roman"/>
          <w:sz w:val="18"/>
          <w:szCs w:val="18"/>
          <w:color w:val="auto"/>
        </w:rPr>
        <w:t xml:space="preserve">Each of the material weaknesses described above could result in a material misstatement to substantially all of the Company’s accounts or disclosures. </w:t>
      </w:r>
      <w:r>
        <w:rPr>
          <w:rFonts w:ascii="Times New Roman" w:cs="Times New Roman" w:eastAsia="Times New Roman" w:hAnsi="Times New Roman"/>
          <w:sz w:val="18"/>
          <w:szCs w:val="18"/>
          <w:b w:val="1"/>
          <w:bCs w:val="1"/>
          <w:i w:val="1"/>
          <w:iCs w:val="1"/>
          <w:color w:val="auto"/>
        </w:rPr>
        <w:t>Remediation Plan for Material Weaknesses in Internal Control Over Financial Reporting</w:t>
      </w:r>
    </w:p>
    <w:p>
      <w:pPr>
        <w:ind w:firstLine="475"/>
        <w:spacing w:after="0" w:line="269" w:lineRule="auto"/>
        <w:rPr>
          <w:sz w:val="20"/>
          <w:szCs w:val="20"/>
          <w:color w:val="auto"/>
        </w:rPr>
      </w:pPr>
      <w:r>
        <w:rPr>
          <w:rFonts w:ascii="Times New Roman" w:cs="Times New Roman" w:eastAsia="Times New Roman" w:hAnsi="Times New Roman"/>
          <w:sz w:val="18"/>
          <w:szCs w:val="18"/>
          <w:color w:val="auto"/>
        </w:rPr>
        <w:t>The Company remains committed to addressing material weaknesses in internal control over financial reporting and strengthening its overall control environment.</w:t>
      </w:r>
    </w:p>
    <w:p>
      <w:pPr>
        <w:spacing w:after="0" w:line="103" w:lineRule="exact"/>
        <w:rPr>
          <w:sz w:val="20"/>
          <w:szCs w:val="20"/>
          <w:color w:val="auto"/>
        </w:rPr>
      </w:pPr>
    </w:p>
    <w:p>
      <w:pPr>
        <w:jc w:val="both"/>
        <w:ind w:left="800" w:hanging="320"/>
        <w:spacing w:after="0" w:line="257" w:lineRule="auto"/>
        <w:tabs>
          <w:tab w:leader="none" w:pos="79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added and will continue to add finance and accounting personnel, including hiring a Senior Manager of Risks and Internal Controls in Q2 2025. Reporting directly to the CFO, this role serves as the internal point of contact for ICFR remediation and collaborates with the consulting firm to design, remediate, and implement enhanced controls;</w:t>
      </w:r>
    </w:p>
    <w:p>
      <w:pPr>
        <w:spacing w:after="0" w:line="7" w:lineRule="exact"/>
        <w:rPr>
          <w:rFonts w:ascii="Times New Roman" w:cs="Times New Roman" w:eastAsia="Times New Roman" w:hAnsi="Times New Roman"/>
          <w:sz w:val="18"/>
          <w:szCs w:val="18"/>
          <w:color w:val="auto"/>
        </w:rPr>
      </w:pPr>
    </w:p>
    <w:p>
      <w:pPr>
        <w:ind w:left="800" w:hanging="320"/>
        <w:spacing w:after="0"/>
        <w:tabs>
          <w:tab w:leader="none" w:pos="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implemented and is continuing to develop new accounting policies and procedures;</w:t>
      </w:r>
    </w:p>
    <w:p>
      <w:pPr>
        <w:spacing w:after="0" w:line="30" w:lineRule="exact"/>
        <w:rPr>
          <w:rFonts w:ascii="Times New Roman" w:cs="Times New Roman" w:eastAsia="Times New Roman" w:hAnsi="Times New Roman"/>
          <w:sz w:val="18"/>
          <w:szCs w:val="18"/>
          <w:color w:val="auto"/>
        </w:rPr>
      </w:pPr>
    </w:p>
    <w:p>
      <w:pPr>
        <w:ind w:left="800" w:hanging="320"/>
        <w:spacing w:after="0" w:line="267" w:lineRule="auto"/>
        <w:tabs>
          <w:tab w:leader="none" w:pos="79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installed and is configuring an IT system to support financial statement preparation, improve interdepartmental communication, and establish adequate structure, accountability, and segregation of duties;</w:t>
      </w:r>
    </w:p>
    <w:p>
      <w:pPr>
        <w:spacing w:after="0" w:line="1" w:lineRule="exact"/>
        <w:rPr>
          <w:rFonts w:ascii="Times New Roman" w:cs="Times New Roman" w:eastAsia="Times New Roman" w:hAnsi="Times New Roman"/>
          <w:sz w:val="18"/>
          <w:szCs w:val="18"/>
          <w:color w:val="auto"/>
        </w:rPr>
      </w:pPr>
    </w:p>
    <w:p>
      <w:pPr>
        <w:ind w:left="800" w:hanging="320"/>
        <w:spacing w:after="0"/>
        <w:tabs>
          <w:tab w:leader="none" w:pos="80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implemented and is continuing to develop enhanced controls over related party transactions, including regular attestations; and</w:t>
      </w:r>
    </w:p>
    <w:p>
      <w:pPr>
        <w:spacing w:after="0" w:line="66" w:lineRule="exact"/>
        <w:rPr>
          <w:rFonts w:ascii="Times New Roman" w:cs="Times New Roman" w:eastAsia="Times New Roman" w:hAnsi="Times New Roman"/>
          <w:sz w:val="16"/>
          <w:szCs w:val="16"/>
          <w:color w:val="auto"/>
        </w:rPr>
      </w:pPr>
    </w:p>
    <w:p>
      <w:pPr>
        <w:ind w:left="800" w:hanging="320"/>
        <w:spacing w:after="0"/>
        <w:tabs>
          <w:tab w:leader="none" w:pos="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adopted an Insider Investment Reporting Policy to strengthen internal oversight of related party transactions.</w:t>
      </w:r>
    </w:p>
    <w:p>
      <w:pPr>
        <w:spacing w:after="0" w:line="136" w:lineRule="exact"/>
        <w:rPr>
          <w:sz w:val="20"/>
          <w:szCs w:val="20"/>
          <w:color w:val="auto"/>
        </w:rPr>
      </w:pPr>
    </w:p>
    <w:p>
      <w:pPr>
        <w:jc w:val="both"/>
        <w:ind w:firstLine="475"/>
        <w:spacing w:after="0" w:line="250" w:lineRule="auto"/>
        <w:rPr>
          <w:sz w:val="20"/>
          <w:szCs w:val="20"/>
          <w:color w:val="auto"/>
        </w:rPr>
      </w:pPr>
      <w:r>
        <w:rPr>
          <w:rFonts w:ascii="Times New Roman" w:cs="Times New Roman" w:eastAsia="Times New Roman" w:hAnsi="Times New Roman"/>
          <w:sz w:val="18"/>
          <w:szCs w:val="18"/>
          <w:color w:val="auto"/>
        </w:rPr>
        <w:t>Our remediation activities are ongoing in 2025 and are expected to extend into 2026. There have been substantial changes to the composition of the Board of Directors as a result of the governance settlement entered into between the Company and FF Global, as well as substantial turnover in key management personnel, including accounting, legal and compliance personnel, which could impact its ability to implement the above-described remedial measures. The Company has engaged an external firm in May 2025 to assist with evaluating, designing, and implementing enhancements to its internal controls as part of its ongoing remediation efforts.</w:t>
      </w:r>
    </w:p>
    <w:p>
      <w:pPr>
        <w:spacing w:after="0" w:line="122" w:lineRule="exact"/>
        <w:rPr>
          <w:sz w:val="20"/>
          <w:szCs w:val="20"/>
          <w:color w:val="auto"/>
        </w:rPr>
      </w:pPr>
    </w:p>
    <w:p>
      <w:pPr>
        <w:jc w:val="both"/>
        <w:ind w:firstLine="475"/>
        <w:spacing w:after="0" w:line="269" w:lineRule="auto"/>
        <w:rPr>
          <w:sz w:val="20"/>
          <w:szCs w:val="20"/>
          <w:color w:val="auto"/>
        </w:rPr>
      </w:pPr>
      <w:r>
        <w:rPr>
          <w:rFonts w:ascii="Times New Roman" w:cs="Times New Roman" w:eastAsia="Times New Roman" w:hAnsi="Times New Roman"/>
          <w:sz w:val="18"/>
          <w:szCs w:val="18"/>
          <w:color w:val="auto"/>
        </w:rPr>
        <w:t>The Company has or is planning to put in place processes and controls to mitigate the risks associated to enhance oversight and corporate governance, including but not limited to:</w:t>
      </w:r>
    </w:p>
    <w:p>
      <w:pPr>
        <w:spacing w:after="0" w:line="103" w:lineRule="exact"/>
        <w:rPr>
          <w:sz w:val="20"/>
          <w:szCs w:val="20"/>
          <w:color w:val="auto"/>
        </w:rPr>
      </w:pPr>
    </w:p>
    <w:p>
      <w:pPr>
        <w:ind w:left="800" w:hanging="320"/>
        <w:spacing w:after="0" w:line="259" w:lineRule="auto"/>
        <w:tabs>
          <w:tab w:leader="none" w:pos="79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monitor the segregation of responsibilities and duties in the Company’s user ecosystem, capital markets, human resources and administration, and FFCN;</w:t>
      </w:r>
    </w:p>
    <w:p>
      <w:pPr>
        <w:spacing w:after="0" w:line="1" w:lineRule="exact"/>
        <w:rPr>
          <w:rFonts w:ascii="Times New Roman" w:cs="Times New Roman" w:eastAsia="Times New Roman" w:hAnsi="Times New Roman"/>
          <w:sz w:val="18"/>
          <w:szCs w:val="18"/>
          <w:color w:val="auto"/>
        </w:rPr>
      </w:pPr>
    </w:p>
    <w:p>
      <w:pPr>
        <w:ind w:left="800" w:hanging="320"/>
        <w:spacing w:after="0" w:line="301" w:lineRule="auto"/>
        <w:tabs>
          <w:tab w:leader="none" w:pos="796"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Requiring the Board, or a designated committee of the Board, to approve the signing of financing agreements, the hiring, promoting or terminating vice presidents of the Company and above (including additional Section 16 officers), and the adoption of Company-wide compensation policies;</w:t>
      </w:r>
    </w:p>
    <w:p>
      <w:pPr>
        <w:jc w:val="both"/>
        <w:ind w:left="800" w:hanging="320"/>
        <w:spacing w:after="0" w:line="254" w:lineRule="auto"/>
        <w:tabs>
          <w:tab w:leader="none" w:pos="79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hired a Compliance Officer (Deputy General Counsel) in March 2023 to support its compliance efforts. Following this individual’s departure in July 2025, the Company continues to assess the need for a Chief Compliance Officer who would report on a dotted line to the Chair of the Audit Committee, and</w:t>
      </w:r>
    </w:p>
    <w:p>
      <w:pPr>
        <w:spacing w:after="0" w:line="2" w:lineRule="exact"/>
        <w:rPr>
          <w:rFonts w:ascii="Times New Roman" w:cs="Times New Roman" w:eastAsia="Times New Roman" w:hAnsi="Times New Roman"/>
          <w:sz w:val="18"/>
          <w:szCs w:val="18"/>
          <w:color w:val="auto"/>
        </w:rPr>
      </w:pPr>
    </w:p>
    <w:p>
      <w:pPr>
        <w:jc w:val="both"/>
        <w:ind w:left="800" w:hanging="320"/>
        <w:spacing w:after="0" w:line="257" w:lineRule="auto"/>
        <w:tabs>
          <w:tab w:leader="none" w:pos="79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2025, the Company engaged an external firm to assist with evaluating, designing, and implementing enhancements to its internal controls. The firm works closely with the Senior Manager of Risks and Internal Controls and provides support for compliance reviews and internal audit functions, reporting to the Chair of the Audit Committee.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4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 addition to the above actions and in view of the governance changes that the Company implemented pursuant to the Heads of Agreement and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Shareholder Agreement and otherwise, the Company expects to engage in additional activities, including, but not limited to:</w:t>
      </w:r>
    </w:p>
    <w:p>
      <w:pPr>
        <w:spacing w:after="0" w:line="131" w:lineRule="exact"/>
        <w:rPr>
          <w:sz w:val="20"/>
          <w:szCs w:val="20"/>
          <w:color w:val="auto"/>
        </w:rPr>
      </w:pPr>
    </w:p>
    <w:p>
      <w:pPr>
        <w:jc w:val="both"/>
        <w:ind w:left="800" w:right="40" w:hanging="320"/>
        <w:spacing w:after="0" w:line="257" w:lineRule="auto"/>
        <w:tabs>
          <w:tab w:leader="none" w:pos="79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hire key finance and accounting personnel as the Company scales and until it has sufficient technical accounting resources, combined with engaging external consultants to provide support and to assist in the evaluation of more complex applications of generally accepted accounting principles and to assist with documenting and assessing its accounting policies and procedures;</w:t>
      </w:r>
    </w:p>
    <w:p>
      <w:pPr>
        <w:spacing w:after="0" w:line="7" w:lineRule="exact"/>
        <w:rPr>
          <w:rFonts w:ascii="Times New Roman" w:cs="Times New Roman" w:eastAsia="Times New Roman" w:hAnsi="Times New Roman"/>
          <w:sz w:val="18"/>
          <w:szCs w:val="18"/>
          <w:color w:val="auto"/>
        </w:rPr>
      </w:pPr>
    </w:p>
    <w:p>
      <w:pPr>
        <w:ind w:left="800" w:right="120" w:hanging="320"/>
        <w:spacing w:after="0" w:line="259" w:lineRule="auto"/>
        <w:tabs>
          <w:tab w:leader="none" w:pos="79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and implementing controls in response to the risks of material misstatement to identify and evaluate changes in the Company’s business and the impact on internal controls;</w:t>
      </w:r>
    </w:p>
    <w:p>
      <w:pPr>
        <w:spacing w:after="0" w:line="1" w:lineRule="exact"/>
        <w:rPr>
          <w:rFonts w:ascii="Times New Roman" w:cs="Times New Roman" w:eastAsia="Times New Roman" w:hAnsi="Times New Roman"/>
          <w:sz w:val="18"/>
          <w:szCs w:val="18"/>
          <w:color w:val="auto"/>
        </w:rPr>
      </w:pPr>
    </w:p>
    <w:p>
      <w:pPr>
        <w:ind w:left="800" w:right="500" w:hanging="320"/>
        <w:spacing w:after="0" w:line="267" w:lineRule="auto"/>
        <w:tabs>
          <w:tab w:leader="none" w:pos="79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and implementing controls for communicating and sharing information between legal, capital markets, and accounting to facilitate transactions being recorded timely and accurately;</w:t>
      </w:r>
    </w:p>
    <w:p>
      <w:pPr>
        <w:spacing w:after="0" w:line="1" w:lineRule="exact"/>
        <w:rPr>
          <w:rFonts w:ascii="Times New Roman" w:cs="Times New Roman" w:eastAsia="Times New Roman" w:hAnsi="Times New Roman"/>
          <w:sz w:val="18"/>
          <w:szCs w:val="18"/>
          <w:color w:val="auto"/>
        </w:rPr>
      </w:pPr>
    </w:p>
    <w:p>
      <w:pPr>
        <w:ind w:left="800" w:right="80" w:hanging="320"/>
        <w:spacing w:after="0" w:line="257" w:lineRule="auto"/>
        <w:tabs>
          <w:tab w:leader="none" w:pos="79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and implementing formal processes, accounting policies, procedures, and controls supporting certain business processes and its financial close process, including creating standard balance sheet reconciliation templates and journal entry controls assessing the reliability of reports and spreadsheets used in controls, and timely identification and accounting for expenditure cut-off;</w:t>
      </w:r>
    </w:p>
    <w:p>
      <w:pPr>
        <w:spacing w:after="0" w:line="7" w:lineRule="exact"/>
        <w:rPr>
          <w:rFonts w:ascii="Times New Roman" w:cs="Times New Roman" w:eastAsia="Times New Roman" w:hAnsi="Times New Roman"/>
          <w:sz w:val="18"/>
          <w:szCs w:val="18"/>
          <w:color w:val="auto"/>
        </w:rPr>
      </w:pPr>
    </w:p>
    <w:p>
      <w:pPr>
        <w:ind w:left="800" w:hanging="320"/>
        <w:spacing w:after="0"/>
        <w:tabs>
          <w:tab w:leader="none" w:pos="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and implementing controls to address the identification of and accounting for certain non-routine, unusual or complex transactions;</w:t>
      </w:r>
    </w:p>
    <w:p>
      <w:pPr>
        <w:spacing w:after="0" w:line="30" w:lineRule="exact"/>
        <w:rPr>
          <w:rFonts w:ascii="Times New Roman" w:cs="Times New Roman" w:eastAsia="Times New Roman" w:hAnsi="Times New Roman"/>
          <w:sz w:val="18"/>
          <w:szCs w:val="18"/>
          <w:color w:val="auto"/>
        </w:rPr>
      </w:pPr>
    </w:p>
    <w:p>
      <w:pPr>
        <w:ind w:left="800" w:hanging="320"/>
        <w:spacing w:after="0"/>
        <w:tabs>
          <w:tab w:leader="none" w:pos="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and implementing controls related to the identification and disclosure of certain arrangements and transactions with related parties;</w:t>
      </w:r>
    </w:p>
    <w:p>
      <w:pPr>
        <w:spacing w:after="0" w:line="43" w:lineRule="exact"/>
        <w:rPr>
          <w:rFonts w:ascii="Times New Roman" w:cs="Times New Roman" w:eastAsia="Times New Roman" w:hAnsi="Times New Roman"/>
          <w:sz w:val="18"/>
          <w:szCs w:val="18"/>
          <w:color w:val="auto"/>
        </w:rPr>
      </w:pPr>
    </w:p>
    <w:p>
      <w:pPr>
        <w:ind w:left="800" w:hanging="320"/>
        <w:spacing w:after="0"/>
        <w:tabs>
          <w:tab w:leader="none" w:pos="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implement IT systems supporting financial reporting to enhance communication, accountability, and segregation of duties; and</w:t>
      </w:r>
    </w:p>
    <w:p>
      <w:pPr>
        <w:spacing w:after="0" w:line="43" w:lineRule="exact"/>
        <w:rPr>
          <w:rFonts w:ascii="Times New Roman" w:cs="Times New Roman" w:eastAsia="Times New Roman" w:hAnsi="Times New Roman"/>
          <w:sz w:val="18"/>
          <w:szCs w:val="18"/>
          <w:color w:val="auto"/>
        </w:rPr>
      </w:pPr>
    </w:p>
    <w:p>
      <w:pPr>
        <w:ind w:left="800" w:right="260" w:hanging="320"/>
        <w:spacing w:after="0" w:line="269" w:lineRule="auto"/>
        <w:tabs>
          <w:tab w:leader="none" w:pos="79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and implementing IT general controls, including controls over change management, the review and update of user access controls and controls over critical batch jobs and data backups.</w:t>
      </w:r>
    </w:p>
    <w:p>
      <w:pPr>
        <w:spacing w:after="0" w:line="195"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While the Company has made progress, the material weaknesses will not be considered remediated until the Company completes the design and implementation of the enhanced controls, the controls operate for a sufficient period of time, and the Company has concluded, through testing, that these controls are effective. The Company believes that the remediation plan will be sufficient to remediate the identified material weakness and strengthen internal control over financial reporting.</w:t>
      </w:r>
    </w:p>
    <w:p>
      <w:pPr>
        <w:spacing w:after="0" w:line="103" w:lineRule="exact"/>
        <w:rPr>
          <w:sz w:val="20"/>
          <w:szCs w:val="20"/>
          <w:color w:val="auto"/>
        </w:rPr>
      </w:pPr>
    </w:p>
    <w:p>
      <w:pPr>
        <w:jc w:val="both"/>
        <w:ind w:firstLine="475"/>
        <w:spacing w:after="0" w:line="269" w:lineRule="auto"/>
        <w:rPr>
          <w:sz w:val="20"/>
          <w:szCs w:val="20"/>
          <w:color w:val="auto"/>
        </w:rPr>
      </w:pPr>
      <w:r>
        <w:rPr>
          <w:rFonts w:ascii="Times New Roman" w:cs="Times New Roman" w:eastAsia="Times New Roman" w:hAnsi="Times New Roman"/>
          <w:sz w:val="18"/>
          <w:szCs w:val="18"/>
          <w:color w:val="auto"/>
        </w:rPr>
        <w:t>As the Company continues to evaluate and work to improve internal control over financial reporting, the Company may determine that additional measures or modifications to the remediation plan are necessary.</w:t>
      </w:r>
    </w:p>
    <w:p>
      <w:pPr>
        <w:spacing w:after="0" w:line="103"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The Company is working to remediate the material weaknesses as efficiently and effectively as possible. Full remediation could extend beyond December 31, 2025. At this time, the Company cannot provide an estimate of costs expected to be incurred in connection with implementing this remediation plan; however, these remediation measures will be time consuming, will result in the Company incurring significant costs, and will place significant demands on the Company’s financial and operational resources.</w:t>
      </w:r>
    </w:p>
    <w:p>
      <w:pPr>
        <w:spacing w:after="0" w:line="116" w:lineRule="exact"/>
        <w:rPr>
          <w:sz w:val="20"/>
          <w:szCs w:val="20"/>
          <w:color w:val="auto"/>
        </w:rPr>
      </w:pPr>
    </w:p>
    <w:p>
      <w:pPr>
        <w:jc w:val="both"/>
        <w:ind w:firstLine="475"/>
        <w:spacing w:after="0" w:line="246" w:lineRule="auto"/>
        <w:rPr>
          <w:sz w:val="20"/>
          <w:szCs w:val="20"/>
          <w:color w:val="auto"/>
        </w:rPr>
      </w:pPr>
      <w:r>
        <w:rPr>
          <w:rFonts w:ascii="Times New Roman" w:cs="Times New Roman" w:eastAsia="Times New Roman" w:hAnsi="Times New Roman"/>
          <w:sz w:val="18"/>
          <w:szCs w:val="18"/>
          <w:color w:val="auto"/>
        </w:rPr>
        <w:t>While the Company believes these efforts will remediate the material weaknesses, there is no assurance that evaluation, testing, or required remediation will be completed on time. It is also possible they may not be completed at all. The Company cannot assure that the measures that have been taken to date and may be taken in the future, will be sufficient to remediate the control deficiencies that led to the material weaknesses in internal control over financial reporting or that they will prevent or avoid potential future material weaknesses. The effectiveness of the Company’s internal control over financial reporting is subject to various inherent limitations, including cost limitations, judgments used in decision making, assumptions about the likelihood of future events, the possibility of human error and the risk of fraud. Further turnover in key management personnel, particularly accounting, finance and legal personnel, may negatively impact the Company’s ability to implement its remediation plan. If the Company is unable to remediate its material weaknesses, the Company’s ability to record, process and report financial information accurately, and to prepare financial statements within the time periods specified by the forms of the SEC, could be adversely affected which, in turn, may adversely affect the Company’s reputation and business and the market price of the Class A Common Stock. Any such failures could result in litigation or regulatory actions by the SEC or other regulatory authorities, loss of investor confidence, delisting of the Company’s securities and harm to the Company’s reputation and financial condition, or diversion of financial and management resources from the operation of the Company’s business. The Company remains focused on executing its remediation plan and strengthening its internal controls to support reliable financial reporting.</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635"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53" w:lineRule="exact"/>
        <w:rPr>
          <w:sz w:val="20"/>
          <w:szCs w:val="20"/>
          <w:color w:val="auto"/>
        </w:rPr>
      </w:pPr>
    </w:p>
    <w:p>
      <w:pPr>
        <w:jc w:val="both"/>
        <w:ind w:firstLine="475"/>
        <w:spacing w:after="0" w:line="250" w:lineRule="auto"/>
        <w:rPr>
          <w:sz w:val="20"/>
          <w:szCs w:val="20"/>
          <w:color w:val="auto"/>
        </w:rPr>
      </w:pPr>
      <w:r>
        <w:rPr>
          <w:rFonts w:ascii="Times New Roman" w:cs="Times New Roman" w:eastAsia="Times New Roman" w:hAnsi="Times New Roman"/>
          <w:sz w:val="18"/>
          <w:szCs w:val="18"/>
          <w:color w:val="auto"/>
        </w:rPr>
        <w:t>On August 6, 2025, the Board of Directors determined that, during the pendency of the SEC investigation involving the Company and certain current and former executives, Mr. Jia will be excluded from oversight of the Company’s finance, legal, accounting, and public reporting functions (the “Governance Adjustments”). As part of these adjustments, Mr. Jia was also relieved of responsibility for providing certifications under Sections 302 and 906 of the Sarbanes-Oxley Act of 2002. These oversight responsibilities have been delegated to Mr. Matthias Aydt, who previously shared such responsibilities with Mr. Jia. The Governance Adjustments became effective on August 13, 2025.</w:t>
      </w:r>
    </w:p>
    <w:p>
      <w:pPr>
        <w:spacing w:after="0" w:line="122" w:lineRule="exact"/>
        <w:rPr>
          <w:sz w:val="20"/>
          <w:szCs w:val="20"/>
          <w:color w:val="auto"/>
        </w:rPr>
      </w:pPr>
    </w:p>
    <w:p>
      <w:pPr>
        <w:ind w:right="140" w:firstLine="475"/>
        <w:spacing w:after="0" w:line="269" w:lineRule="auto"/>
        <w:rPr>
          <w:sz w:val="20"/>
          <w:szCs w:val="20"/>
          <w:color w:val="auto"/>
        </w:rPr>
      </w:pPr>
      <w:r>
        <w:rPr>
          <w:rFonts w:ascii="Times New Roman" w:cs="Times New Roman" w:eastAsia="Times New Roman" w:hAnsi="Times New Roman"/>
          <w:sz w:val="18"/>
          <w:szCs w:val="18"/>
          <w:color w:val="auto"/>
        </w:rPr>
        <w:t>Except for the changes described above, there have been no changes in internal control over financial reporting during the three months ended June 30, 2025, that have materially affected, or are reasonably likely to materially affect, the Company’s internal control over financial reporting.</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15"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164" w:lineRule="exact"/>
        <w:rPr>
          <w:sz w:val="20"/>
          <w:szCs w:val="20"/>
          <w:color w:val="auto"/>
        </w:rPr>
      </w:pPr>
    </w:p>
    <w:p>
      <w:pPr>
        <w:jc w:val="both"/>
        <w:ind w:firstLine="475"/>
        <w:spacing w:after="0" w:line="250" w:lineRule="auto"/>
        <w:rPr>
          <w:sz w:val="20"/>
          <w:szCs w:val="20"/>
          <w:color w:val="auto"/>
        </w:rPr>
      </w:pPr>
      <w:r>
        <w:rPr>
          <w:rFonts w:ascii="Times New Roman" w:cs="Times New Roman" w:eastAsia="Times New Roman" w:hAnsi="Times New Roman"/>
          <w:sz w:val="18"/>
          <w:szCs w:val="18"/>
          <w:color w:val="auto"/>
        </w:rPr>
        <w:t>From time to time, the Company may become involved in legal proceedings arising in the ordinary course of business. The Company is currently a party to various legal or governmental proceedings, the outcome of which, although currently uncertain, if determined adversely to us, could individually or in the aggregate have a material adverse effect on the Company’s business, financial condition, and results of operations. See the section titled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xml:space="preserve">” in Note 11,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included in the notes to the Company’s Unaudited Condensed Consolidated Financial Statements contained within this </w:t>
      </w:r>
      <w:r>
        <w:rPr>
          <w:rFonts w:ascii="Times New Roman" w:cs="Times New Roman" w:eastAsia="Times New Roman" w:hAnsi="Times New Roman"/>
          <w:sz w:val="15"/>
          <w:szCs w:val="15"/>
          <w:color w:val="auto"/>
        </w:rPr>
        <w:t>Form 10-Q</w:t>
      </w:r>
      <w:r>
        <w:rPr>
          <w:rFonts w:ascii="Times New Roman" w:cs="Times New Roman" w:eastAsia="Times New Roman" w:hAnsi="Times New Roman"/>
          <w:sz w:val="18"/>
          <w:szCs w:val="18"/>
          <w:color w:val="auto"/>
        </w:rPr>
        <w:t xml:space="preserve"> for further discussion of its legal proceedings.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51"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Except as described below, there have been no material changes to the risk factors previously disclosed in Part I, Item 1A of our Annual Report on Form 10-K for the year ended December 31, 2024 filed with the SEC on March 31, 2025. The following additional risk factor should be considered in conjunction with the risk factors disclosed in the Form 10-K.</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our founder and Global Co-Chief Executive Officer, and our Global President, have each received a Wells Notice from the SEC contemplating a civil enforcement action, which could have a material adverse effect on our business, financial condition, results of operations, prospects, reputation, and/or our stock price.</w:t>
      </w:r>
    </w:p>
    <w:p>
      <w:pPr>
        <w:spacing w:after="0" w:line="112" w:lineRule="exact"/>
        <w:rPr>
          <w:sz w:val="20"/>
          <w:szCs w:val="20"/>
          <w:color w:val="auto"/>
        </w:rPr>
      </w:pPr>
    </w:p>
    <w:p>
      <w:pPr>
        <w:jc w:val="both"/>
        <w:ind w:firstLine="475"/>
        <w:spacing w:after="0" w:line="249" w:lineRule="auto"/>
        <w:rPr>
          <w:sz w:val="20"/>
          <w:szCs w:val="20"/>
          <w:color w:val="auto"/>
        </w:rPr>
      </w:pPr>
      <w:r>
        <w:rPr>
          <w:rFonts w:ascii="Times New Roman" w:cs="Times New Roman" w:eastAsia="Times New Roman" w:hAnsi="Times New Roman"/>
          <w:sz w:val="18"/>
          <w:szCs w:val="18"/>
          <w:color w:val="auto"/>
        </w:rPr>
        <w:t>On June 26, 2025, the Company received a “Wells Notice” from the staff of the SEC stating that the SEC staff made a preliminary determination to recommend that the SEC file an enforcement action against the Company alleging violations of various anti-fraud provisions of the federal securities laws. The SEC staff informed the Company that the alleged violations of anti-fraud provisions of the federal securities laws pertain to purported false or misleading statements in connection with the Company’s 2021 PIPE and SPAC listing, relating to (i) related party transactions, and (ii) Mr. Jia’s role in the Company. An enforcement action may seek an injunction or cease-and-desist order against future violations of provisions of the federal securities laws, the imposition of civil monetary penalties, disgorgement or other equitable relief within the SEC’s authority, or any combination of the foregoing.</w:t>
      </w:r>
    </w:p>
    <w:p>
      <w:pPr>
        <w:spacing w:after="0" w:line="123" w:lineRule="exact"/>
        <w:rPr>
          <w:sz w:val="20"/>
          <w:szCs w:val="20"/>
          <w:color w:val="auto"/>
        </w:rPr>
      </w:pPr>
    </w:p>
    <w:p>
      <w:pPr>
        <w:jc w:val="both"/>
        <w:ind w:firstLine="475"/>
        <w:spacing w:after="0" w:line="250" w:lineRule="auto"/>
        <w:rPr>
          <w:sz w:val="20"/>
          <w:szCs w:val="20"/>
          <w:color w:val="auto"/>
        </w:rPr>
      </w:pPr>
      <w:r>
        <w:rPr>
          <w:rFonts w:ascii="Times New Roman" w:cs="Times New Roman" w:eastAsia="Times New Roman" w:hAnsi="Times New Roman"/>
          <w:sz w:val="18"/>
          <w:szCs w:val="18"/>
          <w:color w:val="auto"/>
        </w:rPr>
        <w:t>On June 27, 2025, Jiawei (Jerry) Wang, the Global President of the Company, received a Wells Notice from the SEC, and on June 30, 2025, YT Jia, Global Co-Chief Executive Officer, received a Wells Notice from the SEC. Each of these notices also states that the SEC staff made a preliminary determination to recommend that the SEC file an enforcement action against them alleging similar violations in their individual capacities of various anti-fraud provisions of the federal securities laws detailed above. An enforcement action may seek any of the above-referenced remedies, as well as a bar from serving as an officer or director of a public company. Two other former Company employees also received Wells Notices.</w:t>
      </w:r>
    </w:p>
    <w:p>
      <w:pPr>
        <w:spacing w:after="0" w:line="109" w:lineRule="exact"/>
        <w:rPr>
          <w:sz w:val="20"/>
          <w:szCs w:val="20"/>
          <w:color w:val="auto"/>
        </w:rPr>
      </w:pPr>
    </w:p>
    <w:p>
      <w:pPr>
        <w:jc w:val="both"/>
        <w:ind w:firstLine="475"/>
        <w:spacing w:after="0" w:line="289" w:lineRule="auto"/>
        <w:rPr>
          <w:sz w:val="20"/>
          <w:szCs w:val="20"/>
          <w:color w:val="auto"/>
        </w:rPr>
      </w:pPr>
      <w:r>
        <w:rPr>
          <w:rFonts w:ascii="Times New Roman" w:cs="Times New Roman" w:eastAsia="Times New Roman" w:hAnsi="Times New Roman"/>
          <w:sz w:val="16"/>
          <w:szCs w:val="16"/>
          <w:color w:val="auto"/>
        </w:rPr>
        <w:t>A Wells Notice is neither a formal charge of wrongdoing nor a final determination that the recipient has violated any law but is a preliminary determination by the Staff to recommend to the SEC Commissioners that a civil enforcement action or administrative proceeding be brought against the recipients. The Company and, Messrs. Jia and Wang plan to engage with the SEC Staff about why an enforcement action is not warranted. If the SEC determines to seek an enforcement action against the Company, Mr. Jia, and/or Mr. Wang, the SEC would need to proceed through a formal process, including formal court process for the director and officer bar, during which the Company, Mr. Jia and/or Mr. Wang, as applicable, could defend themselves.</w:t>
      </w:r>
    </w:p>
    <w:p>
      <w:pPr>
        <w:spacing w:after="0" w:line="92" w:lineRule="exact"/>
        <w:rPr>
          <w:sz w:val="20"/>
          <w:szCs w:val="20"/>
          <w:color w:val="auto"/>
        </w:rPr>
      </w:pPr>
    </w:p>
    <w:p>
      <w:pPr>
        <w:jc w:val="both"/>
        <w:ind w:firstLine="475"/>
        <w:spacing w:after="0" w:line="294" w:lineRule="auto"/>
        <w:rPr>
          <w:sz w:val="20"/>
          <w:szCs w:val="20"/>
          <w:color w:val="auto"/>
        </w:rPr>
      </w:pPr>
      <w:r>
        <w:rPr>
          <w:rFonts w:ascii="Times New Roman" w:cs="Times New Roman" w:eastAsia="Times New Roman" w:hAnsi="Times New Roman"/>
          <w:sz w:val="16"/>
          <w:szCs w:val="16"/>
          <w:color w:val="auto"/>
        </w:rPr>
        <w:t>We cannot predict the results of the investigation and the Wells Notice process and any corresponding enforcement action against us and/or any of the identified individuals, and the costs, timing and other potential consequences of responding and complying therewith with any certainty. If the final determination is detrimental to the Company, we may lose business cooperation with our actual and/or potential customers and vendors, and it may be more difficult for the Company to obtain additional financing on favorable terms, if at all. Further, it may become more difficult to attract and retain key members of</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4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color w:val="auto"/>
        </w:rPr>
        <w:t>management, our board of directors and other key employees. The investigation, including any potential SEC enforcement action, continues to be expensive and disruptive, and we are obligated to indemnify each of the individuals for their costs associated with the investigation, the Wells Notices, and any resulting litigation with the SEC or related litigation brought by other parties, which may cause financial distress to the Company. Our insurance, to the extent maintained, may not cover all claims that may be asserted against us or the specified individuals, and we are unable to predict how long the investigation and any potential SEC enforcement action will continue. In addition, because the Company depends on Messrs. Jia and Wang, the loss of their services may adversely impact the achievement of the Company’s objectives. An unfavorable outcome may have an adverse impact on our business, financial condition, results of operations, prospects, reputation and/or our stock price. In addition, Nasdaq has broad discretion and may determine to delist our securities from the Nasdaq Capital Market or other applicable trading market within the U.S. Any proceeding could also negatively impact our reputation among our stakeholders.</w:t>
      </w:r>
    </w:p>
    <w:p>
      <w:pPr>
        <w:spacing w:after="0" w:line="96" w:lineRule="exact"/>
        <w:rPr>
          <w:sz w:val="20"/>
          <w:szCs w:val="20"/>
          <w:color w:val="auto"/>
        </w:rPr>
      </w:pPr>
    </w:p>
    <w:p>
      <w:pPr>
        <w:ind w:right="3140"/>
        <w:spacing w:after="0" w:line="406" w:lineRule="auto"/>
        <w:rPr>
          <w:sz w:val="20"/>
          <w:szCs w:val="20"/>
          <w:color w:val="auto"/>
        </w:rPr>
      </w:pPr>
      <w:r>
        <w:rPr>
          <w:rFonts w:ascii="Times New Roman" w:cs="Times New Roman" w:eastAsia="Times New Roman" w:hAnsi="Times New Roman"/>
          <w:sz w:val="18"/>
          <w:szCs w:val="18"/>
          <w:b w:val="1"/>
          <w:bCs w:val="1"/>
          <w:color w:val="auto"/>
        </w:rPr>
        <w:t xml:space="preserve">Item 2. Unregistered Sales Of Equity Securities, Use Of Proceeds And Issuer Purchases Of Equity Securities </w:t>
      </w:r>
      <w:r>
        <w:rPr>
          <w:rFonts w:ascii="Times New Roman" w:cs="Times New Roman" w:eastAsia="Times New Roman" w:hAnsi="Times New Roman"/>
          <w:sz w:val="18"/>
          <w:szCs w:val="18"/>
          <w:b w:val="1"/>
          <w:bCs w:val="1"/>
          <w:i w:val="1"/>
          <w:iCs w:val="1"/>
          <w:color w:val="auto"/>
        </w:rPr>
        <w:t>Unregistered Equity Issuance – SPA Portfolio Conversions</w:t>
      </w:r>
    </w:p>
    <w:p>
      <w:pPr>
        <w:spacing w:after="0" w:line="1" w:lineRule="exact"/>
        <w:rPr>
          <w:sz w:val="20"/>
          <w:szCs w:val="20"/>
          <w:color w:val="auto"/>
        </w:rPr>
      </w:pPr>
    </w:p>
    <w:p>
      <w:pPr>
        <w:jc w:val="both"/>
        <w:ind w:firstLine="475"/>
        <w:spacing w:after="0" w:line="250" w:lineRule="auto"/>
        <w:rPr>
          <w:sz w:val="20"/>
          <w:szCs w:val="20"/>
          <w:color w:val="auto"/>
        </w:rPr>
      </w:pPr>
      <w:r>
        <w:rPr>
          <w:rFonts w:ascii="Times New Roman" w:cs="Times New Roman" w:eastAsia="Times New Roman" w:hAnsi="Times New Roman"/>
          <w:sz w:val="18"/>
          <w:szCs w:val="18"/>
          <w:color w:val="auto"/>
        </w:rPr>
        <w:t>During the six months ended June 30, 2025, the Company issued convertible promissory notes, related warrants and incremental warrants pursuant to the Securities Purchase Agreement dated March 21, 2025 (the “2025 March Unsecured SPA”). These instruments (collectively, the “2025 March Unsecured SPA Notes” and “2025 March Unsecured SPA Warrants”) form part of the Company’s broader SPA Portfolio Notes financing program. As of June 30, 2025 the Company had received $8.2 million in proceeds in advance of the third closing, which occurred on July 11, 2025. The corresponding notes are reported as outstanding as of period end.</w:t>
      </w:r>
    </w:p>
    <w:p>
      <w:pPr>
        <w:spacing w:after="0" w:line="122"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As of the date of this report, the securities issued in connection with the second and third closings of the 2025 March Unsecured SPA Notes, related warrants, and shares underlying the Incremental Warrants have not been registered under the Securities Act of 1933, as amended (the “Securities Act”). These securities were issued in reliance on the exemption from registration provided by Section 4(a)(2) of the Securities Act and Rule 506 of Regulation D and were sold exclusively to accredited investors in private placements without general solicitation or advertising.</w:t>
      </w:r>
    </w:p>
    <w:p>
      <w:pPr>
        <w:spacing w:after="0" w:line="196" w:lineRule="exact"/>
        <w:rPr>
          <w:sz w:val="20"/>
          <w:szCs w:val="20"/>
          <w:color w:val="auto"/>
        </w:rPr>
      </w:pPr>
    </w:p>
    <w:p>
      <w:pPr>
        <w:jc w:val="both"/>
        <w:ind w:firstLine="475"/>
        <w:spacing w:after="0" w:line="272" w:lineRule="auto"/>
        <w:rPr>
          <w:sz w:val="20"/>
          <w:szCs w:val="20"/>
          <w:color w:val="auto"/>
        </w:rPr>
      </w:pPr>
      <w:r>
        <w:rPr>
          <w:rFonts w:ascii="Times New Roman" w:cs="Times New Roman" w:eastAsia="Times New Roman" w:hAnsi="Times New Roman"/>
          <w:sz w:val="16"/>
          <w:szCs w:val="16"/>
          <w:color w:val="auto"/>
        </w:rPr>
        <w:t>In prior periods, the Company issued additional convertible notes and warrants under the SPA Portfolio Notes program, including the Secured SPA Notes, 2023 Unsecured SPA Notes, 2024 Unsecured SPA Notes, and Junior Secured SPA Notes. As of the date of this report, securities issued under the 2024 Unsecured SPA and Junior Secured SPA remain partially registered. The shares underlying certain of the 2025 March Unsecured SPA Notes remain partially registered. An amendment to a resale registration statement on Form S-1 was filed in May 2025 to register shares underlying the first closing of the 2025 March Unsecured SPA Notes, certain related warrants and shares issued to vendors including H.S.L and Envisage, which was declared effective in May 2025.</w:t>
      </w:r>
    </w:p>
    <w:p>
      <w:pPr>
        <w:spacing w:after="0" w:line="92" w:lineRule="exact"/>
        <w:rPr>
          <w:sz w:val="20"/>
          <w:szCs w:val="20"/>
          <w:color w:val="auto"/>
        </w:rPr>
      </w:pPr>
    </w:p>
    <w:p>
      <w:pPr>
        <w:jc w:val="both"/>
        <w:ind w:firstLine="475"/>
        <w:spacing w:after="0" w:line="269" w:lineRule="auto"/>
        <w:rPr>
          <w:sz w:val="20"/>
          <w:szCs w:val="20"/>
          <w:color w:val="auto"/>
        </w:rPr>
      </w:pPr>
      <w:r>
        <w:rPr>
          <w:rFonts w:ascii="Times New Roman" w:cs="Times New Roman" w:eastAsia="Times New Roman" w:hAnsi="Times New Roman"/>
          <w:sz w:val="18"/>
          <w:szCs w:val="18"/>
          <w:color w:val="auto"/>
        </w:rPr>
        <w:t>Univest Securities acted as placement agent in connection with the 2025 March Unsecured SPA Notes and received a placement agent fee and Placement Agent Warrants. Shares underlying the Placement Agent Warrants were partially registered.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Equity Issuance – Cooper Standard. Settlement</w:t>
      </w:r>
    </w:p>
    <w:p>
      <w:pPr>
        <w:spacing w:after="0" w:line="153"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In June 2025, the Company issued 423,333 shares of Class A Common Stock to Cooper Standard. in settlement of $0.6 million of outstanding payables. The issuance was made pursuant to a private settlement agreement and was not registered under the Securities Act of 1933, as amended (the “Securities Act”). The shares were issued in reliance on the exemption from registration provided by Section 4(a)(2) of the Securities Act as a transaction by an issuer not involving a public offering. No general solicitation or advertising was used in connection with the issuance.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13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Mine Safety Disclosures</w:t>
      </w:r>
    </w:p>
    <w:p>
      <w:pPr>
        <w:spacing w:after="0" w:line="15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3" w:lineRule="exact"/>
        <w:rPr>
          <w:sz w:val="20"/>
          <w:szCs w:val="20"/>
          <w:color w:val="auto"/>
        </w:rPr>
      </w:pPr>
    </w:p>
    <w:p>
      <w:pPr>
        <w:ind w:firstLine="475"/>
        <w:spacing w:after="0" w:line="253" w:lineRule="exact"/>
        <w:rPr>
          <w:sz w:val="20"/>
          <w:szCs w:val="20"/>
          <w:color w:val="auto"/>
        </w:rPr>
      </w:pPr>
      <w:r>
        <w:rPr>
          <w:rFonts w:ascii="Times New Roman" w:cs="Times New Roman" w:eastAsia="Times New Roman" w:hAnsi="Times New Roman"/>
          <w:sz w:val="18"/>
          <w:szCs w:val="18"/>
          <w:color w:val="auto"/>
        </w:rPr>
        <w:t>During the three months ended June 30, 2025, the following executive officers adopted Rule 10b5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trading arrangements, as defined under Exchange Act Rule 10b5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1(c):</w:t>
      </w:r>
    </w:p>
    <w:p>
      <w:pPr>
        <w:spacing w:after="0" w:line="62" w:lineRule="exact"/>
        <w:rPr>
          <w:sz w:val="20"/>
          <w:szCs w:val="20"/>
          <w:color w:val="auto"/>
        </w:rPr>
      </w:pPr>
    </w:p>
    <w:p>
      <w:pPr>
        <w:jc w:val="both"/>
        <w:ind w:left="640" w:hanging="318"/>
        <w:spacing w:after="0" w:line="239" w:lineRule="exact"/>
        <w:tabs>
          <w:tab w:leader="none" w:pos="63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Yueting Jia, Global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CEO, adopted a Rule 10b5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trading plan on May 27, 2025, providing for the purchase of up to $560,000 of the Company’s Class A common stock. The planned purchase represents the after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tax portion of a $1.2 million signing bonus awarded in April 2025 in connection with his appointment as Global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CEO. This trading plan expires on August 25, 2026.</w:t>
      </w:r>
    </w:p>
    <w:p>
      <w:pPr>
        <w:ind w:left="640" w:hanging="318"/>
        <w:spacing w:after="0" w:line="210" w:lineRule="exact"/>
        <w:tabs>
          <w:tab w:leader="none" w:pos="63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Jerry Wang, President, adopted a Rule 10b5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trading plan on May 27, 2025, providing for the purchase of up to $50,000 of the Company’s Class A common stock. This trading plan expires on August 22, 2026.</w:t>
      </w:r>
    </w:p>
    <w:p>
      <w:pPr>
        <w:spacing w:after="0" w:line="1" w:lineRule="exact"/>
        <w:rPr>
          <w:rFonts w:ascii="Times New Roman" w:cs="Times New Roman" w:eastAsia="Times New Roman" w:hAnsi="Times New Roman"/>
          <w:sz w:val="18"/>
          <w:szCs w:val="18"/>
          <w:color w:val="auto"/>
        </w:rPr>
      </w:pPr>
    </w:p>
    <w:p>
      <w:pPr>
        <w:ind w:left="640" w:hanging="318"/>
        <w:spacing w:after="0" w:line="231" w:lineRule="exact"/>
        <w:tabs>
          <w:tab w:leader="none" w:pos="63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Koti Meka, Chief Financial Officer, adopted a Rule 10b5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trading plan on June 12, 2025, providing for the purchase of up to $20,000 of the Company’s Class A common stock. This trading plan expires on September 15, 2026.</w:t>
      </w:r>
    </w:p>
    <w:p>
      <w:pPr>
        <w:spacing w:after="0" w:line="129" w:lineRule="exact"/>
        <w:rPr>
          <w:sz w:val="20"/>
          <w:szCs w:val="20"/>
          <w:color w:val="auto"/>
        </w:rPr>
      </w:pPr>
    </w:p>
    <w:p>
      <w:pPr>
        <w:jc w:val="both"/>
        <w:ind w:firstLine="475"/>
        <w:spacing w:after="0" w:line="289" w:lineRule="auto"/>
        <w:rPr>
          <w:sz w:val="20"/>
          <w:szCs w:val="20"/>
          <w:color w:val="auto"/>
        </w:rPr>
      </w:pPr>
      <w:r>
        <w:rPr>
          <w:rFonts w:ascii="Times New Roman" w:cs="Times New Roman" w:eastAsia="Times New Roman" w:hAnsi="Times New Roman"/>
          <w:sz w:val="16"/>
          <w:szCs w:val="16"/>
          <w:color w:val="auto"/>
        </w:rPr>
        <w:t>Effective August 6, 2025, the Company, upon the approval of the Board, implemented certain temporary governance adjustments (such period of time during which these temporary governance adjustments remains effective, the “Temporary Governance Adjustments Period”), such that YT Jia, the Global Co-CEO of the Company, will temporarily refrain from performing oversight of the Company’s finance, legal, accounting and public reporting obligations (collectively, the “Excluded Functions”) while the SEC’s investigation regarding the Wells Notices received by the Company, Mr. Jia and Mr. Wang, discussed in further detail above, remains open. During such Temporary Governance Adjustments Period, Mr. Aydt will be delegated the Excluded Functions.</w:t>
      </w:r>
    </w:p>
    <w:p>
      <w:pPr>
        <w:spacing w:after="0" w:line="79"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On August 13, 2025, the Company's Board of Directors approved the following compensation adjustments for Koti Meka, Chief Financial Officer: (i) base annual salary was increased from $350,000 to $380,000, effective August 16, 2025; (ii) additional restricted stock units valued at $400,000 based on the closing price on August 16, 2025, with a four-year pro-rata vesting schedule, on an annual basis, beginning August 16, 2026; and (iii) a $30,000 cash bonus payable on August 31, 2025.</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635"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231"/>
        </w:trPr>
        <w:tc>
          <w:tcPr>
            <w:tcW w:w="1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6220" w:type="dxa"/>
            <w:vAlign w:val="bottom"/>
            <w:gridSpan w:val="26"/>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r>
      <w:tr>
        <w:trPr>
          <w:trHeight w:val="212"/>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6220" w:type="dxa"/>
            <w:vAlign w:val="bottom"/>
            <w:gridSpan w:val="26"/>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Third Amended and Restated Certificate of Incorporation of the Company</w:t>
              </w:r>
            </w:hyperlink>
          </w:p>
        </w:tc>
      </w:tr>
      <w:tr>
        <w:trPr>
          <w:trHeight w:val="20"/>
        </w:trPr>
        <w:tc>
          <w:tcPr>
            <w:tcW w:w="128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8"/>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6220" w:type="dxa"/>
            <w:vAlign w:val="bottom"/>
            <w:gridSpan w:val="26"/>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Certificate  of  Amendment  to  the  Third  Amended  and  Restated  Certificate  of</w:t>
              </w:r>
            </w:hyperlink>
          </w:p>
        </w:tc>
      </w:tr>
      <w:tr>
        <w:trPr>
          <w:trHeight w:val="178"/>
        </w:trPr>
        <w:tc>
          <w:tcPr>
            <w:tcW w:w="1280" w:type="dxa"/>
            <w:vAlign w:val="bottom"/>
          </w:tcPr>
          <w:p>
            <w:pPr>
              <w:spacing w:after="0"/>
              <w:rPr>
                <w:sz w:val="15"/>
                <w:szCs w:val="15"/>
                <w:color w:val="auto"/>
              </w:rPr>
            </w:pPr>
          </w:p>
        </w:tc>
        <w:tc>
          <w:tcPr>
            <w:tcW w:w="2140" w:type="dxa"/>
            <w:vAlign w:val="bottom"/>
            <w:tcBorders>
              <w:top w:val="single" w:sz="8" w:color="0000FF"/>
              <w:bottom w:val="single" w:sz="8" w:color="0000FF"/>
            </w:tcBorders>
            <w:gridSpan w:val="6"/>
          </w:tcPr>
          <w:p>
            <w:pPr>
              <w:spacing w:after="0" w:line="178" w:lineRule="exact"/>
              <w:rPr>
                <w:rFonts w:ascii="Times New Roman" w:cs="Times New Roman" w:eastAsia="Times New Roman" w:hAnsi="Times New Roman"/>
                <w:sz w:val="18"/>
                <w:szCs w:val="18"/>
                <w:color w:val="0000FF"/>
                <w:w w:val="97"/>
              </w:rPr>
            </w:pPr>
            <w:hyperlink r:id="rId128">
              <w:r>
                <w:rPr>
                  <w:rFonts w:ascii="Times New Roman" w:cs="Times New Roman" w:eastAsia="Times New Roman" w:hAnsi="Times New Roman"/>
                  <w:sz w:val="18"/>
                  <w:szCs w:val="18"/>
                  <w:color w:val="0000FF"/>
                  <w:w w:val="97"/>
                </w:rPr>
                <w:t>Incorporation of the Company</w:t>
              </w:r>
            </w:hyperlink>
          </w:p>
        </w:tc>
        <w:tc>
          <w:tcPr>
            <w:tcW w:w="4040" w:type="dxa"/>
            <w:vAlign w:val="bottom"/>
            <w:tcBorders>
              <w:top w:val="single" w:sz="8" w:color="0000FF"/>
            </w:tcBorders>
            <w:gridSpan w:val="18"/>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1"/>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6220" w:type="dxa"/>
            <w:vAlign w:val="bottom"/>
            <w:gridSpan w:val="26"/>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Second Certificate of Amendment to the Third Amended and Restated Certificate of</w:t>
              </w:r>
            </w:hyperlink>
          </w:p>
        </w:tc>
      </w:tr>
      <w:tr>
        <w:trPr>
          <w:trHeight w:val="178"/>
        </w:trPr>
        <w:tc>
          <w:tcPr>
            <w:tcW w:w="1280" w:type="dxa"/>
            <w:vAlign w:val="bottom"/>
          </w:tcPr>
          <w:p>
            <w:pPr>
              <w:spacing w:after="0"/>
              <w:rPr>
                <w:sz w:val="15"/>
                <w:szCs w:val="15"/>
                <w:color w:val="auto"/>
              </w:rPr>
            </w:pPr>
          </w:p>
        </w:tc>
        <w:tc>
          <w:tcPr>
            <w:tcW w:w="2140" w:type="dxa"/>
            <w:vAlign w:val="bottom"/>
            <w:tcBorders>
              <w:top w:val="single" w:sz="8" w:color="0000FF"/>
              <w:bottom w:val="single" w:sz="8" w:color="0000FF"/>
            </w:tcBorders>
            <w:gridSpan w:val="6"/>
          </w:tcPr>
          <w:p>
            <w:pPr>
              <w:spacing w:after="0" w:line="178" w:lineRule="exact"/>
              <w:rPr>
                <w:rFonts w:ascii="Times New Roman" w:cs="Times New Roman" w:eastAsia="Times New Roman" w:hAnsi="Times New Roman"/>
                <w:sz w:val="18"/>
                <w:szCs w:val="18"/>
                <w:color w:val="0000FF"/>
                <w:w w:val="97"/>
              </w:rPr>
            </w:pPr>
            <w:hyperlink r:id="rId129">
              <w:r>
                <w:rPr>
                  <w:rFonts w:ascii="Times New Roman" w:cs="Times New Roman" w:eastAsia="Times New Roman" w:hAnsi="Times New Roman"/>
                  <w:sz w:val="18"/>
                  <w:szCs w:val="18"/>
                  <w:color w:val="0000FF"/>
                  <w:w w:val="97"/>
                </w:rPr>
                <w:t>Incorporation of the Company</w:t>
              </w:r>
            </w:hyperlink>
          </w:p>
        </w:tc>
        <w:tc>
          <w:tcPr>
            <w:tcW w:w="3980" w:type="dxa"/>
            <w:vAlign w:val="bottom"/>
            <w:tcBorders>
              <w:top w:val="single" w:sz="8" w:color="0000FF"/>
            </w:tcBorders>
            <w:gridSpan w:val="1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4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380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7"/>
              </w:rPr>
            </w:pPr>
            <w:hyperlink r:id="rId130">
              <w:r>
                <w:rPr>
                  <w:rFonts w:ascii="Times New Roman" w:cs="Times New Roman" w:eastAsia="Times New Roman" w:hAnsi="Times New Roman"/>
                  <w:sz w:val="18"/>
                  <w:szCs w:val="18"/>
                  <w:color w:val="0000FF"/>
                  <w:w w:val="97"/>
                </w:rPr>
                <w:t>Certificate of Elimination of Series A Preferred Stock</w:t>
              </w:r>
            </w:hyperlink>
          </w:p>
        </w:tc>
        <w:tc>
          <w:tcPr>
            <w:tcW w:w="2420" w:type="dxa"/>
            <w:vAlign w:val="bottom"/>
            <w:gridSpan w:val="11"/>
          </w:tcPr>
          <w:p>
            <w:pPr>
              <w:spacing w:after="0"/>
              <w:rPr>
                <w:sz w:val="21"/>
                <w:szCs w:val="21"/>
                <w:color w:val="auto"/>
              </w:rPr>
            </w:pPr>
          </w:p>
        </w:tc>
      </w:tr>
      <w:tr>
        <w:trPr>
          <w:trHeight w:val="455"/>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620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Third Certificate of Amendment to the Third Amended and Restated Certificate of</w:t>
              </w:r>
            </w:hyperlink>
          </w:p>
        </w:tc>
        <w:tc>
          <w:tcPr>
            <w:tcW w:w="20" w:type="dxa"/>
            <w:vAlign w:val="bottom"/>
          </w:tcPr>
          <w:p>
            <w:pPr>
              <w:spacing w:after="0"/>
              <w:rPr>
                <w:sz w:val="24"/>
                <w:szCs w:val="24"/>
                <w:color w:val="auto"/>
              </w:rPr>
            </w:pPr>
          </w:p>
        </w:tc>
      </w:tr>
      <w:tr>
        <w:trPr>
          <w:trHeight w:val="191"/>
        </w:trPr>
        <w:tc>
          <w:tcPr>
            <w:tcW w:w="1280" w:type="dxa"/>
            <w:vAlign w:val="bottom"/>
          </w:tcPr>
          <w:p>
            <w:pPr>
              <w:spacing w:after="0"/>
              <w:rPr>
                <w:sz w:val="16"/>
                <w:szCs w:val="16"/>
                <w:color w:val="auto"/>
              </w:rPr>
            </w:pPr>
          </w:p>
        </w:tc>
        <w:tc>
          <w:tcPr>
            <w:tcW w:w="2140" w:type="dxa"/>
            <w:vAlign w:val="bottom"/>
            <w:tcBorders>
              <w:bottom w:val="single" w:sz="8" w:color="0000FF"/>
            </w:tcBorders>
            <w:gridSpan w:val="6"/>
          </w:tcPr>
          <w:p>
            <w:pPr>
              <w:spacing w:after="0" w:line="191" w:lineRule="exact"/>
              <w:rPr>
                <w:rFonts w:ascii="Times New Roman" w:cs="Times New Roman" w:eastAsia="Times New Roman" w:hAnsi="Times New Roman"/>
                <w:sz w:val="18"/>
                <w:szCs w:val="18"/>
                <w:color w:val="0000FF"/>
                <w:w w:val="97"/>
              </w:rPr>
            </w:pPr>
            <w:hyperlink r:id="rId131">
              <w:r>
                <w:rPr>
                  <w:rFonts w:ascii="Times New Roman" w:cs="Times New Roman" w:eastAsia="Times New Roman" w:hAnsi="Times New Roman"/>
                  <w:sz w:val="18"/>
                  <w:szCs w:val="18"/>
                  <w:color w:val="0000FF"/>
                  <w:w w:val="97"/>
                </w:rPr>
                <w:t>Incorporation of the Company</w:t>
              </w:r>
            </w:hyperlink>
          </w:p>
        </w:tc>
        <w:tc>
          <w:tcPr>
            <w:tcW w:w="4080" w:type="dxa"/>
            <w:vAlign w:val="bottom"/>
            <w:gridSpan w:val="20"/>
          </w:tcPr>
          <w:p>
            <w:pPr>
              <w:spacing w:after="0"/>
              <w:rPr>
                <w:sz w:val="16"/>
                <w:szCs w:val="16"/>
                <w:color w:val="auto"/>
              </w:rPr>
            </w:pPr>
          </w:p>
        </w:tc>
      </w:tr>
      <w:tr>
        <w:trPr>
          <w:trHeight w:val="24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6220" w:type="dxa"/>
            <w:vAlign w:val="bottom"/>
            <w:gridSpan w:val="26"/>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Fourth Certificate of Amendment to Third Amended and Restated Certificate of</w:t>
              </w:r>
            </w:hyperlink>
          </w:p>
        </w:tc>
      </w:tr>
      <w:tr>
        <w:trPr>
          <w:trHeight w:val="191"/>
        </w:trPr>
        <w:tc>
          <w:tcPr>
            <w:tcW w:w="1280" w:type="dxa"/>
            <w:vAlign w:val="bottom"/>
          </w:tcPr>
          <w:p>
            <w:pPr>
              <w:spacing w:after="0"/>
              <w:rPr>
                <w:sz w:val="16"/>
                <w:szCs w:val="16"/>
                <w:color w:val="auto"/>
              </w:rPr>
            </w:pPr>
          </w:p>
        </w:tc>
        <w:tc>
          <w:tcPr>
            <w:tcW w:w="3940" w:type="dxa"/>
            <w:vAlign w:val="bottom"/>
            <w:tcBorders>
              <w:top w:val="single" w:sz="8" w:color="0000FF"/>
              <w:bottom w:val="single" w:sz="8" w:color="0000FF"/>
            </w:tcBorders>
            <w:gridSpan w:val="17"/>
          </w:tcPr>
          <w:p>
            <w:pPr>
              <w:spacing w:after="0" w:line="191" w:lineRule="exact"/>
              <w:rPr>
                <w:rFonts w:ascii="Times New Roman" w:cs="Times New Roman" w:eastAsia="Times New Roman" w:hAnsi="Times New Roman"/>
                <w:sz w:val="18"/>
                <w:szCs w:val="18"/>
                <w:color w:val="0000FF"/>
                <w:w w:val="97"/>
              </w:rPr>
            </w:pPr>
            <w:hyperlink r:id="rId132">
              <w:r>
                <w:rPr>
                  <w:rFonts w:ascii="Times New Roman" w:cs="Times New Roman" w:eastAsia="Times New Roman" w:hAnsi="Times New Roman"/>
                  <w:sz w:val="18"/>
                  <w:szCs w:val="18"/>
                  <w:color w:val="0000FF"/>
                  <w:w w:val="97"/>
                </w:rPr>
                <w:t>Incorporation of Faraday Future Intelligent Electric Inc.</w:t>
              </w:r>
            </w:hyperlink>
          </w:p>
        </w:tc>
        <w:tc>
          <w:tcPr>
            <w:tcW w:w="2140" w:type="dxa"/>
            <w:vAlign w:val="bottom"/>
            <w:tcBorders>
              <w:top w:val="single" w:sz="8" w:color="0000FF"/>
            </w:tcBorders>
            <w:gridSpan w:val="2"/>
          </w:tcPr>
          <w:p>
            <w:pPr>
              <w:spacing w:after="0"/>
              <w:rPr>
                <w:sz w:val="16"/>
                <w:szCs w:val="16"/>
                <w:color w:val="auto"/>
              </w:rPr>
            </w:pPr>
          </w:p>
        </w:tc>
        <w:tc>
          <w:tcPr>
            <w:tcW w:w="140" w:type="dxa"/>
            <w:vAlign w:val="bottom"/>
            <w:gridSpan w:val="7"/>
          </w:tcPr>
          <w:p>
            <w:pPr>
              <w:spacing w:after="0"/>
              <w:rPr>
                <w:sz w:val="16"/>
                <w:szCs w:val="16"/>
                <w:color w:val="auto"/>
              </w:rPr>
            </w:pPr>
          </w:p>
        </w:tc>
      </w:tr>
      <w:tr>
        <w:trPr>
          <w:trHeight w:val="231"/>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3.7</w:t>
            </w:r>
          </w:p>
        </w:tc>
        <w:tc>
          <w:tcPr>
            <w:tcW w:w="6220" w:type="dxa"/>
            <w:vAlign w:val="bottom"/>
            <w:gridSpan w:val="26"/>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Amended and Restated Bylaws of the Company</w:t>
              </w:r>
            </w:hyperlink>
          </w:p>
        </w:tc>
      </w:tr>
      <w:tr>
        <w:trPr>
          <w:trHeight w:val="20"/>
        </w:trPr>
        <w:tc>
          <w:tcPr>
            <w:tcW w:w="128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8"/>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3.8</w:t>
            </w:r>
          </w:p>
        </w:tc>
        <w:tc>
          <w:tcPr>
            <w:tcW w:w="6220" w:type="dxa"/>
            <w:vAlign w:val="bottom"/>
            <w:gridSpan w:val="26"/>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Certificate of Designation of Preferences, Rights and Limitations of Series A</w:t>
              </w:r>
            </w:hyperlink>
          </w:p>
        </w:tc>
      </w:tr>
      <w:tr>
        <w:trPr>
          <w:trHeight w:val="178"/>
        </w:trPr>
        <w:tc>
          <w:tcPr>
            <w:tcW w:w="1280" w:type="dxa"/>
            <w:vAlign w:val="bottom"/>
          </w:tcPr>
          <w:p>
            <w:pPr>
              <w:spacing w:after="0"/>
              <w:rPr>
                <w:sz w:val="15"/>
                <w:szCs w:val="15"/>
                <w:color w:val="auto"/>
              </w:rPr>
            </w:pPr>
          </w:p>
        </w:tc>
        <w:tc>
          <w:tcPr>
            <w:tcW w:w="6100" w:type="dxa"/>
            <w:vAlign w:val="bottom"/>
            <w:tcBorders>
              <w:top w:val="single" w:sz="8" w:color="0000FF"/>
            </w:tcBorders>
            <w:gridSpan w:val="20"/>
          </w:tcPr>
          <w:p>
            <w:pPr>
              <w:spacing w:after="0" w:line="178"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Preferred Stock, dated January 22, 2025.</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1"/>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3.9</w:t>
            </w:r>
          </w:p>
        </w:tc>
        <w:tc>
          <w:tcPr>
            <w:tcW w:w="6220" w:type="dxa"/>
            <w:vAlign w:val="bottom"/>
            <w:gridSpan w:val="26"/>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Certificate of Amendment to Amended and Restated Certificate of Incorporation of</w:t>
              </w:r>
            </w:hyperlink>
          </w:p>
        </w:tc>
      </w:tr>
      <w:tr>
        <w:trPr>
          <w:trHeight w:val="178"/>
        </w:trPr>
        <w:tc>
          <w:tcPr>
            <w:tcW w:w="1280" w:type="dxa"/>
            <w:vAlign w:val="bottom"/>
          </w:tcPr>
          <w:p>
            <w:pPr>
              <w:spacing w:after="0"/>
              <w:rPr>
                <w:sz w:val="15"/>
                <w:szCs w:val="15"/>
                <w:color w:val="auto"/>
              </w:rPr>
            </w:pPr>
          </w:p>
        </w:tc>
        <w:tc>
          <w:tcPr>
            <w:tcW w:w="6160" w:type="dxa"/>
            <w:vAlign w:val="bottom"/>
            <w:tcBorders>
              <w:top w:val="single" w:sz="8" w:color="0000FF"/>
            </w:tcBorders>
            <w:gridSpan w:val="23"/>
          </w:tcPr>
          <w:p>
            <w:pPr>
              <w:spacing w:after="0" w:line="178"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Faraday Future Intelligent Electric Inc.</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1"/>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3.10</w:t>
            </w:r>
          </w:p>
        </w:tc>
        <w:tc>
          <w:tcPr>
            <w:tcW w:w="6220" w:type="dxa"/>
            <w:vAlign w:val="bottom"/>
            <w:gridSpan w:val="26"/>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Certificate of Elimination of Series A Preferred Stock.</w:t>
              </w:r>
            </w:hyperlink>
          </w:p>
        </w:tc>
      </w:tr>
      <w:tr>
        <w:trPr>
          <w:trHeight w:val="20"/>
        </w:trPr>
        <w:tc>
          <w:tcPr>
            <w:tcW w:w="128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8"/>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6220" w:type="dxa"/>
            <w:vAlign w:val="bottom"/>
            <w:gridSpan w:val="26"/>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Form of Certificate of Designation of Preferences, Rights and Limitations of Series B</w:t>
              </w:r>
            </w:hyperlink>
          </w:p>
        </w:tc>
      </w:tr>
      <w:tr>
        <w:trPr>
          <w:trHeight w:val="178"/>
        </w:trPr>
        <w:tc>
          <w:tcPr>
            <w:tcW w:w="1280" w:type="dxa"/>
            <w:vAlign w:val="bottom"/>
          </w:tcPr>
          <w:p>
            <w:pPr>
              <w:spacing w:after="0"/>
              <w:rPr>
                <w:sz w:val="15"/>
                <w:szCs w:val="15"/>
                <w:color w:val="auto"/>
              </w:rPr>
            </w:pPr>
          </w:p>
        </w:tc>
        <w:tc>
          <w:tcPr>
            <w:tcW w:w="1120" w:type="dxa"/>
            <w:vAlign w:val="bottom"/>
            <w:tcBorders>
              <w:top w:val="single" w:sz="8" w:color="0000FF"/>
              <w:bottom w:val="single" w:sz="8" w:color="0000FF"/>
            </w:tcBorders>
            <w:gridSpan w:val="2"/>
          </w:tcPr>
          <w:p>
            <w:pPr>
              <w:spacing w:after="0" w:line="178" w:lineRule="exact"/>
              <w:rPr>
                <w:rFonts w:ascii="Times New Roman" w:cs="Times New Roman" w:eastAsia="Times New Roman" w:hAnsi="Times New Roman"/>
                <w:sz w:val="18"/>
                <w:szCs w:val="18"/>
                <w:color w:val="0000FF"/>
                <w:w w:val="97"/>
              </w:rPr>
            </w:pPr>
            <w:hyperlink r:id="rId137">
              <w:r>
                <w:rPr>
                  <w:rFonts w:ascii="Times New Roman" w:cs="Times New Roman" w:eastAsia="Times New Roman" w:hAnsi="Times New Roman"/>
                  <w:sz w:val="18"/>
                  <w:szCs w:val="18"/>
                  <w:color w:val="0000FF"/>
                  <w:w w:val="97"/>
                </w:rPr>
                <w:t>Preferred Stock</w:t>
              </w:r>
            </w:hyperlink>
          </w:p>
        </w:tc>
        <w:tc>
          <w:tcPr>
            <w:tcW w:w="4960" w:type="dxa"/>
            <w:vAlign w:val="bottom"/>
            <w:tcBorders>
              <w:top w:val="single" w:sz="8" w:color="0000FF"/>
            </w:tcBorders>
            <w:gridSpan w:val="17"/>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r>
      <w:tr>
        <w:trPr>
          <w:trHeight w:val="231"/>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6220" w:type="dxa"/>
            <w:vAlign w:val="bottom"/>
            <w:gridSpan w:val="26"/>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Certificate of Designation of Preferences, Rights and Limitations of Series B</w:t>
              </w:r>
            </w:hyperlink>
          </w:p>
        </w:tc>
      </w:tr>
      <w:tr>
        <w:trPr>
          <w:trHeight w:val="178"/>
        </w:trPr>
        <w:tc>
          <w:tcPr>
            <w:tcW w:w="1280" w:type="dxa"/>
            <w:vAlign w:val="bottom"/>
          </w:tcPr>
          <w:p>
            <w:pPr>
              <w:spacing w:after="0"/>
              <w:rPr>
                <w:sz w:val="15"/>
                <w:szCs w:val="15"/>
                <w:color w:val="auto"/>
              </w:rPr>
            </w:pPr>
          </w:p>
        </w:tc>
        <w:tc>
          <w:tcPr>
            <w:tcW w:w="1120" w:type="dxa"/>
            <w:vAlign w:val="bottom"/>
            <w:tcBorders>
              <w:top w:val="single" w:sz="8" w:color="0000FF"/>
              <w:bottom w:val="single" w:sz="8" w:color="0000FF"/>
            </w:tcBorders>
            <w:gridSpan w:val="2"/>
          </w:tcPr>
          <w:p>
            <w:pPr>
              <w:spacing w:after="0" w:line="178" w:lineRule="exact"/>
              <w:rPr>
                <w:rFonts w:ascii="Times New Roman" w:cs="Times New Roman" w:eastAsia="Times New Roman" w:hAnsi="Times New Roman"/>
                <w:sz w:val="18"/>
                <w:szCs w:val="18"/>
                <w:color w:val="0000FF"/>
                <w:w w:val="97"/>
              </w:rPr>
            </w:pPr>
            <w:hyperlink r:id="rId138">
              <w:r>
                <w:rPr>
                  <w:rFonts w:ascii="Times New Roman" w:cs="Times New Roman" w:eastAsia="Times New Roman" w:hAnsi="Times New Roman"/>
                  <w:sz w:val="18"/>
                  <w:szCs w:val="18"/>
                  <w:color w:val="0000FF"/>
                  <w:w w:val="97"/>
                </w:rPr>
                <w:t>Preferred Stock</w:t>
              </w:r>
            </w:hyperlink>
          </w:p>
        </w:tc>
        <w:tc>
          <w:tcPr>
            <w:tcW w:w="5020" w:type="dxa"/>
            <w:vAlign w:val="bottom"/>
            <w:tcBorders>
              <w:top w:val="single" w:sz="8" w:color="0000FF"/>
            </w:tcBorders>
            <w:gridSpan w:val="20"/>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r>
      <w:tr>
        <w:trPr>
          <w:trHeight w:val="231"/>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3.13</w:t>
            </w:r>
          </w:p>
        </w:tc>
        <w:tc>
          <w:tcPr>
            <w:tcW w:w="6220" w:type="dxa"/>
            <w:vAlign w:val="bottom"/>
            <w:gridSpan w:val="26"/>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Certificate of Correction of Certificate of Designation of Preferences, Rights and</w:t>
              </w:r>
            </w:hyperlink>
          </w:p>
        </w:tc>
      </w:tr>
      <w:tr>
        <w:trPr>
          <w:trHeight w:val="178"/>
        </w:trPr>
        <w:tc>
          <w:tcPr>
            <w:tcW w:w="1280" w:type="dxa"/>
            <w:vAlign w:val="bottom"/>
          </w:tcPr>
          <w:p>
            <w:pPr>
              <w:spacing w:after="0"/>
              <w:rPr>
                <w:sz w:val="15"/>
                <w:szCs w:val="15"/>
                <w:color w:val="auto"/>
              </w:rPr>
            </w:pPr>
          </w:p>
        </w:tc>
        <w:tc>
          <w:tcPr>
            <w:tcW w:w="6200" w:type="dxa"/>
            <w:vAlign w:val="bottom"/>
            <w:tcBorders>
              <w:top w:val="single" w:sz="8" w:color="0000FF"/>
            </w:tcBorders>
            <w:gridSpan w:val="25"/>
          </w:tcPr>
          <w:p>
            <w:pPr>
              <w:spacing w:after="0" w:line="178"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Limitations of Series B Preferred Stock</w:t>
              </w:r>
            </w:hyperlink>
          </w:p>
        </w:tc>
        <w:tc>
          <w:tcPr>
            <w:tcW w:w="20" w:type="dxa"/>
            <w:vAlign w:val="bottom"/>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36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1"/>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3.14</w:t>
            </w:r>
          </w:p>
        </w:tc>
        <w:tc>
          <w:tcPr>
            <w:tcW w:w="6220" w:type="dxa"/>
            <w:vAlign w:val="bottom"/>
            <w:gridSpan w:val="26"/>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Certificate of Designation of Preferences, Rights and Limitations of Series A</w:t>
              </w:r>
            </w:hyperlink>
          </w:p>
        </w:tc>
      </w:tr>
      <w:tr>
        <w:trPr>
          <w:trHeight w:val="178"/>
        </w:trPr>
        <w:tc>
          <w:tcPr>
            <w:tcW w:w="1280" w:type="dxa"/>
            <w:vAlign w:val="bottom"/>
          </w:tcPr>
          <w:p>
            <w:pPr>
              <w:spacing w:after="0"/>
              <w:rPr>
                <w:sz w:val="15"/>
                <w:szCs w:val="15"/>
                <w:color w:val="auto"/>
              </w:rPr>
            </w:pPr>
          </w:p>
        </w:tc>
        <w:tc>
          <w:tcPr>
            <w:tcW w:w="6100" w:type="dxa"/>
            <w:vAlign w:val="bottom"/>
            <w:tcBorders>
              <w:top w:val="single" w:sz="8" w:color="0000FF"/>
            </w:tcBorders>
            <w:gridSpan w:val="20"/>
          </w:tcPr>
          <w:p>
            <w:pPr>
              <w:spacing w:after="0" w:line="178"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Preferred Stock, dated April 17, 2025</w:t>
              </w:r>
            </w:hyperlink>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236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1"/>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3.15</w:t>
            </w:r>
          </w:p>
        </w:tc>
        <w:tc>
          <w:tcPr>
            <w:tcW w:w="6220" w:type="dxa"/>
            <w:vAlign w:val="bottom"/>
            <w:gridSpan w:val="26"/>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Certificate of Amendment to Amended and Restated Certificate of Incorporation of</w:t>
              </w:r>
            </w:hyperlink>
          </w:p>
        </w:tc>
      </w:tr>
      <w:tr>
        <w:trPr>
          <w:trHeight w:val="178"/>
        </w:trPr>
        <w:tc>
          <w:tcPr>
            <w:tcW w:w="1280" w:type="dxa"/>
            <w:vAlign w:val="bottom"/>
          </w:tcPr>
          <w:p>
            <w:pPr>
              <w:spacing w:after="0"/>
              <w:rPr>
                <w:sz w:val="15"/>
                <w:szCs w:val="15"/>
                <w:color w:val="auto"/>
              </w:rPr>
            </w:pPr>
          </w:p>
        </w:tc>
        <w:tc>
          <w:tcPr>
            <w:tcW w:w="6160" w:type="dxa"/>
            <w:vAlign w:val="bottom"/>
            <w:tcBorders>
              <w:top w:val="single" w:sz="8" w:color="0000FF"/>
            </w:tcBorders>
            <w:gridSpan w:val="23"/>
          </w:tcPr>
          <w:p>
            <w:pPr>
              <w:spacing w:after="0" w:line="178"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Faraday Future Intelligent Electric Inc.</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236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1"/>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3.16</w:t>
            </w:r>
          </w:p>
        </w:tc>
        <w:tc>
          <w:tcPr>
            <w:tcW w:w="6220" w:type="dxa"/>
            <w:vAlign w:val="bottom"/>
            <w:gridSpan w:val="26"/>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Certificate of Elimination of Series A Preferred Stock</w:t>
              </w:r>
            </w:hyperlink>
          </w:p>
        </w:tc>
      </w:tr>
      <w:tr>
        <w:trPr>
          <w:trHeight w:val="20"/>
        </w:trPr>
        <w:tc>
          <w:tcPr>
            <w:tcW w:w="128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60" w:type="dxa"/>
            <w:vAlign w:val="bottom"/>
            <w:gridSpan w:val="6"/>
            <w:shd w:val="clear" w:color="auto" w:fill="0000FF"/>
          </w:tcPr>
          <w:p>
            <w:pPr>
              <w:spacing w:after="0" w:line="20" w:lineRule="exact"/>
              <w:rPr>
                <w:sz w:val="1"/>
                <w:szCs w:val="1"/>
                <w:color w:val="auto"/>
              </w:rPr>
            </w:pPr>
          </w:p>
        </w:tc>
        <w:tc>
          <w:tcPr>
            <w:tcW w:w="236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8"/>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3.17</w:t>
            </w:r>
          </w:p>
        </w:tc>
        <w:tc>
          <w:tcPr>
            <w:tcW w:w="6220" w:type="dxa"/>
            <w:vAlign w:val="bottom"/>
            <w:gridSpan w:val="26"/>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Certificate of Designation of Preferences, Rights and Limitations of Series A</w:t>
              </w:r>
            </w:hyperlink>
          </w:p>
        </w:tc>
      </w:tr>
      <w:tr>
        <w:trPr>
          <w:trHeight w:val="178"/>
        </w:trPr>
        <w:tc>
          <w:tcPr>
            <w:tcW w:w="1280" w:type="dxa"/>
            <w:vAlign w:val="bottom"/>
          </w:tcPr>
          <w:p>
            <w:pPr>
              <w:spacing w:after="0"/>
              <w:rPr>
                <w:sz w:val="15"/>
                <w:szCs w:val="15"/>
                <w:color w:val="auto"/>
              </w:rPr>
            </w:pPr>
          </w:p>
        </w:tc>
        <w:tc>
          <w:tcPr>
            <w:tcW w:w="6100" w:type="dxa"/>
            <w:vAlign w:val="bottom"/>
            <w:tcBorders>
              <w:top w:val="single" w:sz="8" w:color="0000FF"/>
            </w:tcBorders>
            <w:gridSpan w:val="20"/>
          </w:tcPr>
          <w:p>
            <w:pPr>
              <w:spacing w:after="0" w:line="178"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Preferred Stock</w:t>
              </w:r>
            </w:hyperlink>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20" w:type="dxa"/>
            <w:vAlign w:val="bottom"/>
            <w:gridSpan w:val="1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1"/>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88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6"/>
              </w:rPr>
            </w:pPr>
            <w:hyperlink r:id="rId144">
              <w:r>
                <w:rPr>
                  <w:rFonts w:ascii="Times New Roman" w:cs="Times New Roman" w:eastAsia="Times New Roman" w:hAnsi="Times New Roman"/>
                  <w:sz w:val="18"/>
                  <w:szCs w:val="18"/>
                  <w:color w:val="0000FF"/>
                  <w:w w:val="96"/>
                </w:rPr>
                <w:t>Form of Common Warrant</w:t>
              </w:r>
            </w:hyperlink>
          </w:p>
        </w:tc>
        <w:tc>
          <w:tcPr>
            <w:tcW w:w="4340" w:type="dxa"/>
            <w:vAlign w:val="bottom"/>
            <w:gridSpan w:val="22"/>
          </w:tcPr>
          <w:p>
            <w:pPr>
              <w:spacing w:after="0"/>
              <w:rPr>
                <w:sz w:val="20"/>
                <w:szCs w:val="20"/>
                <w:color w:val="auto"/>
              </w:rPr>
            </w:pPr>
          </w:p>
        </w:tc>
      </w:tr>
      <w:tr>
        <w:trPr>
          <w:trHeight w:val="428"/>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6220" w:type="dxa"/>
            <w:vAlign w:val="bottom"/>
            <w:gridSpan w:val="26"/>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Form of Incremental Warrant</w:t>
              </w:r>
            </w:hyperlink>
          </w:p>
        </w:tc>
      </w:tr>
      <w:tr>
        <w:trPr>
          <w:trHeight w:val="428"/>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1760" w:type="dxa"/>
            <w:vAlign w:val="bottom"/>
            <w:tcBorders>
              <w:top w:val="single" w:sz="8" w:color="0000FF"/>
              <w:bottom w:val="single" w:sz="8" w:color="0000FF"/>
            </w:tcBorders>
            <w:gridSpan w:val="3"/>
          </w:tcPr>
          <w:p>
            <w:pPr>
              <w:spacing w:after="0"/>
              <w:rPr>
                <w:rFonts w:ascii="Times New Roman" w:cs="Times New Roman" w:eastAsia="Times New Roman" w:hAnsi="Times New Roman"/>
                <w:sz w:val="18"/>
                <w:szCs w:val="18"/>
                <w:color w:val="0000FF"/>
                <w:w w:val="96"/>
              </w:rPr>
            </w:pPr>
            <w:hyperlink r:id="rId146">
              <w:r>
                <w:rPr>
                  <w:rFonts w:ascii="Times New Roman" w:cs="Times New Roman" w:eastAsia="Times New Roman" w:hAnsi="Times New Roman"/>
                  <w:sz w:val="18"/>
                  <w:szCs w:val="18"/>
                  <w:color w:val="0000FF"/>
                  <w:w w:val="96"/>
                </w:rPr>
                <w:t>Form of Unsecured Note</w:t>
              </w:r>
            </w:hyperlink>
          </w:p>
        </w:tc>
        <w:tc>
          <w:tcPr>
            <w:tcW w:w="300" w:type="dxa"/>
            <w:vAlign w:val="bottom"/>
            <w:tcBorders>
              <w:top w:val="single" w:sz="8" w:color="0000FF"/>
            </w:tcBorders>
            <w:gridSpan w:val="2"/>
          </w:tcPr>
          <w:p>
            <w:pPr>
              <w:spacing w:after="0"/>
              <w:rPr>
                <w:sz w:val="24"/>
                <w:szCs w:val="24"/>
                <w:color w:val="auto"/>
              </w:rPr>
            </w:pPr>
          </w:p>
        </w:tc>
        <w:tc>
          <w:tcPr>
            <w:tcW w:w="4160" w:type="dxa"/>
            <w:vAlign w:val="bottom"/>
            <w:gridSpan w:val="21"/>
          </w:tcPr>
          <w:p>
            <w:pPr>
              <w:spacing w:after="0"/>
              <w:rPr>
                <w:sz w:val="24"/>
                <w:szCs w:val="24"/>
                <w:color w:val="auto"/>
              </w:rPr>
            </w:pPr>
          </w:p>
        </w:tc>
      </w:tr>
      <w:tr>
        <w:trPr>
          <w:trHeight w:val="428"/>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6220" w:type="dxa"/>
            <w:vAlign w:val="bottom"/>
            <w:gridSpan w:val="26"/>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Form of Placement Agent Warrant</w:t>
              </w:r>
            </w:hyperlink>
          </w:p>
        </w:tc>
      </w:tr>
      <w:tr>
        <w:trPr>
          <w:trHeight w:val="442"/>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1760" w:type="dxa"/>
            <w:vAlign w:val="bottom"/>
            <w:tcBorders>
              <w:top w:val="single" w:sz="8" w:color="0000FF"/>
              <w:bottom w:val="single" w:sz="8" w:color="0000FF"/>
            </w:tcBorders>
            <w:gridSpan w:val="3"/>
          </w:tcPr>
          <w:p>
            <w:pPr>
              <w:spacing w:after="0"/>
              <w:rPr>
                <w:rFonts w:ascii="Times New Roman" w:cs="Times New Roman" w:eastAsia="Times New Roman" w:hAnsi="Times New Roman"/>
                <w:sz w:val="18"/>
                <w:szCs w:val="18"/>
                <w:color w:val="0000FF"/>
                <w:w w:val="96"/>
              </w:rPr>
            </w:pPr>
            <w:hyperlink r:id="rId148">
              <w:r>
                <w:rPr>
                  <w:rFonts w:ascii="Times New Roman" w:cs="Times New Roman" w:eastAsia="Times New Roman" w:hAnsi="Times New Roman"/>
                  <w:sz w:val="18"/>
                  <w:szCs w:val="18"/>
                  <w:color w:val="0000FF"/>
                  <w:w w:val="96"/>
                </w:rPr>
                <w:t>Form of Unsecured Note</w:t>
              </w:r>
            </w:hyperlink>
          </w:p>
        </w:tc>
        <w:tc>
          <w:tcPr>
            <w:tcW w:w="660" w:type="dxa"/>
            <w:vAlign w:val="bottom"/>
            <w:tcBorders>
              <w:top w:val="single" w:sz="8" w:color="0000FF"/>
            </w:tcBorders>
            <w:gridSpan w:val="5"/>
          </w:tcPr>
          <w:p>
            <w:pPr>
              <w:spacing w:after="0"/>
              <w:rPr>
                <w:sz w:val="24"/>
                <w:szCs w:val="24"/>
                <w:color w:val="auto"/>
              </w:rPr>
            </w:pPr>
          </w:p>
        </w:tc>
        <w:tc>
          <w:tcPr>
            <w:tcW w:w="3800" w:type="dxa"/>
            <w:vAlign w:val="bottom"/>
            <w:gridSpan w:val="18"/>
          </w:tcPr>
          <w:p>
            <w:pPr>
              <w:spacing w:after="0"/>
              <w:rPr>
                <w:sz w:val="24"/>
                <w:szCs w:val="24"/>
                <w:color w:val="auto"/>
              </w:rPr>
            </w:pPr>
          </w:p>
        </w:tc>
      </w:tr>
      <w:tr>
        <w:trPr>
          <w:trHeight w:val="455"/>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188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6"/>
              </w:rPr>
            </w:pPr>
            <w:hyperlink r:id="rId149">
              <w:r>
                <w:rPr>
                  <w:rFonts w:ascii="Times New Roman" w:cs="Times New Roman" w:eastAsia="Times New Roman" w:hAnsi="Times New Roman"/>
                  <w:sz w:val="18"/>
                  <w:szCs w:val="18"/>
                  <w:color w:val="0000FF"/>
                  <w:w w:val="96"/>
                </w:rPr>
                <w:t>Form of Common Warrant</w:t>
              </w:r>
            </w:hyperlink>
          </w:p>
        </w:tc>
        <w:tc>
          <w:tcPr>
            <w:tcW w:w="4340" w:type="dxa"/>
            <w:vAlign w:val="bottom"/>
            <w:gridSpan w:val="22"/>
          </w:tcPr>
          <w:p>
            <w:pPr>
              <w:spacing w:after="0"/>
              <w:rPr>
                <w:sz w:val="24"/>
                <w:szCs w:val="24"/>
                <w:color w:val="auto"/>
              </w:rPr>
            </w:pPr>
          </w:p>
        </w:tc>
      </w:tr>
      <w:tr>
        <w:trPr>
          <w:trHeight w:val="455"/>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622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September Letter Agreement, dated January 28, 2025, by and between the Company</w:t>
              </w:r>
            </w:hyperlink>
          </w:p>
        </w:tc>
      </w:tr>
      <w:tr>
        <w:trPr>
          <w:trHeight w:val="191"/>
        </w:trPr>
        <w:tc>
          <w:tcPr>
            <w:tcW w:w="1280" w:type="dxa"/>
            <w:vAlign w:val="bottom"/>
          </w:tcPr>
          <w:p>
            <w:pPr>
              <w:spacing w:after="0"/>
              <w:rPr>
                <w:sz w:val="16"/>
                <w:szCs w:val="16"/>
                <w:color w:val="auto"/>
              </w:rPr>
            </w:pPr>
          </w:p>
        </w:tc>
        <w:tc>
          <w:tcPr>
            <w:tcW w:w="2300" w:type="dxa"/>
            <w:vAlign w:val="bottom"/>
            <w:tcBorders>
              <w:bottom w:val="single" w:sz="8" w:color="0000FF"/>
            </w:tcBorders>
            <w:gridSpan w:val="7"/>
          </w:tcPr>
          <w:p>
            <w:pPr>
              <w:spacing w:after="0" w:line="191" w:lineRule="exact"/>
              <w:rPr>
                <w:rFonts w:ascii="Times New Roman" w:cs="Times New Roman" w:eastAsia="Times New Roman" w:hAnsi="Times New Roman"/>
                <w:sz w:val="18"/>
                <w:szCs w:val="18"/>
                <w:color w:val="0000FF"/>
                <w:w w:val="97"/>
              </w:rPr>
            </w:pPr>
            <w:hyperlink r:id="rId150">
              <w:r>
                <w:rPr>
                  <w:rFonts w:ascii="Times New Roman" w:cs="Times New Roman" w:eastAsia="Times New Roman" w:hAnsi="Times New Roman"/>
                  <w:sz w:val="18"/>
                  <w:szCs w:val="18"/>
                  <w:color w:val="0000FF"/>
                  <w:w w:val="97"/>
                </w:rPr>
                <w:t>and the purchasers party thereto.</w:t>
              </w:r>
            </w:hyperlink>
          </w:p>
        </w:tc>
        <w:tc>
          <w:tcPr>
            <w:tcW w:w="3920" w:type="dxa"/>
            <w:vAlign w:val="bottom"/>
            <w:gridSpan w:val="19"/>
          </w:tcPr>
          <w:p>
            <w:pPr>
              <w:spacing w:after="0"/>
              <w:rPr>
                <w:sz w:val="16"/>
                <w:szCs w:val="16"/>
                <w:color w:val="auto"/>
              </w:rPr>
            </w:pPr>
          </w:p>
        </w:tc>
      </w:tr>
      <w:tr>
        <w:trPr>
          <w:trHeight w:val="24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622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December Letter Agreement, dated January 28, 2025, by and between the Company</w:t>
              </w:r>
            </w:hyperlink>
          </w:p>
        </w:tc>
      </w:tr>
      <w:tr>
        <w:trPr>
          <w:trHeight w:val="191"/>
        </w:trPr>
        <w:tc>
          <w:tcPr>
            <w:tcW w:w="1280" w:type="dxa"/>
            <w:vAlign w:val="bottom"/>
          </w:tcPr>
          <w:p>
            <w:pPr>
              <w:spacing w:after="0"/>
              <w:rPr>
                <w:sz w:val="16"/>
                <w:szCs w:val="16"/>
                <w:color w:val="auto"/>
              </w:rPr>
            </w:pPr>
          </w:p>
        </w:tc>
        <w:tc>
          <w:tcPr>
            <w:tcW w:w="2300" w:type="dxa"/>
            <w:vAlign w:val="bottom"/>
            <w:tcBorders>
              <w:bottom w:val="single" w:sz="8" w:color="0000FF"/>
            </w:tcBorders>
            <w:gridSpan w:val="7"/>
          </w:tcPr>
          <w:p>
            <w:pPr>
              <w:spacing w:after="0" w:line="191" w:lineRule="exact"/>
              <w:rPr>
                <w:rFonts w:ascii="Times New Roman" w:cs="Times New Roman" w:eastAsia="Times New Roman" w:hAnsi="Times New Roman"/>
                <w:sz w:val="18"/>
                <w:szCs w:val="18"/>
                <w:color w:val="0000FF"/>
                <w:w w:val="97"/>
              </w:rPr>
            </w:pPr>
            <w:hyperlink r:id="rId151">
              <w:r>
                <w:rPr>
                  <w:rFonts w:ascii="Times New Roman" w:cs="Times New Roman" w:eastAsia="Times New Roman" w:hAnsi="Times New Roman"/>
                  <w:sz w:val="18"/>
                  <w:szCs w:val="18"/>
                  <w:color w:val="0000FF"/>
                  <w:w w:val="97"/>
                </w:rPr>
                <w:t>and the purchasers party thereto.</w:t>
              </w:r>
            </w:hyperlink>
          </w:p>
        </w:tc>
        <w:tc>
          <w:tcPr>
            <w:tcW w:w="3920" w:type="dxa"/>
            <w:vAlign w:val="bottom"/>
            <w:gridSpan w:val="19"/>
          </w:tcPr>
          <w:p>
            <w:pPr>
              <w:spacing w:after="0"/>
              <w:rPr>
                <w:sz w:val="16"/>
                <w:szCs w:val="16"/>
                <w:color w:val="auto"/>
              </w:rPr>
            </w:pPr>
          </w:p>
        </w:tc>
      </w:tr>
      <w:tr>
        <w:trPr>
          <w:trHeight w:val="24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622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Purchase Agreement dated January 28, 2025, by and between the Company and</w:t>
              </w:r>
            </w:hyperlink>
          </w:p>
        </w:tc>
      </w:tr>
      <w:tr>
        <w:trPr>
          <w:trHeight w:val="191"/>
        </w:trPr>
        <w:tc>
          <w:tcPr>
            <w:tcW w:w="1280" w:type="dxa"/>
            <w:vAlign w:val="bottom"/>
          </w:tcPr>
          <w:p>
            <w:pPr>
              <w:spacing w:after="0"/>
              <w:rPr>
                <w:sz w:val="16"/>
                <w:szCs w:val="16"/>
                <w:color w:val="auto"/>
              </w:rPr>
            </w:pPr>
          </w:p>
        </w:tc>
        <w:tc>
          <w:tcPr>
            <w:tcW w:w="6220" w:type="dxa"/>
            <w:vAlign w:val="bottom"/>
            <w:gridSpan w:val="26"/>
          </w:tcPr>
          <w:p>
            <w:pPr>
              <w:spacing w:after="0" w:line="191"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Matthias Aydt.</w:t>
              </w:r>
            </w:hyperlink>
          </w:p>
        </w:tc>
      </w:tr>
      <w:tr>
        <w:trPr>
          <w:trHeight w:val="20"/>
        </w:trPr>
        <w:tc>
          <w:tcPr>
            <w:tcW w:w="128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4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Exhibit 3.1 to the Current Report on Form 8-K filed on February 7, 2024.</w:t>
      </w:r>
    </w:p>
    <w:p>
      <w:pPr>
        <w:spacing w:after="0" w:line="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Exhibit 3.1 to the Current Report on Form 8-K filed on February 7, 2024.</w:t>
      </w:r>
    </w:p>
    <w:p>
      <w:pPr>
        <w:spacing w:after="0" w:line="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Exhibit 3.1 to the Current Report on Form 8-K filed on February 26, 2024.</w:t>
      </w:r>
    </w:p>
    <w:p>
      <w:pPr>
        <w:spacing w:after="0" w:line="2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8"/>
          <w:szCs w:val="18"/>
          <w:color w:val="auto"/>
        </w:rPr>
        <w:t>Exhibit 3.2 to the Current Report on Form 8-K filed on August 1, 2024.</w:t>
      </w:r>
    </w:p>
    <w:p>
      <w:pPr>
        <w:spacing w:after="0" w:line="1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8"/>
          <w:szCs w:val="18"/>
          <w:color w:val="auto"/>
        </w:rPr>
        <w:t>Exhibit 3.1 to the Current Report on Form 8-K filed on August 1, 2024.</w:t>
      </w:r>
    </w:p>
    <w:p>
      <w:pPr>
        <w:spacing w:after="0" w:line="1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Exhibit 3.2 to the Current Report on Form 8-K filed on August 15, 2024.</w:t>
      </w:r>
    </w:p>
    <w:p>
      <w:pPr>
        <w:spacing w:after="0" w:line="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Exhibit 3.2 to the Current Report on Form 8-K filed on June 16, 2023</w:t>
      </w:r>
    </w:p>
    <w:p>
      <w:pPr>
        <w:spacing w:after="0" w:line="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Exhibit 3.1 to the Current Report on Form 8-K filed on January 31, 2025</w:t>
      </w:r>
    </w:p>
    <w:p>
      <w:pPr>
        <w:spacing w:after="0" w:line="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Exhibit 3.1 to the Current Report on Form 8-K filed on March 11, 2025</w:t>
      </w:r>
    </w:p>
    <w:p>
      <w:pPr>
        <w:spacing w:after="0" w:line="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Exhibit 3.2 to the Current Report on Form 8-K filed on March 11, 2025</w:t>
      </w:r>
    </w:p>
    <w:p>
      <w:pPr>
        <w:spacing w:after="0" w:line="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Exhibit 3.1 to the Current Report on Form 8-K filed on March 24, 2025</w:t>
      </w:r>
    </w:p>
    <w:p>
      <w:pPr>
        <w:spacing w:after="0" w:line="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Exhibit 3.1 to the Current Report on Form 8-K filed on April 9, 2025</w:t>
      </w:r>
    </w:p>
    <w:p>
      <w:pPr>
        <w:spacing w:after="0" w:line="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Exhibit 3.2 to the Current Report on Form 8-K filed on April 9, 2025</w:t>
      </w:r>
    </w:p>
    <w:p>
      <w:pPr>
        <w:spacing w:after="0" w:line="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Exhibit 3.1 to the Current Report on Form 8-K filed on April 17, 2025</w:t>
      </w:r>
    </w:p>
    <w:p>
      <w:pPr>
        <w:spacing w:after="0" w:line="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Exhibit 3.1 to the Current Report on Form 8-K filed on May 29, 2025</w:t>
      </w:r>
    </w:p>
    <w:p>
      <w:pPr>
        <w:spacing w:after="0" w:line="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Exhibit 3.2 to the Current Report on Form 8-K filed on May 29, 2025</w:t>
      </w:r>
    </w:p>
    <w:p>
      <w:pPr>
        <w:spacing w:after="0" w:line="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Exhibit 3.1 to the Current Report on Form 8-K filed on August 8, 2025</w:t>
      </w:r>
    </w:p>
    <w:p>
      <w:pPr>
        <w:spacing w:after="0" w:line="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Exhibit 4.1 to the Current Report on Form 8-K filed on March 24, 2025</w:t>
      </w:r>
    </w:p>
    <w:p>
      <w:pPr>
        <w:spacing w:after="0" w:line="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Exhibit 4.2 to the Current Report on Form 8-K filed on March 24, 2025</w:t>
      </w:r>
    </w:p>
    <w:p>
      <w:pPr>
        <w:spacing w:after="0" w:line="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Exhibit 4.3 to the Current Report on Form 8-K filed on March 24, 2025</w:t>
      </w:r>
    </w:p>
    <w:p>
      <w:pPr>
        <w:spacing w:after="0" w:line="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Exhibit 4.4 to the Current Report on Form 8-K filed on March 24, 2025</w:t>
      </w:r>
    </w:p>
    <w:p>
      <w:pPr>
        <w:spacing w:after="0" w:line="2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8"/>
          <w:szCs w:val="18"/>
          <w:color w:val="auto"/>
        </w:rPr>
        <w:t>Exhibit 4.1 to the Current Report on Form 8-K filed on July 16, 2025</w:t>
      </w:r>
    </w:p>
    <w:p>
      <w:pPr>
        <w:spacing w:after="0" w:line="1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8"/>
          <w:szCs w:val="18"/>
          <w:color w:val="auto"/>
        </w:rPr>
        <w:t>Exhibit 4.2 to the Current Report on Form 8-K filed on July 16, 2025</w:t>
      </w:r>
    </w:p>
    <w:p>
      <w:pPr>
        <w:spacing w:after="0" w:line="1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8"/>
          <w:szCs w:val="18"/>
          <w:color w:val="auto"/>
        </w:rPr>
        <w:t>Exhibit 10.1 to the Current Report on Form 8-K filed on January 31, 2025</w:t>
      </w:r>
    </w:p>
    <w:p>
      <w:pPr>
        <w:spacing w:after="0" w:line="1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8"/>
          <w:szCs w:val="18"/>
          <w:color w:val="auto"/>
        </w:rPr>
        <w:t>Exhibit 10.2 to the Current Report on Form 8-K filed on January 31, 2025</w:t>
      </w:r>
    </w:p>
    <w:p>
      <w:pPr>
        <w:spacing w:after="0" w:line="1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8"/>
          <w:szCs w:val="18"/>
          <w:color w:val="auto"/>
        </w:rPr>
        <w:t>Exhibit 10.3 to the Current Report on Form 8-K filed on January 31, 2025</w:t>
      </w:r>
    </w:p>
    <w:p>
      <w:pPr>
        <w:spacing w:after="0" w:line="200" w:lineRule="exact"/>
        <w:rPr>
          <w:sz w:val="20"/>
          <w:szCs w:val="20"/>
          <w:color w:val="auto"/>
        </w:rPr>
      </w:pPr>
    </w:p>
    <w:p>
      <w:pPr>
        <w:sectPr>
          <w:pgSz w:w="11900" w:h="16838" w:orient="portrait"/>
          <w:cols w:equalWidth="0" w:num="2">
            <w:col w:w="7400" w:space="120"/>
            <w:col w:w="3700"/>
          </w:cols>
          <w:pgMar w:left="320" w:top="1056" w:right="35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83185</wp:posOffset>
            </wp:positionV>
            <wp:extent cx="716089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56" w:right="359" w:bottom="1440" w:gutter="0" w:footer="0" w:header="0"/>
          <w:type w:val="continuous"/>
        </w:sectPr>
      </w:pPr>
    </w:p>
    <w:bookmarkStart w:id="101" w:name="page102"/>
    <w:bookmarkEnd w:id="101"/>
    <w:tbl>
      <w:tblPr>
        <w:tblLayout w:type="fixed"/>
        <w:tblInd w:w="0" w:type="dxa"/>
        <w:tblCellMar>
          <w:top w:w="0" w:type="dxa"/>
          <w:left w:w="0" w:type="dxa"/>
          <w:bottom w:w="0" w:type="dxa"/>
          <w:right w:w="0" w:type="dxa"/>
        </w:tblCellMar>
      </w:tblPr>
      <w:tr>
        <w:trPr>
          <w:trHeight w:val="231"/>
        </w:trPr>
        <w:tc>
          <w:tcPr>
            <w:tcW w:w="1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624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c>
          <w:tcPr>
            <w:tcW w:w="0" w:type="dxa"/>
            <w:vAlign w:val="bottom"/>
          </w:tcPr>
          <w:p>
            <w:pPr>
              <w:spacing w:after="0"/>
              <w:rPr>
                <w:sz w:val="1"/>
                <w:szCs w:val="1"/>
                <w:color w:val="auto"/>
              </w:rPr>
            </w:pPr>
          </w:p>
        </w:tc>
      </w:tr>
      <w:tr>
        <w:trPr>
          <w:trHeight w:val="251"/>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240" w:type="dxa"/>
            <w:vAlign w:val="bottom"/>
            <w:gridSpan w:val="22"/>
            <w:vMerge w:val="restart"/>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Securities Purchase Agreement, dated March 21, 2025, by and among Faraday Future</w:t>
              </w:r>
            </w:hyperlink>
          </w:p>
        </w:tc>
        <w:tc>
          <w:tcPr>
            <w:tcW w:w="0" w:type="dxa"/>
            <w:vAlign w:val="bottom"/>
          </w:tcPr>
          <w:p>
            <w:pPr>
              <w:spacing w:after="0"/>
              <w:rPr>
                <w:sz w:val="1"/>
                <w:szCs w:val="1"/>
                <w:color w:val="auto"/>
              </w:rPr>
            </w:pPr>
          </w:p>
        </w:tc>
      </w:tr>
      <w:tr>
        <w:trPr>
          <w:trHeight w:val="185"/>
        </w:trPr>
        <w:tc>
          <w:tcPr>
            <w:tcW w:w="1280" w:type="dxa"/>
            <w:vAlign w:val="bottom"/>
          </w:tcPr>
          <w:p>
            <w:pPr>
              <w:spacing w:after="0"/>
              <w:rPr>
                <w:sz w:val="16"/>
                <w:szCs w:val="16"/>
                <w:color w:val="auto"/>
              </w:rPr>
            </w:pPr>
          </w:p>
        </w:tc>
        <w:tc>
          <w:tcPr>
            <w:tcW w:w="6240" w:type="dxa"/>
            <w:vAlign w:val="bottom"/>
            <w:gridSpan w:val="2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5540" w:type="dxa"/>
            <w:vAlign w:val="bottom"/>
            <w:tcBorders>
              <w:top w:val="single" w:sz="8" w:color="0000FF"/>
              <w:bottom w:val="single" w:sz="8" w:color="0000FF"/>
            </w:tcBorders>
            <w:gridSpan w:val="10"/>
          </w:tcPr>
          <w:p>
            <w:pPr>
              <w:spacing w:after="0"/>
              <w:rPr>
                <w:rFonts w:ascii="Times New Roman" w:cs="Times New Roman" w:eastAsia="Times New Roman" w:hAnsi="Times New Roman"/>
                <w:sz w:val="18"/>
                <w:szCs w:val="18"/>
                <w:color w:val="0000FF"/>
                <w:w w:val="97"/>
              </w:rPr>
            </w:pPr>
            <w:hyperlink r:id="rId155">
              <w:r>
                <w:rPr>
                  <w:rFonts w:ascii="Times New Roman" w:cs="Times New Roman" w:eastAsia="Times New Roman" w:hAnsi="Times New Roman"/>
                  <w:sz w:val="18"/>
                  <w:szCs w:val="18"/>
                  <w:color w:val="0000FF"/>
                  <w:w w:val="97"/>
                </w:rPr>
                <w:t>Offer Letter, dated March 24, 2025, by and between Faraday Future Intelligent</w:t>
              </w:r>
            </w:hyperlink>
          </w:p>
        </w:tc>
        <w:tc>
          <w:tcPr>
            <w:tcW w:w="480" w:type="dxa"/>
            <w:vAlign w:val="bottom"/>
            <w:tcBorders>
              <w:top w:val="single" w:sz="8" w:color="0000FF"/>
            </w:tcBorders>
            <w:gridSpan w:val="3"/>
          </w:tcPr>
          <w:p>
            <w:pPr>
              <w:spacing w:after="0"/>
              <w:rPr>
                <w:sz w:val="21"/>
                <w:szCs w:val="21"/>
                <w:color w:val="auto"/>
              </w:rPr>
            </w:pPr>
          </w:p>
        </w:tc>
        <w:tc>
          <w:tcPr>
            <w:tcW w:w="220" w:type="dxa"/>
            <w:vAlign w:val="bottom"/>
            <w:gridSpan w:val="9"/>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2620" w:type="dxa"/>
            <w:vAlign w:val="bottom"/>
            <w:tcBorders>
              <w:bottom w:val="single" w:sz="8" w:color="0000FF"/>
            </w:tcBorders>
            <w:gridSpan w:val="7"/>
          </w:tcPr>
          <w:p>
            <w:pPr>
              <w:spacing w:after="0" w:line="191" w:lineRule="exact"/>
              <w:rPr>
                <w:rFonts w:ascii="Times New Roman" w:cs="Times New Roman" w:eastAsia="Times New Roman" w:hAnsi="Times New Roman"/>
                <w:sz w:val="18"/>
                <w:szCs w:val="18"/>
                <w:color w:val="0000FF"/>
                <w:w w:val="96"/>
              </w:rPr>
            </w:pPr>
            <w:hyperlink r:id="rId155">
              <w:r>
                <w:rPr>
                  <w:rFonts w:ascii="Times New Roman" w:cs="Times New Roman" w:eastAsia="Times New Roman" w:hAnsi="Times New Roman"/>
                  <w:sz w:val="18"/>
                  <w:szCs w:val="18"/>
                  <w:color w:val="0000FF"/>
                  <w:w w:val="96"/>
                </w:rPr>
                <w:t>Electric Inc. and Jiawei (Jerry) Wang</w:t>
              </w:r>
            </w:hyperlink>
          </w:p>
        </w:tc>
        <w:tc>
          <w:tcPr>
            <w:tcW w:w="3620" w:type="dxa"/>
            <w:vAlign w:val="bottom"/>
            <w:gridSpan w:val="15"/>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6240" w:type="dxa"/>
            <w:vAlign w:val="bottom"/>
            <w:gridSpan w:val="22"/>
          </w:tcPr>
          <w:p>
            <w:pPr>
              <w:spacing w:after="0"/>
              <w:rPr>
                <w:rFonts w:ascii="Times New Roman" w:cs="Times New Roman" w:eastAsia="Times New Roman" w:hAnsi="Times New Roman"/>
                <w:sz w:val="18"/>
                <w:szCs w:val="18"/>
                <w:color w:val="0000FF"/>
                <w:w w:val="99"/>
              </w:rPr>
            </w:pPr>
            <w:hyperlink r:id="rId156">
              <w:r>
                <w:rPr>
                  <w:rFonts w:ascii="Times New Roman" w:cs="Times New Roman" w:eastAsia="Times New Roman" w:hAnsi="Times New Roman"/>
                  <w:sz w:val="18"/>
                  <w:szCs w:val="18"/>
                  <w:color w:val="0000FF"/>
                  <w:w w:val="99"/>
                </w:rPr>
                <w:t>Placement Agency Agreement, dated March 21, 2025, by and between Faraday Future</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2"/>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6240" w:type="dxa"/>
            <w:vAlign w:val="bottom"/>
            <w:gridSpan w:val="22"/>
          </w:tcPr>
          <w:p>
            <w:pPr>
              <w:spacing w:after="0"/>
              <w:rPr>
                <w:rFonts w:ascii="Times New Roman" w:cs="Times New Roman" w:eastAsia="Times New Roman" w:hAnsi="Times New Roman"/>
                <w:sz w:val="18"/>
                <w:szCs w:val="18"/>
                <w:color w:val="0000FF"/>
                <w:w w:val="99"/>
              </w:rPr>
            </w:pPr>
            <w:hyperlink r:id="rId157">
              <w:r>
                <w:rPr>
                  <w:rFonts w:ascii="Times New Roman" w:cs="Times New Roman" w:eastAsia="Times New Roman" w:hAnsi="Times New Roman"/>
                  <w:sz w:val="18"/>
                  <w:szCs w:val="18"/>
                  <w:color w:val="0000FF"/>
                  <w:w w:val="99"/>
                </w:rPr>
                <w:t>Purchase Agreement dated April 17, 2025, by and between the Company and Matthias</w:t>
              </w:r>
            </w:hyperlink>
          </w:p>
        </w:tc>
        <w:tc>
          <w:tcPr>
            <w:tcW w:w="0" w:type="dxa"/>
            <w:vAlign w:val="bottom"/>
          </w:tcPr>
          <w:p>
            <w:pPr>
              <w:spacing w:after="0"/>
              <w:rPr>
                <w:sz w:val="1"/>
                <w:szCs w:val="1"/>
                <w:color w:val="auto"/>
              </w:rPr>
            </w:pPr>
          </w:p>
        </w:tc>
      </w:tr>
      <w:tr>
        <w:trPr>
          <w:trHeight w:val="178"/>
        </w:trPr>
        <w:tc>
          <w:tcPr>
            <w:tcW w:w="1280" w:type="dxa"/>
            <w:vAlign w:val="bottom"/>
          </w:tcPr>
          <w:p>
            <w:pPr>
              <w:spacing w:after="0"/>
              <w:rPr>
                <w:sz w:val="15"/>
                <w:szCs w:val="15"/>
                <w:color w:val="auto"/>
              </w:rPr>
            </w:pPr>
          </w:p>
        </w:tc>
        <w:tc>
          <w:tcPr>
            <w:tcW w:w="340" w:type="dxa"/>
            <w:vAlign w:val="bottom"/>
            <w:tcBorders>
              <w:top w:val="single" w:sz="8" w:color="0000FF"/>
              <w:bottom w:val="single" w:sz="8" w:color="0000FF"/>
            </w:tcBorders>
          </w:tcPr>
          <w:p>
            <w:pPr>
              <w:spacing w:after="0" w:line="178" w:lineRule="exact"/>
              <w:rPr>
                <w:rFonts w:ascii="Times New Roman" w:cs="Times New Roman" w:eastAsia="Times New Roman" w:hAnsi="Times New Roman"/>
                <w:sz w:val="18"/>
                <w:szCs w:val="18"/>
                <w:color w:val="0000FF"/>
                <w:w w:val="88"/>
              </w:rPr>
            </w:pPr>
            <w:hyperlink r:id="rId157">
              <w:r>
                <w:rPr>
                  <w:rFonts w:ascii="Times New Roman" w:cs="Times New Roman" w:eastAsia="Times New Roman" w:hAnsi="Times New Roman"/>
                  <w:sz w:val="18"/>
                  <w:szCs w:val="18"/>
                  <w:color w:val="0000FF"/>
                  <w:w w:val="88"/>
                </w:rPr>
                <w:t>Aydt</w:t>
              </w:r>
            </w:hyperlink>
          </w:p>
        </w:tc>
        <w:tc>
          <w:tcPr>
            <w:tcW w:w="5860" w:type="dxa"/>
            <w:vAlign w:val="bottom"/>
            <w:tcBorders>
              <w:top w:val="single" w:sz="8" w:color="0000FF"/>
            </w:tcBorders>
            <w:gridSpan w:val="19"/>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6240" w:type="dxa"/>
            <w:vAlign w:val="bottom"/>
            <w:gridSpan w:val="22"/>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Offer Letter, dated April 23, 2025, by and between Faraday Future Intelligent Electric</w:t>
              </w:r>
            </w:hyperlink>
          </w:p>
        </w:tc>
        <w:tc>
          <w:tcPr>
            <w:tcW w:w="0" w:type="dxa"/>
            <w:vAlign w:val="bottom"/>
          </w:tcPr>
          <w:p>
            <w:pPr>
              <w:spacing w:after="0"/>
              <w:rPr>
                <w:sz w:val="1"/>
                <w:szCs w:val="1"/>
                <w:color w:val="auto"/>
              </w:rPr>
            </w:pPr>
          </w:p>
        </w:tc>
      </w:tr>
      <w:tr>
        <w:trPr>
          <w:trHeight w:val="178"/>
        </w:trPr>
        <w:tc>
          <w:tcPr>
            <w:tcW w:w="1280" w:type="dxa"/>
            <w:vAlign w:val="bottom"/>
          </w:tcPr>
          <w:p>
            <w:pPr>
              <w:spacing w:after="0"/>
              <w:rPr>
                <w:sz w:val="15"/>
                <w:szCs w:val="15"/>
                <w:color w:val="auto"/>
              </w:rPr>
            </w:pPr>
          </w:p>
        </w:tc>
        <w:tc>
          <w:tcPr>
            <w:tcW w:w="6180" w:type="dxa"/>
            <w:vAlign w:val="bottom"/>
            <w:tcBorders>
              <w:top w:val="single" w:sz="8" w:color="0000FF"/>
            </w:tcBorders>
            <w:gridSpan w:val="19"/>
          </w:tcPr>
          <w:p>
            <w:pPr>
              <w:spacing w:after="0" w:line="178"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Inc. and Yueting Jia.</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48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5"/>
              </w:rPr>
            </w:pPr>
            <w:hyperlink r:id="rId159">
              <w:r>
                <w:rPr>
                  <w:rFonts w:ascii="Times New Roman" w:cs="Times New Roman" w:eastAsia="Times New Roman" w:hAnsi="Times New Roman"/>
                  <w:sz w:val="18"/>
                  <w:szCs w:val="18"/>
                  <w:color w:val="0000FF"/>
                  <w:w w:val="95"/>
                </w:rPr>
                <w:t>Form of SPA Waiver</w:t>
              </w:r>
            </w:hyperlink>
          </w:p>
        </w:tc>
        <w:tc>
          <w:tcPr>
            <w:tcW w:w="4760" w:type="dxa"/>
            <w:vAlign w:val="bottom"/>
            <w:gridSpan w:val="16"/>
          </w:tcPr>
          <w:p>
            <w:pPr>
              <w:spacing w:after="0"/>
              <w:rPr>
                <w:sz w:val="22"/>
                <w:szCs w:val="22"/>
                <w:color w:val="auto"/>
              </w:rPr>
            </w:pPr>
          </w:p>
        </w:tc>
        <w:tc>
          <w:tcPr>
            <w:tcW w:w="0" w:type="dxa"/>
            <w:vAlign w:val="bottom"/>
          </w:tcPr>
          <w:p>
            <w:pPr>
              <w:spacing w:after="0"/>
              <w:rPr>
                <w:sz w:val="1"/>
                <w:szCs w:val="1"/>
                <w:color w:val="auto"/>
              </w:rPr>
            </w:pPr>
          </w:p>
        </w:tc>
      </w:tr>
      <w:tr>
        <w:trPr>
          <w:trHeight w:val="468"/>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6240" w:type="dxa"/>
            <w:vAlign w:val="bottom"/>
            <w:gridSpan w:val="22"/>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Securities Purchase Agreement, dated July 14, 2025, by and among Faraday Future</w:t>
              </w:r>
            </w:hyperlink>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3280" w:type="dxa"/>
            <w:vAlign w:val="bottom"/>
            <w:tcBorders>
              <w:top w:val="single" w:sz="8" w:color="0000FF"/>
              <w:bottom w:val="single" w:sz="8" w:color="0000FF"/>
            </w:tcBorders>
            <w:gridSpan w:val="8"/>
          </w:tcPr>
          <w:p>
            <w:pPr>
              <w:spacing w:after="0" w:line="191" w:lineRule="exact"/>
              <w:rPr>
                <w:rFonts w:ascii="Times New Roman" w:cs="Times New Roman" w:eastAsia="Times New Roman" w:hAnsi="Times New Roman"/>
                <w:sz w:val="18"/>
                <w:szCs w:val="18"/>
                <w:color w:val="0000FF"/>
                <w:w w:val="97"/>
              </w:rPr>
            </w:pPr>
            <w:hyperlink r:id="rId160">
              <w:r>
                <w:rPr>
                  <w:rFonts w:ascii="Times New Roman" w:cs="Times New Roman" w:eastAsia="Times New Roman" w:hAnsi="Times New Roman"/>
                  <w:sz w:val="18"/>
                  <w:szCs w:val="18"/>
                  <w:color w:val="0000FF"/>
                  <w:w w:val="97"/>
                </w:rPr>
                <w:t>Intelligent Electric Inc. and the parties thereto.</w:t>
              </w:r>
            </w:hyperlink>
          </w:p>
        </w:tc>
        <w:tc>
          <w:tcPr>
            <w:tcW w:w="2580" w:type="dxa"/>
            <w:vAlign w:val="bottom"/>
            <w:tcBorders>
              <w:top w:val="single" w:sz="8" w:color="0000FF"/>
            </w:tcBorders>
            <w:gridSpan w:val="4"/>
          </w:tcPr>
          <w:p>
            <w:pPr>
              <w:spacing w:after="0"/>
              <w:rPr>
                <w:sz w:val="16"/>
                <w:szCs w:val="16"/>
                <w:color w:val="auto"/>
              </w:rPr>
            </w:pPr>
          </w:p>
        </w:tc>
        <w:tc>
          <w:tcPr>
            <w:tcW w:w="380" w:type="dxa"/>
            <w:vAlign w:val="bottom"/>
            <w:gridSpan w:val="10"/>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556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7"/>
              </w:rPr>
            </w:pPr>
            <w:hyperlink r:id="rId161">
              <w:r>
                <w:rPr>
                  <w:rFonts w:ascii="Times New Roman" w:cs="Times New Roman" w:eastAsia="Times New Roman" w:hAnsi="Times New Roman"/>
                  <w:sz w:val="18"/>
                  <w:szCs w:val="18"/>
                  <w:color w:val="0000FF"/>
                  <w:w w:val="97"/>
                </w:rPr>
                <w:t>Purchase Agreement Dated August 5, 2025, by and Between the Company and</w:t>
              </w:r>
            </w:hyperlink>
          </w:p>
        </w:tc>
        <w:tc>
          <w:tcPr>
            <w:tcW w:w="680" w:type="dxa"/>
            <w:vAlign w:val="bottom"/>
            <w:gridSpan w:val="11"/>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1000" w:type="dxa"/>
            <w:vAlign w:val="bottom"/>
            <w:tcBorders>
              <w:bottom w:val="single" w:sz="8" w:color="0000FF"/>
            </w:tcBorders>
            <w:gridSpan w:val="3"/>
          </w:tcPr>
          <w:p>
            <w:pPr>
              <w:spacing w:after="0" w:line="191" w:lineRule="exact"/>
              <w:rPr>
                <w:rFonts w:ascii="Times New Roman" w:cs="Times New Roman" w:eastAsia="Times New Roman" w:hAnsi="Times New Roman"/>
                <w:sz w:val="18"/>
                <w:szCs w:val="18"/>
                <w:color w:val="0000FF"/>
                <w:w w:val="94"/>
              </w:rPr>
            </w:pPr>
            <w:hyperlink r:id="rId161">
              <w:r>
                <w:rPr>
                  <w:rFonts w:ascii="Times New Roman" w:cs="Times New Roman" w:eastAsia="Times New Roman" w:hAnsi="Times New Roman"/>
                  <w:sz w:val="18"/>
                  <w:szCs w:val="18"/>
                  <w:color w:val="0000FF"/>
                  <w:w w:val="94"/>
                </w:rPr>
                <w:t>Matthias Aydt</w:t>
              </w:r>
            </w:hyperlink>
          </w:p>
        </w:tc>
        <w:tc>
          <w:tcPr>
            <w:tcW w:w="5240" w:type="dxa"/>
            <w:vAlign w:val="bottom"/>
            <w:gridSpan w:val="19"/>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62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Securities Exchange Act</w:t>
            </w:r>
          </w:p>
        </w:tc>
        <w:tc>
          <w:tcPr>
            <w:tcW w:w="0" w:type="dxa"/>
            <w:vAlign w:val="bottom"/>
          </w:tcPr>
          <w:p>
            <w:pPr>
              <w:spacing w:after="0"/>
              <w:rPr>
                <w:sz w:val="1"/>
                <w:szCs w:val="1"/>
                <w:color w:val="auto"/>
              </w:rPr>
            </w:pPr>
          </w:p>
        </w:tc>
      </w:tr>
      <w:tr>
        <w:trPr>
          <w:trHeight w:val="178"/>
        </w:trPr>
        <w:tc>
          <w:tcPr>
            <w:tcW w:w="1280" w:type="dxa"/>
            <w:vAlign w:val="bottom"/>
          </w:tcPr>
          <w:p>
            <w:pPr>
              <w:spacing w:after="0"/>
              <w:rPr>
                <w:sz w:val="15"/>
                <w:szCs w:val="15"/>
                <w:color w:val="auto"/>
              </w:rPr>
            </w:pPr>
          </w:p>
        </w:tc>
        <w:tc>
          <w:tcPr>
            <w:tcW w:w="6140" w:type="dxa"/>
            <w:vAlign w:val="bottom"/>
            <w:tcBorders>
              <w:top w:val="single" w:sz="8" w:color="0000FF"/>
              <w:bottom w:val="single" w:sz="8" w:color="0000FF"/>
            </w:tcBorders>
            <w:gridSpan w:val="17"/>
          </w:tcPr>
          <w:p>
            <w:pPr>
              <w:spacing w:after="0" w:line="178" w:lineRule="exact"/>
              <w:rPr>
                <w:sz w:val="20"/>
                <w:szCs w:val="20"/>
                <w:color w:val="auto"/>
              </w:rPr>
            </w:pPr>
            <w:r>
              <w:rPr>
                <w:rFonts w:ascii="Times New Roman" w:cs="Times New Roman" w:eastAsia="Times New Roman" w:hAnsi="Times New Roman"/>
                <w:sz w:val="18"/>
                <w:szCs w:val="18"/>
                <w:color w:val="0000FF"/>
              </w:rPr>
              <w:t>Rules 13a-14(a) and 15d-14(a), as adopted Pursuant to Section 302 of the Sarbanes-</w:t>
            </w:r>
          </w:p>
        </w:tc>
        <w:tc>
          <w:tcPr>
            <w:tcW w:w="20" w:type="dxa"/>
            <w:vAlign w:val="bottom"/>
            <w:tcBorders>
              <w:bottom w:val="single" w:sz="8" w:color="0000FF"/>
            </w:tcBorders>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280" w:type="dxa"/>
            <w:vAlign w:val="bottom"/>
          </w:tcPr>
          <w:p>
            <w:pPr>
              <w:spacing w:after="0"/>
              <w:rPr>
                <w:sz w:val="15"/>
                <w:szCs w:val="15"/>
                <w:color w:val="auto"/>
              </w:rPr>
            </w:pPr>
          </w:p>
        </w:tc>
        <w:tc>
          <w:tcPr>
            <w:tcW w:w="1320" w:type="dxa"/>
            <w:vAlign w:val="bottom"/>
            <w:tcBorders>
              <w:bottom w:val="single" w:sz="8" w:color="0000FF"/>
            </w:tcBorders>
            <w:gridSpan w:val="4"/>
          </w:tcPr>
          <w:p>
            <w:pPr>
              <w:spacing w:after="0" w:line="178" w:lineRule="exact"/>
              <w:rPr>
                <w:sz w:val="20"/>
                <w:szCs w:val="20"/>
                <w:color w:val="auto"/>
              </w:rPr>
            </w:pPr>
            <w:r>
              <w:rPr>
                <w:rFonts w:ascii="Times New Roman" w:cs="Times New Roman" w:eastAsia="Times New Roman" w:hAnsi="Times New Roman"/>
                <w:sz w:val="18"/>
                <w:szCs w:val="18"/>
                <w:color w:val="0000FF"/>
                <w:w w:val="96"/>
              </w:rPr>
              <w:t>Oxley Act of 2002</w:t>
            </w:r>
          </w:p>
        </w:tc>
        <w:tc>
          <w:tcPr>
            <w:tcW w:w="4840" w:type="dxa"/>
            <w:vAlign w:val="bottom"/>
            <w:gridSpan w:val="14"/>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62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Securities Exchange Act Rules</w:t>
            </w:r>
          </w:p>
        </w:tc>
        <w:tc>
          <w:tcPr>
            <w:tcW w:w="0" w:type="dxa"/>
            <w:vAlign w:val="bottom"/>
          </w:tcPr>
          <w:p>
            <w:pPr>
              <w:spacing w:after="0"/>
              <w:rPr>
                <w:sz w:val="1"/>
                <w:szCs w:val="1"/>
                <w:color w:val="auto"/>
              </w:rPr>
            </w:pPr>
          </w:p>
        </w:tc>
      </w:tr>
      <w:tr>
        <w:trPr>
          <w:trHeight w:val="178"/>
        </w:trPr>
        <w:tc>
          <w:tcPr>
            <w:tcW w:w="1280" w:type="dxa"/>
            <w:vAlign w:val="bottom"/>
          </w:tcPr>
          <w:p>
            <w:pPr>
              <w:spacing w:after="0"/>
              <w:rPr>
                <w:sz w:val="15"/>
                <w:szCs w:val="15"/>
                <w:color w:val="auto"/>
              </w:rPr>
            </w:pPr>
          </w:p>
        </w:tc>
        <w:tc>
          <w:tcPr>
            <w:tcW w:w="6120" w:type="dxa"/>
            <w:vAlign w:val="bottom"/>
            <w:tcBorders>
              <w:top w:val="single" w:sz="8" w:color="0000FF"/>
            </w:tcBorders>
            <w:gridSpan w:val="16"/>
          </w:tcPr>
          <w:p>
            <w:pPr>
              <w:spacing w:after="0" w:line="178" w:lineRule="exact"/>
              <w:rPr>
                <w:sz w:val="20"/>
                <w:szCs w:val="20"/>
                <w:color w:val="auto"/>
              </w:rPr>
            </w:pPr>
            <w:r>
              <w:rPr>
                <w:rFonts w:ascii="Times New Roman" w:cs="Times New Roman" w:eastAsia="Times New Roman" w:hAnsi="Times New Roman"/>
                <w:sz w:val="18"/>
                <w:szCs w:val="18"/>
                <w:color w:val="0000FF"/>
              </w:rPr>
              <w:t>13a-14(a) and 15d-14(a), as adopted Pursuant to Section 302 of the Sarbanes-Oxley</w:t>
            </w: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280" w:type="dxa"/>
            <w:vAlign w:val="bottom"/>
          </w:tcPr>
          <w:p>
            <w:pPr>
              <w:spacing w:after="0"/>
              <w:rPr>
                <w:sz w:val="15"/>
                <w:szCs w:val="15"/>
                <w:color w:val="auto"/>
              </w:rPr>
            </w:pPr>
          </w:p>
        </w:tc>
        <w:tc>
          <w:tcPr>
            <w:tcW w:w="6080" w:type="dxa"/>
            <w:vAlign w:val="bottom"/>
            <w:tcBorders>
              <w:top w:val="single" w:sz="8" w:color="0000FF"/>
            </w:tcBorders>
            <w:gridSpan w:val="14"/>
          </w:tcPr>
          <w:p>
            <w:pPr>
              <w:spacing w:after="0" w:line="178" w:lineRule="exact"/>
              <w:rPr>
                <w:sz w:val="20"/>
                <w:szCs w:val="20"/>
                <w:color w:val="auto"/>
              </w:rPr>
            </w:pPr>
            <w:r>
              <w:rPr>
                <w:rFonts w:ascii="Times New Roman" w:cs="Times New Roman" w:eastAsia="Times New Roman" w:hAnsi="Times New Roman"/>
                <w:sz w:val="18"/>
                <w:szCs w:val="18"/>
                <w:color w:val="0000FF"/>
              </w:rPr>
              <w:t>Act of 2002</w:t>
            </w:r>
          </w:p>
        </w:tc>
        <w:tc>
          <w:tcPr>
            <w:tcW w:w="20" w:type="dxa"/>
            <w:vAlign w:val="bottom"/>
          </w:tcPr>
          <w:p>
            <w:pPr>
              <w:spacing w:after="0"/>
              <w:rPr>
                <w:sz w:val="15"/>
                <w:szCs w:val="15"/>
                <w:color w:val="auto"/>
              </w:rPr>
            </w:pPr>
          </w:p>
        </w:tc>
        <w:tc>
          <w:tcPr>
            <w:tcW w:w="12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3940" w:type="dxa"/>
            <w:vAlign w:val="bottom"/>
            <w:gridSpan w:val="7"/>
          </w:tcPr>
          <w:p>
            <w:pPr>
              <w:spacing w:after="0" w:line="20" w:lineRule="exact"/>
              <w:rPr>
                <w:sz w:val="1"/>
                <w:szCs w:val="1"/>
                <w:color w:val="auto"/>
              </w:rPr>
            </w:pPr>
          </w:p>
        </w:tc>
        <w:tc>
          <w:tcPr>
            <w:tcW w:w="1320" w:type="dxa"/>
            <w:vAlign w:val="bottom"/>
            <w:gridSpan w:val="6"/>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62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w:t>
            </w:r>
          </w:p>
        </w:tc>
        <w:tc>
          <w:tcPr>
            <w:tcW w:w="0" w:type="dxa"/>
            <w:vAlign w:val="bottom"/>
          </w:tcPr>
          <w:p>
            <w:pPr>
              <w:spacing w:after="0"/>
              <w:rPr>
                <w:sz w:val="1"/>
                <w:szCs w:val="1"/>
                <w:color w:val="auto"/>
              </w:rPr>
            </w:pPr>
          </w:p>
        </w:tc>
      </w:tr>
      <w:tr>
        <w:trPr>
          <w:trHeight w:val="178"/>
        </w:trPr>
        <w:tc>
          <w:tcPr>
            <w:tcW w:w="1280" w:type="dxa"/>
            <w:vAlign w:val="bottom"/>
          </w:tcPr>
          <w:p>
            <w:pPr>
              <w:spacing w:after="0"/>
              <w:rPr>
                <w:sz w:val="15"/>
                <w:szCs w:val="15"/>
                <w:color w:val="auto"/>
              </w:rPr>
            </w:pPr>
          </w:p>
        </w:tc>
        <w:tc>
          <w:tcPr>
            <w:tcW w:w="4780" w:type="dxa"/>
            <w:vAlign w:val="bottom"/>
            <w:tcBorders>
              <w:top w:val="single" w:sz="8" w:color="0000FF"/>
              <w:bottom w:val="single" w:sz="8" w:color="0000FF"/>
            </w:tcBorders>
            <w:gridSpan w:val="9"/>
          </w:tcPr>
          <w:p>
            <w:pPr>
              <w:spacing w:after="0" w:line="178" w:lineRule="exact"/>
              <w:rPr>
                <w:sz w:val="20"/>
                <w:szCs w:val="20"/>
                <w:color w:val="auto"/>
              </w:rPr>
            </w:pPr>
            <w:r>
              <w:rPr>
                <w:rFonts w:ascii="Times New Roman" w:cs="Times New Roman" w:eastAsia="Times New Roman" w:hAnsi="Times New Roman"/>
                <w:sz w:val="18"/>
                <w:szCs w:val="18"/>
                <w:color w:val="0000FF"/>
                <w:w w:val="97"/>
              </w:rPr>
              <w:t>adopted Pursuant to Section 906 of the Sarbanes-Oxley Act of 2002</w:t>
            </w:r>
          </w:p>
        </w:tc>
        <w:tc>
          <w:tcPr>
            <w:tcW w:w="1440" w:type="dxa"/>
            <w:vAlign w:val="bottom"/>
            <w:tcBorders>
              <w:top w:val="single" w:sz="8" w:color="0000FF"/>
            </w:tcBorders>
            <w:gridSpan w:val="1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62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w:t>
            </w:r>
          </w:p>
        </w:tc>
        <w:tc>
          <w:tcPr>
            <w:tcW w:w="0" w:type="dxa"/>
            <w:vAlign w:val="bottom"/>
          </w:tcPr>
          <w:p>
            <w:pPr>
              <w:spacing w:after="0"/>
              <w:rPr>
                <w:sz w:val="1"/>
                <w:szCs w:val="1"/>
                <w:color w:val="auto"/>
              </w:rPr>
            </w:pPr>
          </w:p>
        </w:tc>
      </w:tr>
      <w:tr>
        <w:trPr>
          <w:trHeight w:val="178"/>
        </w:trPr>
        <w:tc>
          <w:tcPr>
            <w:tcW w:w="1280" w:type="dxa"/>
            <w:vAlign w:val="bottom"/>
          </w:tcPr>
          <w:p>
            <w:pPr>
              <w:spacing w:after="0"/>
              <w:rPr>
                <w:sz w:val="15"/>
                <w:szCs w:val="15"/>
                <w:color w:val="auto"/>
              </w:rPr>
            </w:pPr>
          </w:p>
        </w:tc>
        <w:tc>
          <w:tcPr>
            <w:tcW w:w="4780" w:type="dxa"/>
            <w:vAlign w:val="bottom"/>
            <w:tcBorders>
              <w:top w:val="single" w:sz="8" w:color="0000FF"/>
              <w:bottom w:val="single" w:sz="8" w:color="0000FF"/>
            </w:tcBorders>
            <w:gridSpan w:val="9"/>
          </w:tcPr>
          <w:p>
            <w:pPr>
              <w:spacing w:after="0" w:line="178" w:lineRule="exact"/>
              <w:rPr>
                <w:sz w:val="20"/>
                <w:szCs w:val="20"/>
                <w:color w:val="auto"/>
              </w:rPr>
            </w:pPr>
            <w:r>
              <w:rPr>
                <w:rFonts w:ascii="Times New Roman" w:cs="Times New Roman" w:eastAsia="Times New Roman" w:hAnsi="Times New Roman"/>
                <w:sz w:val="18"/>
                <w:szCs w:val="18"/>
                <w:color w:val="0000FF"/>
                <w:w w:val="97"/>
              </w:rPr>
              <w:t>adopted Pursuant to Section 906 of the Sarbanes-Oxley Act of 2002</w:t>
            </w:r>
          </w:p>
        </w:tc>
        <w:tc>
          <w:tcPr>
            <w:tcW w:w="1320" w:type="dxa"/>
            <w:vAlign w:val="bottom"/>
            <w:tcBorders>
              <w:top w:val="single" w:sz="8" w:color="0000FF"/>
            </w:tcBorders>
            <w:gridSpan w:val="6"/>
          </w:tcPr>
          <w:p>
            <w:pPr>
              <w:spacing w:after="0"/>
              <w:rPr>
                <w:sz w:val="15"/>
                <w:szCs w:val="15"/>
                <w:color w:val="auto"/>
              </w:rPr>
            </w:pPr>
          </w:p>
        </w:tc>
        <w:tc>
          <w:tcPr>
            <w:tcW w:w="14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624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w:t>
            </w:r>
          </w:p>
        </w:tc>
        <w:tc>
          <w:tcPr>
            <w:tcW w:w="0" w:type="dxa"/>
            <w:vAlign w:val="bottom"/>
          </w:tcPr>
          <w:p>
            <w:pPr>
              <w:spacing w:after="0"/>
              <w:rPr>
                <w:sz w:val="1"/>
                <w:szCs w:val="1"/>
                <w:color w:val="auto"/>
              </w:rPr>
            </w:pPr>
          </w:p>
        </w:tc>
      </w:tr>
      <w:tr>
        <w:trPr>
          <w:trHeight w:val="229"/>
        </w:trPr>
        <w:tc>
          <w:tcPr>
            <w:tcW w:w="1280" w:type="dxa"/>
            <w:vAlign w:val="bottom"/>
          </w:tcPr>
          <w:p>
            <w:pPr>
              <w:spacing w:after="0"/>
              <w:rPr>
                <w:sz w:val="19"/>
                <w:szCs w:val="19"/>
                <w:color w:val="auto"/>
              </w:rPr>
            </w:pPr>
          </w:p>
        </w:tc>
        <w:tc>
          <w:tcPr>
            <w:tcW w:w="624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Data File because its XBRL tags are embedded within the Inline XBRL document</w:t>
            </w:r>
          </w:p>
        </w:tc>
        <w:tc>
          <w:tcPr>
            <w:tcW w:w="0" w:type="dxa"/>
            <w:vAlign w:val="bottom"/>
          </w:tcPr>
          <w:p>
            <w:pPr>
              <w:spacing w:after="0"/>
              <w:rPr>
                <w:sz w:val="1"/>
                <w:szCs w:val="1"/>
                <w:color w:val="auto"/>
              </w:rPr>
            </w:pPr>
          </w:p>
        </w:tc>
      </w:tr>
      <w:tr>
        <w:trPr>
          <w:trHeight w:val="251"/>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624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51"/>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624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51"/>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624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51"/>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624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51"/>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624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280" w:hanging="1277"/>
        <w:spacing w:after="0" w:line="254" w:lineRule="auto"/>
        <w:tabs>
          <w:tab w:leader="none" w:pos="12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29" w:lineRule="exact"/>
        <w:rPr>
          <w:sz w:val="20"/>
          <w:szCs w:val="20"/>
          <w:color w:val="auto"/>
        </w:rPr>
      </w:pPr>
    </w:p>
    <w:p>
      <w:pPr>
        <w:ind w:left="500" w:hanging="497"/>
        <w:spacing w:after="0"/>
        <w:tabs>
          <w:tab w:leader="none" w:pos="5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4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68580</wp:posOffset>
            </wp:positionV>
            <wp:extent cx="716089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5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8"/>
          <w:szCs w:val="18"/>
          <w:color w:val="auto"/>
        </w:rPr>
        <w:t>Exhibit 10.1 to the Current Report on Form 8-K filed on March 24, 2025</w:t>
      </w:r>
    </w:p>
    <w:p>
      <w:pPr>
        <w:spacing w:after="0" w:line="1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8"/>
          <w:szCs w:val="18"/>
          <w:color w:val="auto"/>
        </w:rPr>
        <w:t>Exhibit 10.5 to the Form 10-Q filed on May 09, 2025</w:t>
      </w:r>
    </w:p>
    <w:p>
      <w:pPr>
        <w:spacing w:after="0" w:line="1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8"/>
          <w:szCs w:val="18"/>
          <w:color w:val="auto"/>
        </w:rPr>
        <w:t>Exhibit 10.2 to the Current Report on Form 8-K filed on March 24, 2025</w:t>
      </w:r>
    </w:p>
    <w:p>
      <w:pPr>
        <w:spacing w:after="0" w:line="1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8"/>
          <w:szCs w:val="18"/>
          <w:color w:val="auto"/>
        </w:rPr>
        <w:t>Exhibit 10.1 to the Current Report on Form 8-K filed on April 17, 2025</w:t>
      </w:r>
    </w:p>
    <w:p>
      <w:pPr>
        <w:spacing w:after="0" w:line="1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8"/>
          <w:szCs w:val="18"/>
          <w:color w:val="auto"/>
        </w:rPr>
        <w:t>Exhibit 10.1 to the Current Report on Form 8-K filed on April 25, 2025</w:t>
      </w:r>
    </w:p>
    <w:p>
      <w:pPr>
        <w:spacing w:after="0" w:line="1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8"/>
          <w:szCs w:val="18"/>
          <w:color w:val="auto"/>
        </w:rPr>
        <w:t>Exhibit 10.1 to the Current Report on Form 8-K filed on May 15, 2025</w:t>
      </w:r>
    </w:p>
    <w:p>
      <w:pPr>
        <w:spacing w:after="0" w:line="1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8"/>
          <w:szCs w:val="18"/>
          <w:color w:val="auto"/>
        </w:rPr>
        <w:t>Exhibit 10.1 to the Current Report on Form 8-K filed on July 16, 2025</w:t>
      </w:r>
    </w:p>
    <w:p>
      <w:pPr>
        <w:spacing w:after="0" w:line="1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8"/>
          <w:szCs w:val="18"/>
          <w:color w:val="auto"/>
        </w:rPr>
        <w:t>Exhibit 10.1 to the Current Report on Form 8-K filed on August 8, 2025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ectPr>
          <w:pgSz w:w="11900" w:h="16838" w:orient="portrait"/>
          <w:cols w:equalWidth="0" w:num="2">
            <w:col w:w="7380" w:space="120"/>
            <w:col w:w="3700"/>
          </w:cols>
          <w:pgMar w:left="340" w:top="950" w:right="3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38" w:lineRule="exact"/>
        <w:rPr>
          <w:sz w:val="20"/>
          <w:szCs w:val="20"/>
          <w:color w:val="auto"/>
        </w:rPr>
      </w:pPr>
    </w:p>
    <w:p>
      <w:pPr>
        <w:ind w:firstLine="633"/>
        <w:spacing w:after="0" w:line="269"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33"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305" w:lineRule="exact"/>
        <w:rPr>
          <w:sz w:val="20"/>
          <w:szCs w:val="20"/>
          <w:color w:val="auto"/>
        </w:rPr>
      </w:pPr>
    </w:p>
    <w:p>
      <w:pPr>
        <w:ind w:left="20"/>
        <w:spacing w:after="0"/>
        <w:tabs>
          <w:tab w:leader="none" w:pos="1900" w:val="left"/>
          <w:tab w:leader="none" w:pos="3500" w:val="left"/>
          <w:tab w:leader="none" w:pos="42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19,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b w:val="1"/>
          <w:bCs w:val="1"/>
          <w:i w:val="1"/>
          <w:iCs w:val="1"/>
          <w:color w:val="auto"/>
        </w:rPr>
        <w:t>/s/ Matthias Aydt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2700020</wp:posOffset>
            </wp:positionH>
            <wp:positionV relativeFrom="paragraph">
              <wp:posOffset>33655</wp:posOffset>
            </wp:positionV>
            <wp:extent cx="325755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3">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4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Matthias Aydt</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Global Co-Chief Executive Officer</w:t>
      </w:r>
    </w:p>
    <w:p>
      <w:pPr>
        <w:spacing w:after="0" w:line="5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09" w:lineRule="exact"/>
        <w:rPr>
          <w:sz w:val="20"/>
          <w:szCs w:val="20"/>
          <w:color w:val="auto"/>
        </w:rPr>
      </w:pPr>
    </w:p>
    <w:p>
      <w:pPr>
        <w:ind w:left="20"/>
        <w:spacing w:after="0"/>
        <w:tabs>
          <w:tab w:leader="none" w:pos="1900" w:val="left"/>
          <w:tab w:leader="none" w:pos="3500" w:val="left"/>
          <w:tab w:leader="none" w:pos="42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19,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b w:val="1"/>
          <w:bCs w:val="1"/>
          <w:i w:val="1"/>
          <w:iCs w:val="1"/>
          <w:color w:val="auto"/>
        </w:rPr>
        <w:t>/s/ Koti Meka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2700020</wp:posOffset>
            </wp:positionH>
            <wp:positionV relativeFrom="paragraph">
              <wp:posOffset>39370</wp:posOffset>
            </wp:positionV>
            <wp:extent cx="325755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4">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63"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Koti Meka</w:t>
      </w:r>
    </w:p>
    <w:p>
      <w:pPr>
        <w:spacing w:after="0" w:line="57"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240"/>
          </w:cols>
          <w:pgMar w:left="320" w:top="897"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0" w:lineRule="exact"/>
        <w:rPr>
          <w:sz w:val="20"/>
          <w:szCs w:val="20"/>
          <w:color w:val="auto"/>
        </w:rPr>
      </w:pPr>
    </w:p>
    <w:p>
      <w:pPr>
        <w:jc w:val="center"/>
        <w:spacing w:after="0" w:line="258" w:lineRule="auto"/>
        <w:rPr>
          <w:sz w:val="20"/>
          <w:szCs w:val="20"/>
          <w:color w:val="auto"/>
        </w:rPr>
      </w:pPr>
      <w:r>
        <w:rPr>
          <w:rFonts w:ascii="Times New Roman" w:cs="Times New Roman" w:eastAsia="Times New Roman" w:hAnsi="Times New Roman"/>
          <w:sz w:val="17"/>
          <w:szCs w:val="17"/>
          <w:b w:val="1"/>
          <w:bCs w:val="1"/>
          <w:color w:val="auto"/>
        </w:rPr>
        <w:t>CERTIFICATION OF CHIEF EXECUTIVE OFFICER PURSUANT TO RULE 13a-14(a) UNDER THE SECURITIES EXCHANGE ACT OF 1934, AS ADOPTED PURSUANT TO SECTION 302 OF THE SARBANES-OXLEY ACT OF 2002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Matthias Aydt, certify that:</w:t>
      </w:r>
    </w:p>
    <w:p>
      <w:pPr>
        <w:spacing w:after="0" w:line="253" w:lineRule="exact"/>
        <w:rPr>
          <w:sz w:val="20"/>
          <w:szCs w:val="20"/>
          <w:color w:val="auto"/>
        </w:rPr>
      </w:pPr>
    </w:p>
    <w:p>
      <w:pPr>
        <w:ind w:left="460" w:hanging="437"/>
        <w:spacing w:after="0"/>
        <w:tabs>
          <w:tab w:leader="none" w:pos="46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Faraday Future Intelligent Electric Inc.;</w:t>
      </w:r>
    </w:p>
    <w:p>
      <w:pPr>
        <w:spacing w:after="0" w:line="173" w:lineRule="exact"/>
        <w:rPr>
          <w:rFonts w:ascii="Times New Roman" w:cs="Times New Roman" w:eastAsia="Times New Roman" w:hAnsi="Times New Roman"/>
          <w:sz w:val="17"/>
          <w:szCs w:val="17"/>
          <w:color w:val="auto"/>
        </w:rPr>
      </w:pPr>
    </w:p>
    <w:p>
      <w:pPr>
        <w:ind w:left="460" w:right="20" w:hanging="437"/>
        <w:spacing w:after="0" w:line="269" w:lineRule="auto"/>
        <w:tabs>
          <w:tab w:leader="none" w:pos="46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5" w:lineRule="exact"/>
        <w:rPr>
          <w:rFonts w:ascii="Times New Roman" w:cs="Times New Roman" w:eastAsia="Times New Roman" w:hAnsi="Times New Roman"/>
          <w:sz w:val="17"/>
          <w:szCs w:val="17"/>
          <w:color w:val="auto"/>
        </w:rPr>
      </w:pPr>
    </w:p>
    <w:p>
      <w:pPr>
        <w:ind w:left="460" w:right="20" w:hanging="437"/>
        <w:spacing w:after="0" w:line="285" w:lineRule="auto"/>
        <w:tabs>
          <w:tab w:leader="none" w:pos="46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2" w:lineRule="exact"/>
        <w:rPr>
          <w:rFonts w:ascii="Times New Roman" w:cs="Times New Roman" w:eastAsia="Times New Roman" w:hAnsi="Times New Roman"/>
          <w:sz w:val="17"/>
          <w:szCs w:val="17"/>
          <w:color w:val="auto"/>
        </w:rPr>
      </w:pPr>
    </w:p>
    <w:p>
      <w:pPr>
        <w:jc w:val="both"/>
        <w:ind w:left="460" w:right="220" w:hanging="437"/>
        <w:spacing w:after="0" w:line="239" w:lineRule="auto"/>
        <w:tabs>
          <w:tab w:leader="none" w:pos="46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Times New Roman" w:cs="Times New Roman" w:eastAsia="Times New Roman" w:hAnsi="Times New Roman"/>
          <w:sz w:val="17"/>
          <w:szCs w:val="17"/>
          <w:color w:val="auto"/>
        </w:rPr>
      </w:pPr>
    </w:p>
    <w:p>
      <w:pPr>
        <w:ind w:left="880" w:right="120" w:hanging="435"/>
        <w:spacing w:after="0" w:line="239" w:lineRule="auto"/>
        <w:tabs>
          <w:tab w:leader="none" w:pos="880"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1" w:lineRule="exact"/>
        <w:rPr>
          <w:rFonts w:ascii="Times New Roman" w:cs="Times New Roman" w:eastAsia="Times New Roman" w:hAnsi="Times New Roman"/>
          <w:sz w:val="17"/>
          <w:szCs w:val="17"/>
          <w:color w:val="auto"/>
        </w:rPr>
      </w:pPr>
    </w:p>
    <w:p>
      <w:pPr>
        <w:ind w:left="880" w:right="20" w:hanging="435"/>
        <w:spacing w:after="0" w:line="247" w:lineRule="auto"/>
        <w:tabs>
          <w:tab w:leader="none" w:pos="880"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7"/>
          <w:szCs w:val="17"/>
          <w:color w:val="auto"/>
        </w:rPr>
      </w:pPr>
    </w:p>
    <w:p>
      <w:pPr>
        <w:ind w:left="880" w:right="20" w:hanging="435"/>
        <w:spacing w:after="0" w:line="269" w:lineRule="auto"/>
        <w:tabs>
          <w:tab w:leader="none" w:pos="880"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8" w:lineRule="exact"/>
        <w:rPr>
          <w:rFonts w:ascii="Times New Roman" w:cs="Times New Roman" w:eastAsia="Times New Roman" w:hAnsi="Times New Roman"/>
          <w:sz w:val="17"/>
          <w:szCs w:val="17"/>
          <w:color w:val="auto"/>
        </w:rPr>
      </w:pPr>
    </w:p>
    <w:p>
      <w:pPr>
        <w:jc w:val="both"/>
        <w:ind w:left="880" w:right="20" w:hanging="435"/>
        <w:spacing w:after="0" w:line="255" w:lineRule="auto"/>
        <w:tabs>
          <w:tab w:leader="none" w:pos="880"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1" w:lineRule="exact"/>
        <w:rPr>
          <w:rFonts w:ascii="Times New Roman" w:cs="Times New Roman" w:eastAsia="Times New Roman" w:hAnsi="Times New Roman"/>
          <w:sz w:val="17"/>
          <w:szCs w:val="17"/>
          <w:color w:val="auto"/>
        </w:rPr>
      </w:pPr>
    </w:p>
    <w:p>
      <w:pPr>
        <w:ind w:left="460" w:right="20" w:hanging="437"/>
        <w:spacing w:after="0" w:line="285" w:lineRule="auto"/>
        <w:tabs>
          <w:tab w:leader="none" w:pos="46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2" w:lineRule="exact"/>
        <w:rPr>
          <w:rFonts w:ascii="Times New Roman" w:cs="Times New Roman" w:eastAsia="Times New Roman" w:hAnsi="Times New Roman"/>
          <w:sz w:val="17"/>
          <w:szCs w:val="17"/>
          <w:color w:val="auto"/>
        </w:rPr>
      </w:pPr>
    </w:p>
    <w:p>
      <w:pPr>
        <w:ind w:left="880" w:right="20" w:hanging="435"/>
        <w:spacing w:after="0" w:line="269" w:lineRule="auto"/>
        <w:tabs>
          <w:tab w:leader="none" w:pos="880"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8" w:lineRule="exact"/>
        <w:rPr>
          <w:rFonts w:ascii="Times New Roman" w:cs="Times New Roman" w:eastAsia="Times New Roman" w:hAnsi="Times New Roman"/>
          <w:sz w:val="17"/>
          <w:szCs w:val="17"/>
          <w:color w:val="auto"/>
        </w:rPr>
      </w:pPr>
    </w:p>
    <w:p>
      <w:pPr>
        <w:ind w:left="880" w:right="20" w:hanging="435"/>
        <w:spacing w:after="0" w:line="269" w:lineRule="auto"/>
        <w:tabs>
          <w:tab w:leader="none" w:pos="880"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August 19, 2025</w:t>
      </w:r>
    </w:p>
    <w:p>
      <w:pPr>
        <w:spacing w:after="0" w:line="24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b w:val="1"/>
          <w:bCs w:val="1"/>
          <w:i w:val="1"/>
          <w:iCs w:val="1"/>
          <w:color w:val="auto"/>
        </w:rPr>
        <w:t>/s/ Matthias Aydt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4283075</wp:posOffset>
            </wp:positionH>
            <wp:positionV relativeFrom="paragraph">
              <wp:posOffset>34290</wp:posOffset>
            </wp:positionV>
            <wp:extent cx="285559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5">
                      <a:extLst>
                        <a:ext uri="{28A0092B-C50C-407E-A947-70E740481C1C}"/>
                      </a:extLst>
                    </a:blip>
                    <a:srcRect/>
                    <a:stretch>
                      <a:fillRect/>
                    </a:stretch>
                  </pic:blipFill>
                  <pic:spPr bwMode="auto">
                    <a:xfrm>
                      <a:off x="0" y="0"/>
                      <a:ext cx="2855595" cy="8255"/>
                    </a:xfrm>
                    <a:prstGeom prst="rect">
                      <a:avLst/>
                    </a:prstGeom>
                    <a:noFill/>
                  </pic:spPr>
                </pic:pic>
              </a:graphicData>
            </a:graphic>
          </wp:anchor>
        </w:drawing>
      </w:r>
    </w:p>
    <w:p>
      <w:pPr>
        <w:spacing w:after="0" w:line="5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Matthias Aydt</w:t>
      </w:r>
    </w:p>
    <w:p>
      <w:pPr>
        <w:spacing w:after="0" w:line="4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Global Co-Chief Executive Officer</w:t>
      </w:r>
    </w:p>
    <w:p>
      <w:pPr>
        <w:spacing w:after="0" w:line="5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p>
      <w:pPr>
        <w:sectPr>
          <w:pgSz w:w="11900" w:h="16838" w:orient="portrait"/>
          <w:cols w:equalWidth="0" w:num="1">
            <w:col w:w="11240"/>
          </w:cols>
          <w:pgMar w:left="320" w:top="1385"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0" w:lineRule="exact"/>
        <w:rPr>
          <w:sz w:val="20"/>
          <w:szCs w:val="20"/>
          <w:color w:val="auto"/>
        </w:rPr>
      </w:pPr>
    </w:p>
    <w:p>
      <w:pPr>
        <w:jc w:val="center"/>
        <w:ind w:left="340" w:right="2260"/>
        <w:spacing w:after="0" w:line="258" w:lineRule="auto"/>
        <w:rPr>
          <w:sz w:val="20"/>
          <w:szCs w:val="20"/>
          <w:color w:val="auto"/>
        </w:rPr>
      </w:pPr>
      <w:r>
        <w:rPr>
          <w:rFonts w:ascii="Times New Roman" w:cs="Times New Roman" w:eastAsia="Times New Roman" w:hAnsi="Times New Roman"/>
          <w:sz w:val="17"/>
          <w:szCs w:val="17"/>
          <w:b w:val="1"/>
          <w:bCs w:val="1"/>
          <w:color w:val="auto"/>
        </w:rPr>
        <w:t>CERTIFICATION OF CHIEF FINANCIAL OFFICER PURSUANT TO RULE 13a-14(a) UNDER THE SECURITIES EXCHANGE ACT OF 1934, AS ADOPTED PURSUANT TO SECTION 302 OF THE SARBANES-OXLEY ACT OF 2002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 Koti Meka, certify that:</w:t>
      </w:r>
    </w:p>
    <w:p>
      <w:pPr>
        <w:spacing w:after="0" w:line="253" w:lineRule="exact"/>
        <w:rPr>
          <w:sz w:val="20"/>
          <w:szCs w:val="20"/>
          <w:color w:val="auto"/>
        </w:rPr>
      </w:pPr>
    </w:p>
    <w:p>
      <w:pPr>
        <w:ind w:left="460" w:hanging="437"/>
        <w:spacing w:after="0"/>
        <w:tabs>
          <w:tab w:leader="none" w:pos="46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Faraday Future Intelligent Electric Inc.;</w:t>
      </w:r>
    </w:p>
    <w:p>
      <w:pPr>
        <w:spacing w:after="0" w:line="173" w:lineRule="exact"/>
        <w:rPr>
          <w:rFonts w:ascii="Times New Roman" w:cs="Times New Roman" w:eastAsia="Times New Roman" w:hAnsi="Times New Roman"/>
          <w:sz w:val="17"/>
          <w:szCs w:val="17"/>
          <w:color w:val="auto"/>
        </w:rPr>
      </w:pPr>
    </w:p>
    <w:p>
      <w:pPr>
        <w:ind w:left="460" w:hanging="437"/>
        <w:spacing w:after="0" w:line="269" w:lineRule="auto"/>
        <w:tabs>
          <w:tab w:leader="none" w:pos="46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5" w:lineRule="exact"/>
        <w:rPr>
          <w:rFonts w:ascii="Times New Roman" w:cs="Times New Roman" w:eastAsia="Times New Roman" w:hAnsi="Times New Roman"/>
          <w:sz w:val="17"/>
          <w:szCs w:val="17"/>
          <w:color w:val="auto"/>
        </w:rPr>
      </w:pPr>
    </w:p>
    <w:p>
      <w:pPr>
        <w:ind w:left="460" w:hanging="437"/>
        <w:spacing w:after="0" w:line="285" w:lineRule="auto"/>
        <w:tabs>
          <w:tab w:leader="none" w:pos="46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2" w:lineRule="exact"/>
        <w:rPr>
          <w:rFonts w:ascii="Times New Roman" w:cs="Times New Roman" w:eastAsia="Times New Roman" w:hAnsi="Times New Roman"/>
          <w:sz w:val="17"/>
          <w:szCs w:val="17"/>
          <w:color w:val="auto"/>
        </w:rPr>
      </w:pPr>
    </w:p>
    <w:p>
      <w:pPr>
        <w:jc w:val="both"/>
        <w:ind w:left="460" w:right="200" w:hanging="437"/>
        <w:spacing w:after="0" w:line="239" w:lineRule="auto"/>
        <w:tabs>
          <w:tab w:leader="none" w:pos="46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Times New Roman" w:cs="Times New Roman" w:eastAsia="Times New Roman" w:hAnsi="Times New Roman"/>
          <w:sz w:val="17"/>
          <w:szCs w:val="17"/>
          <w:color w:val="auto"/>
        </w:rPr>
      </w:pPr>
    </w:p>
    <w:p>
      <w:pPr>
        <w:ind w:left="880" w:right="100" w:hanging="435"/>
        <w:spacing w:after="0" w:line="239" w:lineRule="auto"/>
        <w:tabs>
          <w:tab w:leader="none" w:pos="880"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1" w:lineRule="exact"/>
        <w:rPr>
          <w:rFonts w:ascii="Times New Roman" w:cs="Times New Roman" w:eastAsia="Times New Roman" w:hAnsi="Times New Roman"/>
          <w:sz w:val="17"/>
          <w:szCs w:val="17"/>
          <w:color w:val="auto"/>
        </w:rPr>
      </w:pPr>
    </w:p>
    <w:p>
      <w:pPr>
        <w:jc w:val="both"/>
        <w:ind w:left="880" w:hanging="435"/>
        <w:spacing w:after="0" w:line="264" w:lineRule="auto"/>
        <w:tabs>
          <w:tab w:leader="none" w:pos="880"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3" w:lineRule="exact"/>
        <w:rPr>
          <w:rFonts w:ascii="Times New Roman" w:cs="Times New Roman" w:eastAsia="Times New Roman" w:hAnsi="Times New Roman"/>
          <w:sz w:val="17"/>
          <w:szCs w:val="17"/>
          <w:color w:val="auto"/>
        </w:rPr>
      </w:pPr>
    </w:p>
    <w:p>
      <w:pPr>
        <w:ind w:left="880" w:hanging="435"/>
        <w:spacing w:after="0" w:line="269" w:lineRule="auto"/>
        <w:tabs>
          <w:tab w:leader="none" w:pos="880"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8" w:lineRule="exact"/>
        <w:rPr>
          <w:rFonts w:ascii="Times New Roman" w:cs="Times New Roman" w:eastAsia="Times New Roman" w:hAnsi="Times New Roman"/>
          <w:sz w:val="17"/>
          <w:szCs w:val="17"/>
          <w:color w:val="auto"/>
        </w:rPr>
      </w:pPr>
    </w:p>
    <w:p>
      <w:pPr>
        <w:jc w:val="both"/>
        <w:ind w:left="880" w:hanging="435"/>
        <w:spacing w:after="0" w:line="255" w:lineRule="auto"/>
        <w:tabs>
          <w:tab w:leader="none" w:pos="880"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1" w:lineRule="exact"/>
        <w:rPr>
          <w:rFonts w:ascii="Times New Roman" w:cs="Times New Roman" w:eastAsia="Times New Roman" w:hAnsi="Times New Roman"/>
          <w:sz w:val="17"/>
          <w:szCs w:val="17"/>
          <w:color w:val="auto"/>
        </w:rPr>
      </w:pPr>
    </w:p>
    <w:p>
      <w:pPr>
        <w:ind w:left="460" w:hanging="437"/>
        <w:spacing w:after="0" w:line="285" w:lineRule="auto"/>
        <w:tabs>
          <w:tab w:leader="none" w:pos="46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2" w:lineRule="exact"/>
        <w:rPr>
          <w:rFonts w:ascii="Times New Roman" w:cs="Times New Roman" w:eastAsia="Times New Roman" w:hAnsi="Times New Roman"/>
          <w:sz w:val="17"/>
          <w:szCs w:val="17"/>
          <w:color w:val="auto"/>
        </w:rPr>
      </w:pPr>
    </w:p>
    <w:p>
      <w:pPr>
        <w:ind w:left="880" w:hanging="435"/>
        <w:spacing w:after="0" w:line="269" w:lineRule="auto"/>
        <w:tabs>
          <w:tab w:leader="none" w:pos="880"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8" w:lineRule="exact"/>
        <w:rPr>
          <w:rFonts w:ascii="Times New Roman" w:cs="Times New Roman" w:eastAsia="Times New Roman" w:hAnsi="Times New Roman"/>
          <w:sz w:val="17"/>
          <w:szCs w:val="17"/>
          <w:color w:val="auto"/>
        </w:rPr>
      </w:pPr>
    </w:p>
    <w:p>
      <w:pPr>
        <w:ind w:left="880" w:hanging="435"/>
        <w:spacing w:after="0" w:line="269" w:lineRule="auto"/>
        <w:tabs>
          <w:tab w:leader="none" w:pos="880"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August 19, 2025</w:t>
      </w:r>
    </w:p>
    <w:p>
      <w:pPr>
        <w:spacing w:after="0" w:line="24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b w:val="1"/>
          <w:bCs w:val="1"/>
          <w:i w:val="1"/>
          <w:iCs w:val="1"/>
          <w:color w:val="auto"/>
        </w:rPr>
        <w:t>/s/ Koti Meka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4283075</wp:posOffset>
            </wp:positionH>
            <wp:positionV relativeFrom="paragraph">
              <wp:posOffset>34290</wp:posOffset>
            </wp:positionV>
            <wp:extent cx="285559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6">
                      <a:extLst>
                        <a:ext uri="{28A0092B-C50C-407E-A947-70E740481C1C}"/>
                      </a:extLst>
                    </a:blip>
                    <a:srcRect/>
                    <a:stretch>
                      <a:fillRect/>
                    </a:stretch>
                  </pic:blipFill>
                  <pic:spPr bwMode="auto">
                    <a:xfrm>
                      <a:off x="0" y="0"/>
                      <a:ext cx="2855595" cy="8255"/>
                    </a:xfrm>
                    <a:prstGeom prst="rect">
                      <a:avLst/>
                    </a:prstGeom>
                    <a:noFill/>
                  </pic:spPr>
                </pic:pic>
              </a:graphicData>
            </a:graphic>
          </wp:anchor>
        </w:drawing>
      </w:r>
    </w:p>
    <w:p>
      <w:pPr>
        <w:spacing w:after="0" w:line="5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Koti Meka</w:t>
      </w:r>
    </w:p>
    <w:p>
      <w:pPr>
        <w:spacing w:after="0" w:line="5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5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i w:val="1"/>
          <w:iCs w:val="1"/>
          <w:color w:val="auto"/>
        </w:rPr>
        <w:t>(Principal Financial and Accounting Officer)</w:t>
      </w:r>
    </w:p>
    <w:p>
      <w:pPr>
        <w:sectPr>
          <w:pgSz w:w="11900" w:h="16838" w:orient="portrait"/>
          <w:cols w:equalWidth="0" w:num="1">
            <w:col w:w="11220"/>
          </w:cols>
          <w:pgMar w:left="320" w:top="1385" w:right="3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connection with the Quarterly Report of Faraday Future Intelligent Electric Inc. (the “Company”) on Form 10-Q for the quarter ended June 30, 2025, as filed with the Securities and Exchange Commission on the date hereof (the “Report”), I, Matthias Aydt, Global Co-Chief Executive Officer of the Company, certify, pursuant to 18 U.S.C. Section 1350, as adopted pursuant to Section 906 of the Sarbanes-Oxley Act of 2002, to my knowledge, that:</w:t>
      </w:r>
    </w:p>
    <w:p>
      <w:pPr>
        <w:spacing w:after="0" w:line="232" w:lineRule="exact"/>
        <w:rPr>
          <w:sz w:val="20"/>
          <w:szCs w:val="20"/>
          <w:color w:val="auto"/>
        </w:rPr>
      </w:pPr>
    </w:p>
    <w:p>
      <w:pPr>
        <w:ind w:left="880" w:hanging="435"/>
        <w:spacing w:after="0"/>
        <w:tabs>
          <w:tab w:leader="none" w:pos="8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81" w:lineRule="exact"/>
        <w:rPr>
          <w:rFonts w:ascii="Times New Roman" w:cs="Times New Roman" w:eastAsia="Times New Roman" w:hAnsi="Times New Roman"/>
          <w:sz w:val="18"/>
          <w:szCs w:val="18"/>
          <w:color w:val="auto"/>
        </w:rPr>
      </w:pPr>
    </w:p>
    <w:p>
      <w:pPr>
        <w:ind w:left="880" w:right="20" w:hanging="435"/>
        <w:spacing w:after="0" w:line="269" w:lineRule="auto"/>
        <w:tabs>
          <w:tab w:leader="none" w:pos="8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and for the period covered by the Report.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19, 2025</w:t>
      </w:r>
    </w:p>
    <w:p>
      <w:pPr>
        <w:spacing w:after="0" w:line="25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i w:val="1"/>
          <w:iCs w:val="1"/>
          <w:color w:val="auto"/>
        </w:rPr>
        <w:t>/s/ Matthias Aydt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4283075</wp:posOffset>
            </wp:positionH>
            <wp:positionV relativeFrom="paragraph">
              <wp:posOffset>41910</wp:posOffset>
            </wp:positionV>
            <wp:extent cx="285559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7">
                      <a:extLst>
                        <a:ext uri="{28A0092B-C50C-407E-A947-70E740481C1C}"/>
                      </a:extLst>
                    </a:blip>
                    <a:srcRect/>
                    <a:stretch>
                      <a:fillRect/>
                    </a:stretch>
                  </pic:blipFill>
                  <pic:spPr bwMode="auto">
                    <a:xfrm>
                      <a:off x="0" y="0"/>
                      <a:ext cx="2855595" cy="8255"/>
                    </a:xfrm>
                    <a:prstGeom prst="rect">
                      <a:avLst/>
                    </a:prstGeom>
                    <a:noFill/>
                  </pic:spPr>
                </pic:pic>
              </a:graphicData>
            </a:graphic>
          </wp:anchor>
        </w:drawing>
      </w:r>
    </w:p>
    <w:p>
      <w:pPr>
        <w:spacing w:after="0" w:line="5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Matthias Aydt</w:t>
      </w:r>
    </w:p>
    <w:p>
      <w:pPr>
        <w:spacing w:after="0" w:line="5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Global Co-Chief Executive Officer</w:t>
      </w:r>
    </w:p>
    <w:p>
      <w:pPr>
        <w:spacing w:after="0" w:line="5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385"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connection with the Quarterly Report of Faraday Future Intelligent Electric Inc. (the “Company”) on Form 10-Q for the quarter ended June 30, 2025, as filed with the Securities and Exchange Commission on the date hereof (the “Report”), I, Koti Meka, Chief Financial Officer of the Company, certify, pursuant to 18 U.S.C. Section 1350, as adopted pursuant to Section 906 of the Sarbanes-Oxley Act of 2002, to my knowledge, that:</w:t>
      </w:r>
    </w:p>
    <w:p>
      <w:pPr>
        <w:spacing w:after="0" w:line="232" w:lineRule="exact"/>
        <w:rPr>
          <w:sz w:val="20"/>
          <w:szCs w:val="20"/>
          <w:color w:val="auto"/>
        </w:rPr>
      </w:pPr>
    </w:p>
    <w:p>
      <w:pPr>
        <w:ind w:left="880" w:hanging="435"/>
        <w:spacing w:after="0"/>
        <w:tabs>
          <w:tab w:leader="none" w:pos="8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81" w:lineRule="exact"/>
        <w:rPr>
          <w:rFonts w:ascii="Times New Roman" w:cs="Times New Roman" w:eastAsia="Times New Roman" w:hAnsi="Times New Roman"/>
          <w:sz w:val="18"/>
          <w:szCs w:val="18"/>
          <w:color w:val="auto"/>
        </w:rPr>
      </w:pPr>
    </w:p>
    <w:p>
      <w:pPr>
        <w:ind w:left="880" w:right="20" w:hanging="435"/>
        <w:spacing w:after="0" w:line="269" w:lineRule="auto"/>
        <w:tabs>
          <w:tab w:leader="none" w:pos="8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and for the period covered by the Report.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19, 2025</w:t>
      </w:r>
    </w:p>
    <w:p>
      <w:pPr>
        <w:spacing w:after="0" w:line="26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i w:val="1"/>
          <w:iCs w:val="1"/>
          <w:color w:val="auto"/>
        </w:rPr>
        <w:t>/s/ Koti Meka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4283075</wp:posOffset>
            </wp:positionH>
            <wp:positionV relativeFrom="paragraph">
              <wp:posOffset>33655</wp:posOffset>
            </wp:positionV>
            <wp:extent cx="285559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8">
                      <a:extLst>
                        <a:ext uri="{28A0092B-C50C-407E-A947-70E740481C1C}"/>
                      </a:extLst>
                    </a:blip>
                    <a:srcRect/>
                    <a:stretch>
                      <a:fillRect/>
                    </a:stretch>
                  </pic:blipFill>
                  <pic:spPr bwMode="auto">
                    <a:xfrm>
                      <a:off x="0" y="0"/>
                      <a:ext cx="2855595" cy="8255"/>
                    </a:xfrm>
                    <a:prstGeom prst="rect">
                      <a:avLst/>
                    </a:prstGeom>
                    <a:noFill/>
                  </pic:spPr>
                </pic:pic>
              </a:graphicData>
            </a:graphic>
          </wp:anchor>
        </w:drawing>
      </w:r>
    </w:p>
    <w:p>
      <w:pPr>
        <w:spacing w:after="0" w:line="5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Koti Meka</w:t>
      </w:r>
    </w:p>
    <w:p>
      <w:pPr>
        <w:spacing w:after="0" w:line="5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sectPr>
      <w:pgSz w:w="11900" w:h="16838" w:orient="portrait"/>
      <w:cols w:equalWidth="0" w:num="1">
        <w:col w:w="11240"/>
      </w:cols>
      <w:pgMar w:left="320" w:top="138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1."/>
      <w:numFmt w:val="decimal"/>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1)"/>
      <w:numFmt w:val="decimal"/>
      <w:start w:val="1"/>
    </w:lvl>
  </w:abstractNum>
  <w:abstractNum w:abstractNumId="5">
    <w:nsid w:val="5E884ADC"/>
    <w:multiLevelType w:val="hybridMultilevel"/>
    <w:lvl w:ilvl="0">
      <w:lvlJc w:val="left"/>
      <w:lvlText w:val="%1."/>
      <w:numFmt w:val="decimal"/>
      <w:start w:val="2"/>
    </w:lvl>
  </w:abstractNum>
  <w:abstractNum w:abstractNumId="6">
    <w:nsid w:val="51EAD36B"/>
    <w:multiLevelType w:val="hybridMultilevel"/>
    <w:lvl w:ilvl="0">
      <w:lvlJc w:val="left"/>
      <w:lvlText w:val="%1."/>
      <w:numFmt w:val="decimal"/>
      <w:start w:val="5"/>
    </w:lvl>
  </w:abstractNum>
  <w:abstractNum w:abstractNumId="7">
    <w:nsid w:val="2D517796"/>
    <w:multiLevelType w:val="hybridMultilevel"/>
    <w:lvl w:ilvl="0">
      <w:lvlJc w:val="left"/>
      <w:lvlText w:val="%1."/>
      <w:numFmt w:val="decimal"/>
      <w:start w:val="6"/>
    </w:lvl>
  </w:abstractNum>
  <w:abstractNum w:abstractNumId="8">
    <w:nsid w:val="580BD78F"/>
    <w:multiLevelType w:val="hybridMultilevel"/>
    <w:lvl w:ilvl="0">
      <w:lvlJc w:val="left"/>
      <w:lvlText w:val="%1."/>
      <w:numFmt w:val="decimal"/>
      <w:start w:val="7"/>
    </w:lvl>
  </w:abstractNum>
  <w:abstractNum w:abstractNumId="9">
    <w:nsid w:val="153EA438"/>
    <w:multiLevelType w:val="hybridMultilevel"/>
    <w:lvl w:ilvl="0">
      <w:lvlJc w:val="left"/>
      <w:lvlText w:val="(%1)"/>
      <w:numFmt w:val="lowerLetter"/>
      <w:start w:val="1"/>
    </w:lvl>
  </w:abstractNum>
  <w:abstractNum w:abstractNumId="10">
    <w:nsid w:val="3855585C"/>
    <w:multiLevelType w:val="hybridMultilevel"/>
    <w:lvl w:ilvl="0">
      <w:lvlJc w:val="left"/>
      <w:lvlText w:val="(%1)"/>
      <w:numFmt w:val="lowerLetter"/>
      <w:start w:val="1"/>
    </w:lvl>
  </w:abstractNum>
  <w:abstractNum w:abstractNumId="11">
    <w:nsid w:val="70A64E2A"/>
    <w:multiLevelType w:val="hybridMultilevel"/>
    <w:lvl w:ilvl="0">
      <w:lvlJc w:val="left"/>
      <w:lvlText w:val="(%1)"/>
      <w:numFmt w:val="lowerLetter"/>
      <w:start w:val="1"/>
    </w:lvl>
  </w:abstractNum>
  <w:abstractNum w:abstractNumId="12">
    <w:nsid w:val="6A2342EC"/>
    <w:multiLevelType w:val="hybridMultilevel"/>
    <w:lvl w:ilvl="0">
      <w:lvlJc w:val="left"/>
      <w:lvlText w:val="(%1)"/>
      <w:numFmt w:val="lowerLetter"/>
      <w:start w:val="6"/>
    </w:lvl>
  </w:abstractNum>
  <w:abstractNum w:abstractNumId="13">
    <w:nsid w:val="2A487CB0"/>
    <w:multiLevelType w:val="hybridMultilevel"/>
    <w:lvl w:ilvl="0">
      <w:lvlJc w:val="left"/>
      <w:lvlText w:val="(%1)"/>
      <w:numFmt w:val="lowerLetter"/>
      <w:start w:val="6"/>
    </w:lvl>
  </w:abstractNum>
  <w:abstractNum w:abstractNumId="14">
    <w:nsid w:val="1D4ED43B"/>
    <w:multiLevelType w:val="hybridMultilevel"/>
    <w:lvl w:ilvl="0">
      <w:lvlJc w:val="left"/>
      <w:lvlText w:val="(%1)"/>
      <w:numFmt w:val="lowerLetter"/>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1."/>
      <w:numFmt w:val="decimal"/>
      <w:start w:val="8"/>
    </w:lvl>
  </w:abstractNum>
  <w:abstractNum w:abstractNumId="19">
    <w:nsid w:val="4B588F54"/>
    <w:multiLevelType w:val="hybridMultilevel"/>
    <w:lvl w:ilvl="0">
      <w:lvlJc w:val="left"/>
      <w:lvlText w:val="(%1)"/>
      <w:numFmt w:val="decimal"/>
      <w:start w:val="1"/>
    </w:lvl>
  </w:abstractNum>
  <w:abstractNum w:abstractNumId="20">
    <w:nsid w:val="542289EC"/>
    <w:multiLevelType w:val="hybridMultilevel"/>
    <w:lvl w:ilvl="0">
      <w:lvlJc w:val="left"/>
      <w:lvlText w:val="(%1)"/>
      <w:numFmt w:val="decimal"/>
      <w:start w:val="1"/>
    </w:lvl>
  </w:abstractNum>
  <w:abstractNum w:abstractNumId="21">
    <w:nsid w:val="6DE91B18"/>
    <w:multiLevelType w:val="hybridMultilevel"/>
    <w:lvl w:ilvl="0">
      <w:lvlJc w:val="left"/>
      <w:lvlText w:val="(%1)"/>
      <w:numFmt w:val="lowerLetter"/>
      <w:start w:val="1"/>
    </w:lvl>
  </w:abstractNum>
  <w:abstractNum w:abstractNumId="22">
    <w:nsid w:val="38437FDB"/>
    <w:multiLevelType w:val="hybridMultilevel"/>
    <w:lvl w:ilvl="0">
      <w:lvlJc w:val="left"/>
      <w:lvlText w:val="(%1)"/>
      <w:numFmt w:val="lowerLetter"/>
      <w:start w:val="4"/>
    </w:lvl>
  </w:abstractNum>
  <w:abstractNum w:abstractNumId="23">
    <w:nsid w:val="7644A45C"/>
    <w:multiLevelType w:val="hybridMultilevel"/>
    <w:lvl w:ilvl="0">
      <w:lvlJc w:val="left"/>
      <w:lvlText w:val="(%1)"/>
      <w:numFmt w:val="lowerLetter"/>
      <w:start w:val="1"/>
    </w:lvl>
  </w:abstractNum>
  <w:abstractNum w:abstractNumId="24">
    <w:nsid w:val="32FFF902"/>
    <w:multiLevelType w:val="hybridMultilevel"/>
    <w:lvl w:ilvl="0">
      <w:lvlJc w:val="left"/>
      <w:lvlText w:val="(%1)"/>
      <w:numFmt w:val="lowerLetter"/>
      <w:start w:val="1"/>
    </w:lvl>
  </w:abstractNum>
  <w:abstractNum w:abstractNumId="25">
    <w:nsid w:val="684A481A"/>
    <w:multiLevelType w:val="hybridMultilevel"/>
    <w:lvl w:ilvl="0">
      <w:lvlJc w:val="left"/>
      <w:lvlText w:val="(%1)"/>
      <w:numFmt w:val="lowerLetter"/>
      <w:start w:val="7"/>
    </w:lvl>
  </w:abstractNum>
  <w:abstractNum w:abstractNumId="26">
    <w:nsid w:val="579478FE"/>
    <w:multiLevelType w:val="hybridMultilevel"/>
    <w:lvl w:ilvl="0">
      <w:lvlJc w:val="left"/>
      <w:lvlText w:val="(%1)"/>
      <w:numFmt w:val="lowerLetter"/>
      <w:start w:val="1"/>
    </w:lvl>
  </w:abstractNum>
  <w:abstractNum w:abstractNumId="27">
    <w:nsid w:val="749ABB43"/>
    <w:multiLevelType w:val="hybridMultilevel"/>
    <w:lvl w:ilvl="0">
      <w:lvlJc w:val="left"/>
      <w:lvlText w:val="%1"/>
      <w:numFmt w:val="upperLetter"/>
      <w:start w:val="32"/>
    </w:lvl>
    <w:lvl w:ilvl="1">
      <w:lvlJc w:val="left"/>
      <w:lvlText w:val="%2"/>
      <w:numFmt w:val="upperLetter"/>
      <w:start w:val="1"/>
    </w:lvl>
  </w:abstractNum>
  <w:abstractNum w:abstractNumId="28">
    <w:nsid w:val="3DC240FB"/>
    <w:multiLevelType w:val="hybridMultilevel"/>
    <w:lvl w:ilvl="0">
      <w:lvlJc w:val="left"/>
      <w:lvlText w:val="•"/>
      <w:numFmt w:val="bullet"/>
      <w:start w:val="1"/>
    </w:lvl>
  </w:abstractNum>
  <w:abstractNum w:abstractNumId="29">
    <w:nsid w:val="1BA026FA"/>
    <w:multiLevelType w:val="hybridMultilevel"/>
    <w:lvl w:ilvl="0">
      <w:lvlJc w:val="left"/>
      <w:lvlText w:val="%1."/>
      <w:numFmt w:val="decimal"/>
      <w:start w:val="9"/>
    </w:lvl>
  </w:abstractNum>
  <w:abstractNum w:abstractNumId="30">
    <w:nsid w:val="79A1DEAA"/>
    <w:multiLevelType w:val="hybridMultilevel"/>
    <w:lvl w:ilvl="0">
      <w:lvlJc w:val="left"/>
      <w:lvlText w:val="%1."/>
      <w:numFmt w:val="decimal"/>
      <w:start w:val="10"/>
    </w:lvl>
  </w:abstractNum>
  <w:abstractNum w:abstractNumId="31">
    <w:nsid w:val="75C6C33A"/>
    <w:multiLevelType w:val="hybridMultilevel"/>
    <w:lvl w:ilvl="0">
      <w:lvlJc w:val="left"/>
      <w:lvlText w:val="%1."/>
      <w:numFmt w:val="decimal"/>
      <w:start w:val="11"/>
    </w:lvl>
  </w:abstractNum>
  <w:abstractNum w:abstractNumId="32">
    <w:nsid w:val="12E685FB"/>
    <w:multiLevelType w:val="hybridMultilevel"/>
    <w:lvl w:ilvl="0">
      <w:lvlJc w:val="left"/>
      <w:lvlText w:val="•"/>
      <w:numFmt w:val="bullet"/>
      <w:start w:val="1"/>
    </w:lvl>
  </w:abstractNum>
  <w:abstractNum w:abstractNumId="33">
    <w:nsid w:val="70C6A529"/>
    <w:multiLevelType w:val="hybridMultilevel"/>
    <w:lvl w:ilvl="0">
      <w:lvlJc w:val="left"/>
      <w:lvlText w:val="•"/>
      <w:numFmt w:val="bullet"/>
      <w:start w:val="1"/>
    </w:lvl>
  </w:abstractNum>
  <w:abstractNum w:abstractNumId="34">
    <w:nsid w:val="520EEDD1"/>
    <w:multiLevelType w:val="hybridMultilevel"/>
    <w:lvl w:ilvl="0">
      <w:lvlJc w:val="left"/>
      <w:lvlText w:val="•"/>
      <w:numFmt w:val="bullet"/>
      <w:start w:val="1"/>
    </w:lvl>
  </w:abstractNum>
  <w:abstractNum w:abstractNumId="35">
    <w:nsid w:val="374A3FE6"/>
    <w:multiLevelType w:val="hybridMultilevel"/>
    <w:lvl w:ilvl="0">
      <w:lvlJc w:val="left"/>
      <w:lvlText w:val="%1."/>
      <w:numFmt w:val="decimal"/>
      <w:start w:val="12"/>
    </w:lvl>
  </w:abstractNum>
  <w:abstractNum w:abstractNumId="36">
    <w:nsid w:val="4F4EF005"/>
    <w:multiLevelType w:val="hybridMultilevel"/>
    <w:lvl w:ilvl="0">
      <w:lvlJc w:val="left"/>
      <w:lvlText w:val="%1."/>
      <w:numFmt w:val="decimal"/>
      <w:start w:val="13"/>
    </w:lvl>
  </w:abstractNum>
  <w:abstractNum w:abstractNumId="37">
    <w:nsid w:val="23F9C13C"/>
    <w:multiLevelType w:val="hybridMultilevel"/>
    <w:lvl w:ilvl="0">
      <w:lvlJc w:val="left"/>
      <w:lvlText w:val="•"/>
      <w:numFmt w:val="bullet"/>
      <w:start w:val="1"/>
    </w:lvl>
  </w:abstractNum>
  <w:abstractNum w:abstractNumId="38">
    <w:nsid w:val="649BB77C"/>
    <w:multiLevelType w:val="hybridMultilevel"/>
    <w:lvl w:ilvl="0">
      <w:lvlJc w:val="left"/>
      <w:lvlText w:val="%1."/>
      <w:numFmt w:val="decimal"/>
      <w:start w:val="14"/>
    </w:lvl>
  </w:abstractNum>
  <w:abstractNum w:abstractNumId="39">
    <w:nsid w:val="275AC794"/>
    <w:multiLevelType w:val="hybridMultilevel"/>
    <w:lvl w:ilvl="0">
      <w:lvlJc w:val="left"/>
      <w:lvlText w:val="1"/>
      <w:numFmt w:val="bullet"/>
      <w:start w:val="1"/>
    </w:lvl>
  </w:abstractNum>
  <w:abstractNum w:abstractNumId="40">
    <w:nsid w:val="39386575"/>
    <w:multiLevelType w:val="hybridMultilevel"/>
    <w:lvl w:ilvl="0">
      <w:lvlJc w:val="left"/>
      <w:lvlText w:val="1"/>
      <w:numFmt w:val="bullet"/>
      <w:start w:val="1"/>
    </w:lvl>
  </w:abstractNum>
  <w:abstractNum w:abstractNumId="41">
    <w:nsid w:val="1CF10FD8"/>
    <w:multiLevelType w:val="hybridMultilevel"/>
    <w:lvl w:ilvl="0">
      <w:lvlJc w:val="left"/>
      <w:lvlText w:val="1"/>
      <w:numFmt w:val="bullet"/>
      <w:start w:val="1"/>
    </w:lvl>
  </w:abstractNum>
  <w:abstractNum w:abstractNumId="42">
    <w:nsid w:val="180115BE"/>
    <w:multiLevelType w:val="hybridMultilevel"/>
    <w:lvl w:ilvl="0">
      <w:lvlJc w:val="left"/>
      <w:lvlText w:val="2"/>
      <w:numFmt w:val="bullet"/>
      <w:start w:val="1"/>
    </w:lvl>
  </w:abstractNum>
  <w:abstractNum w:abstractNumId="43">
    <w:nsid w:val="235BA861"/>
    <w:multiLevelType w:val="hybridMultilevel"/>
    <w:lvl w:ilvl="0">
      <w:lvlJc w:val="left"/>
      <w:lvlText w:val="3"/>
      <w:numFmt w:val="bullet"/>
      <w:start w:val="1"/>
    </w:lvl>
  </w:abstractNum>
  <w:abstractNum w:abstractNumId="44">
    <w:nsid w:val="47398C89"/>
    <w:multiLevelType w:val="hybridMultilevel"/>
    <w:lvl w:ilvl="0">
      <w:lvlJc w:val="left"/>
      <w:lvlText w:val="4"/>
      <w:numFmt w:val="bullet"/>
      <w:start w:val="1"/>
    </w:lvl>
  </w:abstractNum>
  <w:abstractNum w:abstractNumId="45">
    <w:nsid w:val="354FE9F9"/>
    <w:multiLevelType w:val="hybridMultilevel"/>
    <w:lvl w:ilvl="0">
      <w:lvlJc w:val="left"/>
      <w:lvlText w:val="%1."/>
      <w:numFmt w:val="decimal"/>
      <w:start w:val="15"/>
    </w:lvl>
  </w:abstractNum>
  <w:abstractNum w:abstractNumId="46">
    <w:nsid w:val="15B5AF5C"/>
    <w:multiLevelType w:val="hybridMultilevel"/>
    <w:lvl w:ilvl="0">
      <w:lvlJc w:val="left"/>
      <w:lvlText w:val="%1."/>
      <w:numFmt w:val="decimal"/>
      <w:start w:val="16"/>
    </w:lvl>
  </w:abstractNum>
  <w:abstractNum w:abstractNumId="47">
    <w:nsid w:val="741226BB"/>
    <w:multiLevelType w:val="hybridMultilevel"/>
    <w:lvl w:ilvl="0">
      <w:lvlJc w:val="left"/>
      <w:lvlText w:val="•"/>
      <w:numFmt w:val="bullet"/>
      <w:start w:val="1"/>
    </w:lvl>
  </w:abstractNum>
  <w:abstractNum w:abstractNumId="48">
    <w:nsid w:val="D34B6A8"/>
    <w:multiLevelType w:val="hybridMultilevel"/>
    <w:lvl w:ilvl="0">
      <w:lvlJc w:val="left"/>
      <w:lvlText w:val="•"/>
      <w:numFmt w:val="bullet"/>
      <w:start w:val="1"/>
    </w:lvl>
  </w:abstractNum>
  <w:abstractNum w:abstractNumId="49">
    <w:nsid w:val="10233C99"/>
    <w:multiLevelType w:val="hybridMultilevel"/>
    <w:lvl w:ilvl="0">
      <w:lvlJc w:val="left"/>
      <w:lvlText w:val="•"/>
      <w:numFmt w:val="bullet"/>
      <w:start w:val="1"/>
    </w:lvl>
  </w:abstractNum>
  <w:abstractNum w:abstractNumId="50">
    <w:nsid w:val="3F6AB60F"/>
    <w:multiLevelType w:val="hybridMultilevel"/>
    <w:lvl w:ilvl="0">
      <w:lvlJc w:val="left"/>
      <w:lvlText w:val="•"/>
      <w:numFmt w:val="bullet"/>
      <w:start w:val="1"/>
    </w:lvl>
  </w:abstractNum>
  <w:abstractNum w:abstractNumId="51">
    <w:nsid w:val="61574095"/>
    <w:multiLevelType w:val="hybridMultilevel"/>
    <w:lvl w:ilvl="0">
      <w:lvlJc w:val="left"/>
      <w:lvlText w:val="•"/>
      <w:numFmt w:val="bullet"/>
      <w:start w:val="1"/>
    </w:lvl>
  </w:abstractNum>
  <w:abstractNum w:abstractNumId="52">
    <w:nsid w:val="7E0C57B1"/>
    <w:multiLevelType w:val="hybridMultilevel"/>
    <w:lvl w:ilvl="0">
      <w:lvlJc w:val="left"/>
      <w:lvlText w:val="•"/>
      <w:numFmt w:val="bullet"/>
      <w:start w:val="1"/>
    </w:lvl>
  </w:abstractNum>
  <w:abstractNum w:abstractNumId="53">
    <w:nsid w:val="77AE35EB"/>
    <w:multiLevelType w:val="hybridMultilevel"/>
    <w:lvl w:ilvl="0">
      <w:lvlJc w:val="left"/>
      <w:lvlText w:val="•"/>
      <w:numFmt w:val="bullet"/>
      <w:start w:val="1"/>
    </w:lvl>
  </w:abstractNum>
  <w:abstractNum w:abstractNumId="54">
    <w:nsid w:val="579BE4F1"/>
    <w:multiLevelType w:val="hybridMultilevel"/>
    <w:lvl w:ilvl="0">
      <w:lvlJc w:val="left"/>
      <w:lvlText w:val="•"/>
      <w:numFmt w:val="bullet"/>
      <w:start w:val="1"/>
    </w:lvl>
  </w:abstractNum>
  <w:abstractNum w:abstractNumId="55">
    <w:nsid w:val="310C50B3"/>
    <w:multiLevelType w:val="hybridMultilevel"/>
    <w:lvl w:ilvl="0">
      <w:lvlJc w:val="left"/>
      <w:lvlText w:val="•"/>
      <w:numFmt w:val="bullet"/>
      <w:start w:val="1"/>
    </w:lvl>
  </w:abstractNum>
  <w:abstractNum w:abstractNumId="56">
    <w:nsid w:val="5FF87E05"/>
    <w:multiLevelType w:val="hybridMultilevel"/>
    <w:lvl w:ilvl="0">
      <w:lvlJc w:val="left"/>
      <w:lvlText w:val="•"/>
      <w:numFmt w:val="bullet"/>
      <w:start w:val="1"/>
    </w:lvl>
  </w:abstractNum>
  <w:abstractNum w:abstractNumId="57">
    <w:nsid w:val="2F305DEF"/>
    <w:multiLevelType w:val="hybridMultilevel"/>
    <w:lvl w:ilvl="0">
      <w:lvlJc w:val="left"/>
      <w:lvlText w:val="•"/>
      <w:numFmt w:val="bullet"/>
      <w:start w:val="1"/>
    </w:lvl>
  </w:abstractNum>
  <w:abstractNum w:abstractNumId="58">
    <w:nsid w:val="25A70BF7"/>
    <w:multiLevelType w:val="hybridMultilevel"/>
    <w:lvl w:ilvl="0">
      <w:lvlJc w:val="left"/>
      <w:lvlText w:val="•"/>
      <w:numFmt w:val="bullet"/>
      <w:start w:val="1"/>
    </w:lvl>
  </w:abstractNum>
  <w:abstractNum w:abstractNumId="59">
    <w:nsid w:val="1DBABF00"/>
    <w:multiLevelType w:val="hybridMultilevel"/>
    <w:lvl w:ilvl="0">
      <w:lvlJc w:val="left"/>
      <w:lvlText w:val="(%1)"/>
      <w:numFmt w:val="lowerRoman"/>
      <w:start w:val="1"/>
    </w:lvl>
  </w:abstractNum>
  <w:abstractNum w:abstractNumId="60">
    <w:nsid w:val="4AD084E9"/>
    <w:multiLevelType w:val="hybridMultilevel"/>
    <w:lvl w:ilvl="0">
      <w:lvlJc w:val="left"/>
      <w:lvlText w:val="•"/>
      <w:numFmt w:val="bullet"/>
      <w:start w:val="1"/>
    </w:lvl>
  </w:abstractNum>
  <w:abstractNum w:abstractNumId="61">
    <w:nsid w:val="1F48EAA1"/>
    <w:multiLevelType w:val="hybridMultilevel"/>
    <w:lvl w:ilvl="0">
      <w:lvlJc w:val="left"/>
      <w:lvlText w:val="•"/>
      <w:numFmt w:val="bullet"/>
      <w:start w:val="1"/>
    </w:lvl>
  </w:abstractNum>
  <w:abstractNum w:abstractNumId="62">
    <w:nsid w:val="1381823A"/>
    <w:multiLevelType w:val="hybridMultilevel"/>
    <w:lvl w:ilvl="0">
      <w:lvlJc w:val="left"/>
      <w:lvlText w:val="•"/>
      <w:numFmt w:val="bullet"/>
      <w:start w:val="1"/>
    </w:lvl>
  </w:abstractNum>
  <w:abstractNum w:abstractNumId="63">
    <w:nsid w:val="5DB70AE5"/>
    <w:multiLevelType w:val="hybridMultilevel"/>
    <w:lvl w:ilvl="0">
      <w:lvlJc w:val="left"/>
      <w:lvlText w:val="•"/>
      <w:numFmt w:val="bullet"/>
      <w:start w:val="1"/>
    </w:lvl>
  </w:abstractNum>
  <w:abstractNum w:abstractNumId="64">
    <w:nsid w:val="100F8FCA"/>
    <w:multiLevelType w:val="hybridMultilevel"/>
    <w:lvl w:ilvl="0">
      <w:lvlJc w:val="left"/>
      <w:lvlText w:val="•"/>
      <w:numFmt w:val="bullet"/>
      <w:start w:val="1"/>
    </w:lvl>
  </w:abstractNum>
  <w:abstractNum w:abstractNumId="65">
    <w:nsid w:val="6590700B"/>
    <w:multiLevelType w:val="hybridMultilevel"/>
    <w:lvl w:ilvl="0">
      <w:lvlJc w:val="left"/>
      <w:lvlText w:val="•"/>
      <w:numFmt w:val="bullet"/>
      <w:start w:val="1"/>
    </w:lvl>
  </w:abstractNum>
  <w:abstractNum w:abstractNumId="66">
    <w:nsid w:val="15014ACB"/>
    <w:multiLevelType w:val="hybridMultilevel"/>
    <w:lvl w:ilvl="0">
      <w:lvlJc w:val="left"/>
      <w:lvlText w:val="%1"/>
      <w:numFmt w:val="decimal"/>
      <w:start w:val="104"/>
    </w:lvl>
  </w:abstractNum>
  <w:abstractNum w:abstractNumId="67">
    <w:nsid w:val="5F5E7FD0"/>
    <w:multiLevelType w:val="hybridMultilevel"/>
    <w:lvl w:ilvl="0">
      <w:lvlJc w:val="left"/>
      <w:lvlText w:val="*"/>
      <w:numFmt w:val="bullet"/>
      <w:start w:val="1"/>
    </w:lvl>
  </w:abstractNum>
  <w:abstractNum w:abstractNumId="68">
    <w:nsid w:val="98A3148"/>
    <w:multiLevelType w:val="hybridMultilevel"/>
    <w:lvl w:ilvl="0">
      <w:lvlJc w:val="left"/>
      <w:lvlText w:val="%1."/>
      <w:numFmt w:val="decimal"/>
      <w:start w:val="1"/>
    </w:lvl>
    <w:lvl w:ilvl="1">
      <w:lvlJc w:val="left"/>
      <w:lvlText w:val="%2)"/>
      <w:numFmt w:val="lowerLetter"/>
      <w:start w:val="1"/>
    </w:lvl>
  </w:abstractNum>
  <w:abstractNum w:abstractNumId="69">
    <w:nsid w:val="799D0247"/>
    <w:multiLevelType w:val="hybridMultilevel"/>
    <w:lvl w:ilvl="0">
      <w:lvlJc w:val="left"/>
      <w:lvlText w:val="%1."/>
      <w:numFmt w:val="decimal"/>
      <w:start w:val="1"/>
    </w:lvl>
    <w:lvl w:ilvl="1">
      <w:lvlJc w:val="left"/>
      <w:lvlText w:val="%2)"/>
      <w:numFmt w:val="lowerLetter"/>
      <w:start w:val="1"/>
    </w:lvl>
  </w:abstractNum>
  <w:abstractNum w:abstractNumId="70">
    <w:nsid w:val="6B94764"/>
    <w:multiLevelType w:val="hybridMultilevel"/>
    <w:lvl w:ilvl="0">
      <w:lvlJc w:val="left"/>
      <w:lvlText w:val="%1."/>
      <w:numFmt w:val="decimal"/>
      <w:start w:val="1"/>
    </w:lvl>
  </w:abstractNum>
  <w:abstractNum w:abstractNumId="71">
    <w:nsid w:val="42C296B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53" Type="http://schemas.openxmlformats.org/officeDocument/2006/relationships/image" Target="media/image121.png"/><Relationship Id="rId162" Type="http://schemas.openxmlformats.org/officeDocument/2006/relationships/image" Target="media/image122.png"/><Relationship Id="rId163" Type="http://schemas.openxmlformats.org/officeDocument/2006/relationships/image" Target="media/image123.png"/><Relationship Id="rId164" Type="http://schemas.openxmlformats.org/officeDocument/2006/relationships/image" Target="media/image124.png"/><Relationship Id="rId165" Type="http://schemas.openxmlformats.org/officeDocument/2006/relationships/image" Target="media/image125.png"/><Relationship Id="rId166" Type="http://schemas.openxmlformats.org/officeDocument/2006/relationships/image" Target="media/image126.png"/><Relationship Id="rId167" Type="http://schemas.openxmlformats.org/officeDocument/2006/relationships/image" Target="media/image127.png"/><Relationship Id="rId168" Type="http://schemas.openxmlformats.org/officeDocument/2006/relationships/image" Target="media/image128.png"/><Relationship Id="rId128" Type="http://schemas.openxmlformats.org/officeDocument/2006/relationships/hyperlink" Target="https://www.sec.gov/Archives/edgar/data/1805521/000121390024010694/ea192788ex3-1_faraday.htm" TargetMode="External"/><Relationship Id="rId129" Type="http://schemas.openxmlformats.org/officeDocument/2006/relationships/hyperlink" Target="https://www.sec.gov/Archives/edgar/data/0001805521/000121390024016665/ea0200677ex3-1_faraday.htm" TargetMode="External"/><Relationship Id="rId130" Type="http://schemas.openxmlformats.org/officeDocument/2006/relationships/hyperlink" Target="https://www.sec.gov/Archives/edgar/data/1805521/000121390024064185/ea021039501ex3-2_faraday.htm" TargetMode="External"/><Relationship Id="rId131" Type="http://schemas.openxmlformats.org/officeDocument/2006/relationships/hyperlink" Target="https://www.sec.gov/Archives/edgar/data/1805521/000121390024064185/ea021039501ex3-1_faraday.htm" TargetMode="External"/><Relationship Id="rId132" Type="http://schemas.openxmlformats.org/officeDocument/2006/relationships/hyperlink" Target="https://www.sec.gov/ix?doc=/Archives/edgar/data/1805521/000121390024069327/ea0211502-8k_faraday.htm" TargetMode="External"/><Relationship Id="rId133" Type="http://schemas.openxmlformats.org/officeDocument/2006/relationships/hyperlink" Target="https://www.sec.gov/Archives/edgar/data/0001805521/000121390023049711/ea180273ex3-2_faraday.htm" TargetMode="External"/><Relationship Id="rId134" Type="http://schemas.openxmlformats.org/officeDocument/2006/relationships/hyperlink" Target="https://www.sec.gov/Archives/edgar/data/1805521/000121390025008535/ea022922301ex3-1_faraday.htm" TargetMode="External"/><Relationship Id="rId135" Type="http://schemas.openxmlformats.org/officeDocument/2006/relationships/hyperlink" Target="https://www.sec.gov/Archives/edgar/data/1805521/000121390025022390/ea023388401ex3-1_faraday.htm" TargetMode="External"/><Relationship Id="rId136" Type="http://schemas.openxmlformats.org/officeDocument/2006/relationships/hyperlink" Target="https://www.sec.gov/Archives/edgar/data/1805521/000121390025022390/ea023388401ex3-2_faraday.htm" TargetMode="External"/><Relationship Id="rId137" Type="http://schemas.openxmlformats.org/officeDocument/2006/relationships/hyperlink" Target="https://www.sec.gov/Archives/edgar/data/1805521/000101376225001636/ea023373601ex3-1_faraday.htm" TargetMode="External"/><Relationship Id="rId138" Type="http://schemas.openxmlformats.org/officeDocument/2006/relationships/hyperlink" Target="https://www.sec.gov/Archives/edgar/data/1805521/000121390025030369/ea023763601ex3-1_faraday.htm" TargetMode="External"/><Relationship Id="rId139" Type="http://schemas.openxmlformats.org/officeDocument/2006/relationships/hyperlink" Target="https://www.sec.gov/Archives/edgar/data/1805521/000121390025030369/ea023763601ex3-2_faraday.htm" TargetMode="External"/><Relationship Id="rId140" Type="http://schemas.openxmlformats.org/officeDocument/2006/relationships/hyperlink" Target="https://www.sec.gov/Archives/edgar/data/1805521/000121390025033425/ea023881601ex3-1_faraday.htm" TargetMode="External"/><Relationship Id="rId141" Type="http://schemas.openxmlformats.org/officeDocument/2006/relationships/hyperlink" Target="https://www.sec.gov/Archives/edgar/data/1805521/000121390025049008/ea024379001ex3-1_faraday.htm" TargetMode="External"/><Relationship Id="rId142" Type="http://schemas.openxmlformats.org/officeDocument/2006/relationships/hyperlink" Target="https://www.sec.gov/Archives/edgar/data/1805521/000121390025049008/ea024379001ex3-2_faraday.htm" TargetMode="External"/><Relationship Id="rId143" Type="http://schemas.openxmlformats.org/officeDocument/2006/relationships/hyperlink" Target="https://www.sec.gov/Archives/edgar/data/1805521/000121390025073692/ea025241001ex3-1_faraday.htm" TargetMode="External"/><Relationship Id="rId144" Type="http://schemas.openxmlformats.org/officeDocument/2006/relationships/hyperlink" Target="https://www.sec.gov/Archives/edgar/data/1805521/000101376225001636/ea023373601ex4-1_faraday.htm" TargetMode="External"/><Relationship Id="rId145" Type="http://schemas.openxmlformats.org/officeDocument/2006/relationships/hyperlink" Target="https://www.sec.gov/Archives/edgar/data/1805521/000101376225001636/ea023373601ex4-2_faraday.htm" TargetMode="External"/><Relationship Id="rId146" Type="http://schemas.openxmlformats.org/officeDocument/2006/relationships/hyperlink" Target="https://www.sec.gov/Archives/edgar/data/1805521/000101376225001636/ea023373601ex4-3_faraday.htm" TargetMode="External"/><Relationship Id="rId147" Type="http://schemas.openxmlformats.org/officeDocument/2006/relationships/hyperlink" Target="https://www.sec.gov/Archives/edgar/data/1805521/000101376225001636/ea023373601ex4-5_faraday.htm" TargetMode="External"/><Relationship Id="rId148" Type="http://schemas.openxmlformats.org/officeDocument/2006/relationships/hyperlink" Target="https://www.sec.gov/Archives/edgar/data/1805521/000121390025064478/ea024884901ex4-1_faraday.htm" TargetMode="External"/><Relationship Id="rId149" Type="http://schemas.openxmlformats.org/officeDocument/2006/relationships/hyperlink" Target="https://www.sec.gov/Archives/edgar/data/1805521/000121390025064478/ea024884901ex4-2_faraday.htm" TargetMode="External"/><Relationship Id="rId150" Type="http://schemas.openxmlformats.org/officeDocument/2006/relationships/hyperlink" Target="https://www.sec.gov/Archives/edgar/data/1805521/000121390025008535/ea022922301ex10-1_faraday.htm" TargetMode="External"/><Relationship Id="rId151" Type="http://schemas.openxmlformats.org/officeDocument/2006/relationships/hyperlink" Target="https://www.sec.gov/Archives/edgar/data/1805521/000121390025008535/ea022922301ex10-2_faraday.htm" TargetMode="External"/><Relationship Id="rId152" Type="http://schemas.openxmlformats.org/officeDocument/2006/relationships/hyperlink" Target="https://www.sec.gov/Archives/edgar/data/1805521/000121390025008535/ea022922301ex10-3_faraday.htm" TargetMode="External"/><Relationship Id="rId154" Type="http://schemas.openxmlformats.org/officeDocument/2006/relationships/hyperlink" Target="https://www.sec.gov/Archives/edgar/data/1805521/000101376225001636/ea023373601ex10-1_faraday.htm" TargetMode="External"/><Relationship Id="rId155" Type="http://schemas.openxmlformats.org/officeDocument/2006/relationships/hyperlink" Target="https://www.sec.gov/Archives/edgar/data/1805521/000162828025024006/ex105offerletter-jerrywang.htm" TargetMode="External"/><Relationship Id="rId156" Type="http://schemas.openxmlformats.org/officeDocument/2006/relationships/hyperlink" Target="https://www.sec.gov/Archives/edgar/data/1805521/000101376225001636/ea023373601ex10-2_faraday.htm" TargetMode="External"/><Relationship Id="rId157" Type="http://schemas.openxmlformats.org/officeDocument/2006/relationships/hyperlink" Target="https://www.sec.gov/Archives/edgar/data/1805521/000121390025033425/ea023881601ex10-1_faraday.htm" TargetMode="External"/><Relationship Id="rId158" Type="http://schemas.openxmlformats.org/officeDocument/2006/relationships/hyperlink" Target="https://www.sec.gov/Archives/edgar/data/1805521/000121390025035206/ea023951301ex10-1_faraday.htm" TargetMode="External"/><Relationship Id="rId159" Type="http://schemas.openxmlformats.org/officeDocument/2006/relationships/hyperlink" Target="https://www.sec.gov/Archives/edgar/data/1805521/000121390025044437/ea024219901ex10-1_faraday.htm" TargetMode="External"/><Relationship Id="rId160" Type="http://schemas.openxmlformats.org/officeDocument/2006/relationships/hyperlink" Target="https://www.sec.gov/Archives/edgar/data/1805521/000121390025064478/ea024884901ex10-1_faraday.htm" TargetMode="External"/><Relationship Id="rId161" Type="http://schemas.openxmlformats.org/officeDocument/2006/relationships/hyperlink" Target="https://www.sec.gov/Archives/edgar/data/1805521/000121390025073692/ea025241001ex10-1_farada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2025-08-19T15:48:16Z</dcterms:created>
  <dcterms:modified xsi:type="dcterms:W3CDTF">2025-08-19T15:48:16Z</dcterms:modified>
</cp:coreProperties>
</file>