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c64bc59c8010453a86284924d302b0c2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28" w:before="0" w:after="0"/>
        <w:ind w:left="0" w:right="0" w:firstLine="504"/>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28" w:before="0" w:after="0"/>
        <w:ind w:left="0" w:right="0" w:firstLine="504"/>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28" w:before="0" w:after="0"/>
        <w:ind w:left="0" w:right="0" w:firstLine="504"/>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28" w:before="0" w:after="0"/>
        <w:ind w:left="0" w:right="0" w:firstLine="504"/>
        <w:jc w:val="center"/>
        <w:rPr>
          <w:rFonts w:ascii="Times New Roman;sans-serif" w:hAnsi="Times New Roman;sans-serif"/>
          <w:b/>
          <w:color w:val="000000"/>
          <w:sz w:val="28"/>
        </w:rPr>
      </w:pPr>
      <w:r>
        <w:rPr>
          <w:rFonts w:ascii="Times New Roman;sans-serif" w:hAnsi="Times New Roman;sans-serif"/>
          <w:b/>
          <w:color w:val="000000"/>
          <w:sz w:val="28"/>
        </w:rPr>
        <w:t>FORM 10-Q</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160" w:after="283"/>
              <w:ind w:left="0" w:right="0" w:firstLine="504"/>
              <w:jc w:val="left"/>
              <w:rPr/>
            </w:pPr>
            <w:r>
              <w:rPr>
                <w:rFonts w:ascii="Times New Roman;sans-serif" w:hAnsi="Times New Roman;sans-serif"/>
                <w:b w:val="false"/>
                <w:color w:val="000000"/>
                <w:sz w:val="20"/>
              </w:rPr>
              <w:t>For the quarterly period ended</w:t>
            </w:r>
            <w:r>
              <w:rPr>
                <w:color w:val="000000"/>
              </w:rPr>
              <w:t xml:space="preserve"> </w:t>
            </w:r>
            <w:r>
              <w:rPr>
                <w:rFonts w:ascii="Times New Roman;sans-serif" w:hAnsi="Times New Roman;sans-serif"/>
                <w:b/>
                <w:color w:val="000000"/>
                <w:sz w:val="20"/>
              </w:rPr>
              <w:t>June 30, 2024</w:t>
            </w:r>
          </w:p>
        </w:tc>
      </w:tr>
    </w:tbl>
    <w:p>
      <w:pPr>
        <w:pStyle w:val="TextBody"/>
        <w:bidi w:val="0"/>
        <w:spacing w:lineRule="auto" w:line="228" w:before="0" w:after="0"/>
        <w:ind w:left="0" w:right="0" w:firstLine="504"/>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95"/>
        <w:gridCol w:w="2884"/>
        <w:gridCol w:w="4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For the transition period from ________________ to ________________</w:t>
            </w:r>
          </w:p>
        </w:tc>
      </w:tr>
    </w:tbl>
    <w:p>
      <w:pPr>
        <w:pStyle w:val="TextBody"/>
        <w:bidi w:val="0"/>
        <w:spacing w:before="0" w:after="0"/>
        <w:ind w:left="0" w:right="0" w:firstLine="540"/>
        <w:jc w:val="center"/>
        <w:rPr/>
      </w:pPr>
      <w:r>
        <w:rPr/>
      </w:r>
    </w:p>
    <w:p>
      <w:pPr>
        <w:pStyle w:val="TextBody"/>
        <w:bidi w:val="0"/>
        <w:spacing w:lineRule="auto" w:line="22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Commission File Number: 001-39395</w:t>
      </w:r>
    </w:p>
    <w:p>
      <w:pPr>
        <w:pStyle w:val="TextBody"/>
        <w:bidi w:val="0"/>
        <w:spacing w:lineRule="auto" w:line="288" w:before="60" w:after="60"/>
        <w:ind w:left="0" w:right="0" w:firstLine="504"/>
        <w:jc w:val="center"/>
        <w:rPr>
          <w:rFonts w:ascii="Times New Roman;sans-serif" w:hAnsi="Times New Roman;sans-serif"/>
          <w:b/>
          <w:color w:val="000000"/>
          <w:sz w:val="28"/>
        </w:rPr>
      </w:pPr>
      <w:r>
        <w:rPr>
          <w:rFonts w:ascii="Times New Roman;sans-serif" w:hAnsi="Times New Roman;sans-serif"/>
          <w:b/>
          <w:color w:val="000000"/>
          <w:sz w:val="28"/>
        </w:rPr>
        <w:t>Faraday Future Intelligent Electric Inc.</w:t>
      </w:r>
    </w:p>
    <w:p>
      <w:pPr>
        <w:pStyle w:val="TextBody"/>
        <w:bidi w:val="0"/>
        <w:spacing w:lineRule="auto" w:line="228" w:before="0" w:after="0"/>
        <w:ind w:left="0" w:right="0" w:firstLine="504"/>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7361" w:type="dxa"/>
        <w:jc w:val="center"/>
        <w:tblInd w:w="0" w:type="dxa"/>
        <w:tblLayout w:type="fixed"/>
        <w:tblCellMar>
          <w:top w:w="28" w:type="dxa"/>
          <w:left w:w="28" w:type="dxa"/>
          <w:bottom w:w="28" w:type="dxa"/>
          <w:right w:w="28" w:type="dxa"/>
        </w:tblCellMar>
      </w:tblPr>
      <w:tblGrid>
        <w:gridCol w:w="1560"/>
        <w:gridCol w:w="1374"/>
        <w:gridCol w:w="1386"/>
        <w:gridCol w:w="109"/>
        <w:gridCol w:w="109"/>
        <w:gridCol w:w="109"/>
        <w:gridCol w:w="748"/>
        <w:gridCol w:w="748"/>
        <w:gridCol w:w="1218"/>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ind w:left="0" w:right="0" w:firstLine="45"/>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rFonts w:ascii="Times New Roman;sans-serif" w:hAnsi="Times New Roman;sans-serif"/>
                <w:b/>
                <w:color w:val="000000"/>
                <w:sz w:val="18"/>
              </w:rPr>
            </w:pPr>
            <w:r>
              <w:rPr>
                <w:rFonts w:ascii="Times New Roman;sans-serif" w:hAnsi="Times New Roman;sans-serif"/>
                <w:b/>
                <w:color w:val="000000"/>
                <w:sz w:val="18"/>
              </w:rPr>
              <w:t>84-4720320</w:t>
            </w:r>
          </w:p>
        </w:tc>
      </w:tr>
      <w:tr>
        <w:trPr/>
        <w:tc>
          <w:tcPr>
            <w:tcW w:w="43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r>
        <w:trPr/>
        <w:tc>
          <w:tcPr>
            <w:tcW w:w="46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ans-serif" w:hAnsi="Times New Roman;sans-serif"/>
                <w:b/>
                <w:color w:val="000000"/>
                <w:sz w:val="18"/>
              </w:rPr>
            </w:pPr>
            <w:r>
              <w:rPr>
                <w:rFonts w:ascii="Times New Roman;sans-serif" w:hAnsi="Times New Roman;sans-serif"/>
                <w:b/>
                <w:color w:val="000000"/>
                <w:sz w:val="18"/>
              </w:rPr>
              <w:t xml:space="preserve">18455 S. Figueroa Street, </w:t>
            </w:r>
          </w:p>
          <w:p>
            <w:pPr>
              <w:pStyle w:val="TableContents"/>
              <w:bidi w:val="0"/>
              <w:spacing w:lineRule="auto" w:line="288" w:before="0" w:after="0"/>
              <w:ind w:left="0" w:right="0" w:firstLine="45"/>
              <w:jc w:val="center"/>
              <w:rPr>
                <w:rFonts w:ascii="Times New Roman;sans-serif" w:hAnsi="Times New Roman;sans-serif"/>
                <w:b/>
                <w:color w:val="000000"/>
                <w:sz w:val="18"/>
              </w:rPr>
            </w:pPr>
            <w:r>
              <w:rPr>
                <w:rFonts w:ascii="Times New Roman;sans-serif" w:hAnsi="Times New Roman;sans-serif"/>
                <w:b/>
                <w:color w:val="000000"/>
                <w:sz w:val="18"/>
              </w:rPr>
              <w:t>Gardena, CA</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90248</w:t>
            </w:r>
          </w:p>
        </w:tc>
      </w:tr>
      <w:tr>
        <w:trPr/>
        <w:tc>
          <w:tcPr>
            <w:tcW w:w="4320"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(Zip Code)</w:t>
            </w:r>
          </w:p>
        </w:tc>
      </w:tr>
    </w:tbl>
    <w:p>
      <w:pPr>
        <w:pStyle w:val="TextBody"/>
        <w:bidi w:val="0"/>
        <w:spacing w:lineRule="auto" w:line="288" w:before="0" w:after="0"/>
        <w:ind w:left="0" w:right="0" w:firstLine="504"/>
        <w:jc w:val="center"/>
        <w:rPr>
          <w:rFonts w:ascii="Times New Roman;sans-serif" w:hAnsi="Times New Roman;sans-serif"/>
          <w:b/>
          <w:color w:val="000000"/>
          <w:sz w:val="17"/>
        </w:rPr>
      </w:pPr>
      <w:r>
        <w:rPr>
          <w:rFonts w:ascii="Times New Roman;sans-serif" w:hAnsi="Times New Roman;sans-serif"/>
          <w:b/>
          <w:color w:val="000000"/>
          <w:sz w:val="17"/>
        </w:rPr>
        <w:t>(424) 276-7616</w:t>
      </w:r>
    </w:p>
    <w:p>
      <w:pPr>
        <w:pStyle w:val="TextBody"/>
        <w:bidi w:val="0"/>
        <w:spacing w:lineRule="auto" w:line="228" w:before="0" w:after="0"/>
        <w:ind w:left="0" w:right="0" w:firstLine="504"/>
        <w:jc w:val="center"/>
        <w:rPr>
          <w:rFonts w:ascii="Times New Roman;sans-serif" w:hAnsi="Times New Roman;sans-serif"/>
          <w:b w:val="false"/>
          <w:color w:val="000000"/>
          <w:sz w:val="17"/>
        </w:rPr>
      </w:pPr>
      <w:r>
        <w:rPr>
          <w:rFonts w:ascii="Times New Roman;sans-serif" w:hAnsi="Times New Roman;sans-serif"/>
          <w:b w:val="false"/>
          <w:color w:val="000000"/>
          <w:sz w:val="17"/>
        </w:rPr>
        <w:t>Registrant’s telephone number, including area code</w:t>
      </w:r>
    </w:p>
    <w:p>
      <w:pPr>
        <w:pStyle w:val="TextBody"/>
        <w:bidi w:val="0"/>
        <w:spacing w:before="0" w:after="0"/>
        <w:ind w:left="0" w:right="0" w:firstLine="504"/>
        <w:jc w:val="center"/>
        <w:rPr/>
      </w:pPr>
      <w:r>
        <w:rPr/>
      </w:r>
    </w:p>
    <w:p>
      <w:pPr>
        <w:pStyle w:val="TextBody"/>
        <w:bidi w:val="0"/>
        <w:spacing w:lineRule="auto" w:line="228"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Securities registered pursuant to Section 12(b) of the Act:</w:t>
      </w:r>
    </w:p>
    <w:p>
      <w:pPr>
        <w:pStyle w:val="TextBody"/>
        <w:bidi w:val="0"/>
        <w:spacing w:before="0" w:after="0"/>
        <w:ind w:left="0" w:right="0" w:firstLine="504"/>
        <w:jc w:val="left"/>
        <w:rPr/>
      </w:pPr>
      <w:r>
        <w:rPr/>
      </w:r>
    </w:p>
    <w:tbl>
      <w:tblPr>
        <w:tblW w:w="10205" w:type="dxa"/>
        <w:jc w:val="left"/>
        <w:tblInd w:w="0" w:type="dxa"/>
        <w:tblLayout w:type="fixed"/>
        <w:tblCellMar>
          <w:top w:w="28" w:type="dxa"/>
          <w:left w:w="28" w:type="dxa"/>
          <w:bottom w:w="28" w:type="dxa"/>
          <w:right w:w="28" w:type="dxa"/>
        </w:tblCellMar>
      </w:tblPr>
      <w:tblGrid>
        <w:gridCol w:w="2364"/>
        <w:gridCol w:w="1954"/>
        <w:gridCol w:w="1982"/>
        <w:gridCol w:w="416"/>
        <w:gridCol w:w="416"/>
        <w:gridCol w:w="418"/>
        <w:gridCol w:w="776"/>
        <w:gridCol w:w="776"/>
        <w:gridCol w:w="1103"/>
      </w:tblGrid>
      <w:tr>
        <w:trPr/>
        <w:tc>
          <w:tcPr>
            <w:tcW w:w="2364"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Title of each class</w:t>
            </w:r>
          </w:p>
        </w:tc>
        <w:tc>
          <w:tcPr>
            <w:tcW w:w="12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Trading Symbol(s)</w:t>
            </w:r>
          </w:p>
        </w:tc>
        <w:tc>
          <w:tcPr>
            <w:tcW w:w="26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Name of each exchange on which registered</w:t>
            </w:r>
          </w:p>
        </w:tc>
      </w:tr>
      <w:tr>
        <w:trPr/>
        <w:tc>
          <w:tcPr>
            <w:tcW w:w="63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Class A common stock, par value $0.0001 per share</w:t>
            </w:r>
          </w:p>
        </w:tc>
        <w:tc>
          <w:tcPr>
            <w:tcW w:w="12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FFIE</w:t>
            </w:r>
          </w:p>
        </w:tc>
        <w:tc>
          <w:tcPr>
            <w:tcW w:w="26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The Nasdaq Stock Market LLC</w:t>
            </w:r>
          </w:p>
        </w:tc>
      </w:tr>
      <w:tr>
        <w:trPr/>
        <w:tc>
          <w:tcPr>
            <w:tcW w:w="63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Redeemable warrants, exercisable for shares of Class A common stock at an exercise price of $2,760.00 per share</w:t>
            </w:r>
          </w:p>
        </w:tc>
        <w:tc>
          <w:tcPr>
            <w:tcW w:w="12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FFIEW</w:t>
            </w:r>
          </w:p>
        </w:tc>
        <w:tc>
          <w:tcPr>
            <w:tcW w:w="265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The Nasdaq Stock Market LLC</w:t>
            </w:r>
          </w:p>
        </w:tc>
      </w:tr>
    </w:tbl>
    <w:p>
      <w:pPr>
        <w:pStyle w:val="TextBody"/>
        <w:bidi w:val="0"/>
        <w:spacing w:before="0" w:after="0"/>
        <w:ind w:left="0" w:right="0" w:firstLine="504"/>
        <w:jc w:val="left"/>
        <w:rPr/>
      </w:pPr>
      <w:r>
        <w:rPr/>
      </w:r>
    </w:p>
    <w:p>
      <w:pPr>
        <w:pStyle w:val="TextBody"/>
        <w:bidi w:val="0"/>
        <w:spacing w:lineRule="auto" w:line="288" w:before="0" w:after="0"/>
        <w:ind w:left="0" w:right="0" w:firstLine="504"/>
        <w:jc w:val="both"/>
        <w:rPr/>
      </w:pPr>
      <w:r>
        <w:rPr>
          <w:rFonts w:ascii="Times New Roman;sans-serif" w:hAnsi="Times New Roman;sans-serif"/>
          <w:b w:val="false"/>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7"/>
        </w:rPr>
        <w:t>No  </w:t>
      </w:r>
      <w:r>
        <w:rPr>
          <w:color w:val="000000"/>
        </w:rPr>
        <w:t>☒</w:t>
      </w:r>
    </w:p>
    <w:p>
      <w:pPr>
        <w:pStyle w:val="TextBody"/>
        <w:bidi w:val="0"/>
        <w:spacing w:before="0" w:after="0"/>
        <w:ind w:left="0" w:right="0" w:firstLine="504"/>
        <w:jc w:val="both"/>
        <w:rPr/>
      </w:pPr>
      <w:r>
        <w:rPr/>
      </w:r>
    </w:p>
    <w:p>
      <w:pPr>
        <w:pStyle w:val="TextBody"/>
        <w:bidi w:val="0"/>
        <w:spacing w:lineRule="auto" w:line="288" w:before="0" w:after="0"/>
        <w:ind w:left="0" w:right="0" w:firstLine="504"/>
        <w:jc w:val="both"/>
        <w:rPr/>
      </w:pPr>
      <w:r>
        <w:rPr>
          <w:rFonts w:ascii="Times New Roman;sans-serif" w:hAnsi="Times New Roman;sans-serif"/>
          <w:b w:val="false"/>
          <w:color w:val="000000"/>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7"/>
        </w:rPr>
        <w:t>No   </w:t>
      </w:r>
      <w:r>
        <w:rPr>
          <w:color w:val="000000"/>
        </w:rPr>
        <w:t>☒</w:t>
      </w:r>
    </w:p>
    <w:p>
      <w:pPr>
        <w:pStyle w:val="TextBody"/>
        <w:bidi w:val="0"/>
        <w:spacing w:before="0" w:after="0"/>
        <w:ind w:left="0" w:right="0" w:firstLine="504"/>
        <w:jc w:val="both"/>
        <w:rPr/>
      </w:pPr>
      <w:r>
        <w:rPr/>
      </w:r>
    </w:p>
    <w:p>
      <w:pPr>
        <w:pStyle w:val="TextBody"/>
        <w:bidi w:val="0"/>
        <w:spacing w:lineRule="auto" w:line="288" w:before="0" w:after="0"/>
        <w:ind w:left="0" w:right="0" w:firstLine="504"/>
        <w:jc w:val="both"/>
        <w:rPr>
          <w:rFonts w:ascii="Times New Roman;sans-serif" w:hAnsi="Times New Roman;sans-serif"/>
          <w:b w:val="false"/>
          <w:color w:val="000000"/>
          <w:sz w:val="17"/>
        </w:rPr>
      </w:pPr>
      <w:r>
        <w:rPr>
          <w:rFonts w:ascii="Times New Roman;sans-serif" w:hAnsi="Times New Roman;sans-serif"/>
          <w:b w:val="false"/>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504"/>
        <w:jc w:val="both"/>
        <w:rPr/>
      </w:pPr>
      <w:r>
        <w:rPr/>
      </w:r>
    </w:p>
    <w:tbl>
      <w:tblPr>
        <w:tblW w:w="4512" w:type="dxa"/>
        <w:jc w:val="center"/>
        <w:tblInd w:w="0" w:type="dxa"/>
        <w:tblLayout w:type="fixed"/>
        <w:tblCellMar>
          <w:top w:w="28" w:type="dxa"/>
          <w:left w:w="28" w:type="dxa"/>
          <w:bottom w:w="28" w:type="dxa"/>
          <w:right w:w="28" w:type="dxa"/>
        </w:tblCellMar>
      </w:tblPr>
      <w:tblGrid>
        <w:gridCol w:w="619"/>
        <w:gridCol w:w="543"/>
        <w:gridCol w:w="547"/>
        <w:gridCol w:w="120"/>
        <w:gridCol w:w="120"/>
        <w:gridCol w:w="121"/>
        <w:gridCol w:w="689"/>
        <w:gridCol w:w="689"/>
        <w:gridCol w:w="692"/>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left"/>
              <w:rPr>
                <w:rFonts w:ascii="Times New Roman;sans-serif" w:hAnsi="Times New Roman;sans-serif"/>
                <w:b w:val="false"/>
                <w:color w:val="000000"/>
                <w:sz w:val="17"/>
              </w:rPr>
            </w:pPr>
            <w:r>
              <w:rPr>
                <w:rFonts w:ascii="Times New Roman;sans-serif" w:hAnsi="Times New Roman;sans-serif"/>
                <w:b w:val="false"/>
                <w:color w:val="000000"/>
                <w:sz w:val="17"/>
              </w:rPr>
              <w:t>Large accelerated filer</w:t>
            </w:r>
          </w:p>
        </w:tc>
        <w:tc>
          <w:tcPr>
            <w:tcW w:w="36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left"/>
              <w:rPr>
                <w:color w:val="000000"/>
              </w:rPr>
            </w:pPr>
            <w:r>
              <w:rPr>
                <w:color w:val="000000"/>
              </w:rPr>
              <w:t>☐</w:t>
            </w:r>
          </w:p>
        </w:tc>
        <w:tc>
          <w:tcPr>
            <w:tcW w:w="20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Times New Roman;sans-serif" w:hAnsi="Times New Roman;sans-serif"/>
                <w:b w:val="false"/>
                <w:color w:val="000000"/>
                <w:sz w:val="17"/>
              </w:rPr>
            </w:pPr>
            <w:r>
              <w:rPr>
                <w:rFonts w:ascii="Times New Roman;sans-serif" w:hAnsi="Times New Roman;sans-serif"/>
                <w:b w:val="false"/>
                <w:color w:val="000000"/>
                <w:sz w:val="17"/>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left"/>
              <w:rPr>
                <w:rFonts w:ascii="Times New Roman;sans-serif" w:hAnsi="Times New Roman;sans-serif"/>
                <w:b w:val="false"/>
                <w:color w:val="000000"/>
                <w:sz w:val="17"/>
              </w:rPr>
            </w:pPr>
            <w:r>
              <w:rPr>
                <w:rFonts w:ascii="Times New Roman;sans-serif" w:hAnsi="Times New Roman;sans-serif"/>
                <w:b w:val="false"/>
                <w:color w:val="000000"/>
                <w:sz w:val="17"/>
              </w:rPr>
              <w:t>Non-accelerated filer</w:t>
            </w:r>
          </w:p>
        </w:tc>
        <w:tc>
          <w:tcPr>
            <w:tcW w:w="36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color w:val="000000"/>
              </w:rPr>
            </w:pPr>
            <w:r>
              <w:rPr>
                <w:color w:val="000000"/>
              </w:rPr>
              <w:t>☒</w:t>
            </w:r>
          </w:p>
        </w:tc>
        <w:tc>
          <w:tcPr>
            <w:tcW w:w="20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Times New Roman;sans-serif" w:hAnsi="Times New Roman;sans-serif"/>
                <w:b w:val="false"/>
                <w:color w:val="000000"/>
                <w:sz w:val="17"/>
              </w:rPr>
            </w:pPr>
            <w:r>
              <w:rPr>
                <w:rFonts w:ascii="Times New Roman;sans-serif" w:hAnsi="Times New Roman;sans-serif"/>
                <w:b w:val="false"/>
                <w:color w:val="000000"/>
                <w:sz w:val="17"/>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Times New Roman;sans-serif" w:hAnsi="Times New Roman;sans-serif"/>
                <w:b w:val="false"/>
                <w:color w:val="000000"/>
                <w:sz w:val="17"/>
              </w:rPr>
            </w:pPr>
            <w:r>
              <w:rPr>
                <w:rFonts w:ascii="Times New Roman;sans-serif" w:hAnsi="Times New Roman;sans-serif"/>
                <w:b w:val="false"/>
                <w:color w:val="000000"/>
                <w:sz w:val="17"/>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r>
    </w:tbl>
    <w:p>
      <w:pPr>
        <w:pStyle w:val="TextBody"/>
        <w:bidi w:val="0"/>
        <w:spacing w:before="0" w:after="0"/>
        <w:ind w:left="0" w:right="0" w:firstLine="504"/>
        <w:jc w:val="left"/>
        <w:rPr/>
      </w:pPr>
      <w:r>
        <w:rPr/>
      </w:r>
    </w:p>
    <w:p>
      <w:pPr>
        <w:pStyle w:val="TextBody"/>
        <w:bidi w:val="0"/>
        <w:spacing w:lineRule="auto" w:line="288" w:before="0" w:after="0"/>
        <w:ind w:left="0" w:right="0" w:firstLine="504"/>
        <w:jc w:val="both"/>
        <w:rPr/>
      </w:pPr>
      <w:r>
        <w:rPr>
          <w:rFonts w:ascii="Times New Roman;sans-serif" w:hAnsi="Times New Roman;sans-serif"/>
          <w:b w:val="false"/>
          <w:color w:val="000000"/>
          <w:sz w:val="17"/>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60" w:after="283"/>
        <w:ind w:left="0" w:right="0" w:firstLine="504"/>
        <w:jc w:val="both"/>
        <w:rPr/>
      </w:pPr>
      <w:r>
        <w:rPr>
          <w:rFonts w:ascii="Times New Roman;sans-serif" w:hAnsi="Times New Roman;sans-serif"/>
          <w:b w:val="false"/>
          <w:color w:val="000000"/>
          <w:sz w:val="17"/>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7"/>
        </w:rPr>
        <w:t>No  </w:t>
      </w:r>
      <w:r>
        <w:rPr>
          <w:color w:val="000000"/>
        </w:rPr>
        <w:t>☒</w:t>
      </w:r>
    </w:p>
    <w:p>
      <w:pPr>
        <w:pStyle w:val="TextBody"/>
        <w:bidi w:val="0"/>
        <w:spacing w:before="0" w:after="0"/>
        <w:ind w:left="0" w:right="0" w:firstLine="504"/>
        <w:jc w:val="center"/>
        <w:rPr/>
      </w:pPr>
      <w:r>
        <w:rPr/>
      </w:r>
    </w:p>
    <w:p>
      <w:pPr>
        <w:pStyle w:val="TextBody"/>
        <w:bidi w:val="0"/>
        <w:spacing w:lineRule="auto" w:line="288" w:before="0" w:after="0"/>
        <w:ind w:left="0" w:right="0" w:firstLine="504"/>
        <w:jc w:val="both"/>
        <w:rPr>
          <w:rFonts w:ascii="Times New Roman;sans-serif" w:hAnsi="Times New Roman;sans-serif"/>
          <w:b w:val="false"/>
          <w:color w:val="000000"/>
          <w:sz w:val="17"/>
        </w:rPr>
      </w:pPr>
      <w:r>
        <w:rPr>
          <w:rFonts w:ascii="Times New Roman;sans-serif" w:hAnsi="Times New Roman;sans-serif"/>
          <w:b w:val="false"/>
          <w:color w:val="000000"/>
          <w:sz w:val="17"/>
        </w:rPr>
        <w:t>The registrant had outstanding 494,935,355 shares of Class A common stock and 266,670 shares of Class B common stock as of August 14, 2024.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76860"/>
                <wp:effectExtent l="0" t="0" r="0" b="0"/>
                <wp:wrapNone/>
                <wp:docPr id="1" name="Frame1"/>
                <a:graphic xmlns:a="http://schemas.openxmlformats.org/drawingml/2006/main">
                  <a:graphicData uri="http://schemas.microsoft.com/office/word/2010/wordprocessingShape">
                    <wps:wsp>
                      <wps:cNvSpPr txBox="1"/>
                      <wps:spPr>
                        <a:xfrm>
                          <a:off x="0" y="0"/>
                          <a:ext cx="6480175" cy="276860"/>
                        </a:xfrm>
                        <a:prstGeom prst="rect"/>
                        <a:solidFill>
                          <a:srgbClr val="FFFFFF"/>
                        </a:solidFill>
                      </wps:spPr>
                      <wps:txbx>
                        <w:txbxContent>
                          <w:p>
                            <w:pPr>
                              <w:pStyle w:val="TextBody"/>
                              <w:bidi w:val="0"/>
                              <w:spacing w:before="160" w:after="283"/>
                              <w:ind w:left="0" w:right="0" w:firstLine="504"/>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60" w:after="283"/>
                        <w:ind w:left="0" w:right="0" w:firstLine="504"/>
                        <w:jc w:val="left"/>
                        <w:rPr/>
                      </w:pPr>
                      <w:r>
                        <w:rPr/>
                      </w:r>
                    </w:p>
                  </w:txbxContent>
                </v:textbox>
                <w10:wrap type="none"/>
              </v:rect>
            </w:pict>
          </mc:Fallback>
        </mc:AlternateContent>
      </w:r>
    </w:p>
    <w:p>
      <w:pPr>
        <w:pStyle w:val="TextBody"/>
        <w:bidi w:val="0"/>
        <w:spacing w:lineRule="auto" w:line="288" w:before="160" w:after="283"/>
        <w:ind w:left="0" w:right="0" w:firstLine="504"/>
        <w:jc w:val="left"/>
        <w:rPr/>
      </w:pPr>
      <w:hyperlink w:anchor="ic64bc59c8010453a86284924d302b0c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ind w:left="0" w:right="0" w:firstLine="504"/>
        <w:jc w:val="center"/>
        <w:rPr>
          <w:rFonts w:ascii="Times New Roman;sans-serif" w:hAnsi="Times New Roman;sans-serif"/>
          <w:b/>
          <w:color w:val="000000"/>
          <w:sz w:val="28"/>
        </w:rPr>
      </w:pPr>
      <w:r>
        <w:rPr>
          <w:rFonts w:ascii="Times New Roman;sans-serif" w:hAnsi="Times New Roman;sans-serif"/>
          <w:b/>
          <w:color w:val="000000"/>
          <w:sz w:val="28"/>
        </w:rPr>
        <w:t>Faraday Future Intelligent Electric Inc.</w:t>
      </w:r>
    </w:p>
    <w:p>
      <w:pPr>
        <w:pStyle w:val="TextBody"/>
        <w:bidi w:val="0"/>
        <w:spacing w:lineRule="auto" w:line="288" w:before="160" w:after="283"/>
        <w:ind w:left="0" w:right="0" w:firstLine="504"/>
        <w:jc w:val="center"/>
        <w:rPr>
          <w:rFonts w:ascii="Times New Roman;sans-serif" w:hAnsi="Times New Roman;sans-serif"/>
          <w:b/>
          <w:color w:val="000000"/>
          <w:sz w:val="20"/>
        </w:rPr>
      </w:pPr>
      <w:r>
        <w:rPr>
          <w:rFonts w:ascii="Times New Roman;sans-serif" w:hAnsi="Times New Roman;sans-serif"/>
          <w:b/>
          <w:color w:val="000000"/>
          <w:sz w:val="20"/>
        </w:rPr>
        <w:t>FORM 10-Q FOR THE QUARTER ENDED JUNE 30, 2024</w:t>
      </w:r>
    </w:p>
    <w:p>
      <w:pPr>
        <w:pStyle w:val="TextBody"/>
        <w:bidi w:val="0"/>
        <w:spacing w:lineRule="auto" w:line="288" w:before="160" w:after="283"/>
        <w:ind w:left="0" w:right="0" w:firstLine="504"/>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200" w:after="283"/>
        <w:ind w:left="0" w:right="0" w:firstLine="504"/>
        <w:jc w:val="center"/>
        <w:rPr/>
      </w:pPr>
      <w:r>
        <w:rPr/>
      </w:r>
    </w:p>
    <w:tbl>
      <w:tblPr>
        <w:tblW w:w="10205" w:type="dxa"/>
        <w:jc w:val="center"/>
        <w:tblInd w:w="0" w:type="dxa"/>
        <w:tblLayout w:type="fixed"/>
        <w:tblCellMar>
          <w:top w:w="28" w:type="dxa"/>
          <w:left w:w="28" w:type="dxa"/>
          <w:bottom w:w="28" w:type="dxa"/>
          <w:right w:w="28" w:type="dxa"/>
        </w:tblCellMar>
      </w:tblPr>
      <w:tblGrid>
        <w:gridCol w:w="613"/>
        <w:gridCol w:w="537"/>
        <w:gridCol w:w="537"/>
        <w:gridCol w:w="2661"/>
        <w:gridCol w:w="2648"/>
        <w:gridCol w:w="2694"/>
        <w:gridCol w:w="149"/>
        <w:gridCol w:w="149"/>
        <w:gridCol w:w="217"/>
      </w:tblGrid>
      <w:tr>
        <w:trPr/>
        <w:tc>
          <w:tcPr>
            <w:tcW w:w="61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64bc59c8010453a86284924d302b0c2_10">
              <w:r>
                <w:rPr>
                  <w:rStyle w:val="InternetLink"/>
                  <w:rFonts w:ascii="Times New Roman;sans-serif" w:hAnsi="Times New Roman;sans-serif"/>
                  <w:b/>
                  <w:color w:val="0000FF"/>
                  <w:sz w:val="20"/>
                  <w:u w:val="single"/>
                </w:rPr>
                <w:t>PART I. FINANCIAL INFORMATION</w:t>
              </w:r>
            </w:hyperlink>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4bc59c8010453a86284924d302b0c2_13">
              <w:r>
                <w:rPr>
                  <w:rStyle w:val="InternetLink"/>
                  <w:rFonts w:ascii="Times New Roman;sans-serif" w:hAnsi="Times New Roman;sans-serif"/>
                  <w:b/>
                  <w:strike w:val="false"/>
                  <w:dstrike w:val="false"/>
                  <w:color w:val="0000FF"/>
                  <w:sz w:val="20"/>
                  <w:u w:val="none"/>
                  <w:effect w:val="none"/>
                </w:rPr>
                <w:t>Item 1.</w:t>
              </w:r>
            </w:hyperlink>
          </w:p>
        </w:tc>
        <w:tc>
          <w:tcPr>
            <w:tcW w:w="8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4bc59c8010453a86284924d302b0c2_13">
              <w:r>
                <w:rPr>
                  <w:rStyle w:val="InternetLink"/>
                  <w:rFonts w:ascii="Times New Roman;sans-serif" w:hAnsi="Times New Roman;sans-serif"/>
                  <w:b/>
                  <w:strike w:val="false"/>
                  <w:dstrike w:val="false"/>
                  <w:color w:val="000080"/>
                  <w:sz w:val="20"/>
                  <w:u w:val="single"/>
                  <w:effect w:val="none"/>
                </w:rPr>
                <w:t>Unaudited C</w:t>
              </w:r>
            </w:hyperlink>
            <w:hyperlink w:anchor="ic64bc59c8010453a86284924d302b0c2_13">
              <w:r>
                <w:rPr>
                  <w:rStyle w:val="InternetLink"/>
                  <w:rFonts w:ascii="Times New Roman;sans-serif" w:hAnsi="Times New Roman;sans-serif"/>
                  <w:b/>
                  <w:strike w:val="false"/>
                  <w:dstrike w:val="false"/>
                  <w:color w:val="000080"/>
                  <w:sz w:val="20"/>
                  <w:u w:val="single"/>
                  <w:effect w:val="none"/>
                </w:rPr>
                <w:t>ondensed Consolidated Financial Statements</w:t>
              </w:r>
            </w:hyperlink>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4bc59c8010453a86284924d302b0c2_16">
              <w:r>
                <w:rPr>
                  <w:rStyle w:val="InternetLink"/>
                  <w:rFonts w:ascii="Times New Roman;sans-serif" w:hAnsi="Times New Roman;sans-serif"/>
                  <w:b w:val="false"/>
                  <w:strike w:val="false"/>
                  <w:dstrike w:val="false"/>
                  <w:color w:val="0000FF"/>
                  <w:sz w:val="20"/>
                  <w:u w:val="none"/>
                  <w:effect w:val="none"/>
                </w:rPr>
                <w:t>Condensed Consolidated Balance Sheets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64bc59c8010453a86284924d302b0c2_16">
              <w:r>
                <w:rPr>
                  <w:rStyle w:val="InternetLink"/>
                  <w:rFonts w:ascii="Times New Roman;sans-serif" w:hAnsi="Times New Roman;sans-serif"/>
                  <w:b w:val="false"/>
                  <w:strike w:val="false"/>
                  <w:dstrike w:val="false"/>
                  <w:color w:val="000000"/>
                  <w:sz w:val="20"/>
                  <w:u w:val="none"/>
                  <w:effect w:val="none"/>
                </w:rPr>
                <w:t>3</w:t>
              </w:r>
            </w:hyperlink>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c64bc59c8010453a86284924d302b0c2_19">
              <w:r>
                <w:rPr>
                  <w:rStyle w:val="InternetLink"/>
                  <w:rFonts w:ascii="Times New Roman;sans-serif" w:hAnsi="Times New Roman;sans-serif"/>
                  <w:b w:val="false"/>
                  <w:strike w:val="false"/>
                  <w:dstrike w:val="false"/>
                  <w:color w:val="000080"/>
                  <w:sz w:val="20"/>
                  <w:u w:val="single"/>
                  <w:effect w:val="none"/>
                </w:rPr>
                <w:t>Unaudited C</w:t>
              </w:r>
            </w:hyperlink>
            <w:hyperlink w:anchor="ic64bc59c8010453a86284924d302b0c2_19">
              <w:r>
                <w:rPr>
                  <w:rStyle w:val="InternetLink"/>
                  <w:rFonts w:ascii="Times New Roman;sans-serif" w:hAnsi="Times New Roman;sans-serif"/>
                  <w:b w:val="false"/>
                  <w:strike w:val="false"/>
                  <w:dstrike w:val="false"/>
                  <w:color w:val="000080"/>
                  <w:sz w:val="20"/>
                  <w:u w:val="single"/>
                  <w:effect w:val="none"/>
                </w:rPr>
                <w:t>ondensed Consolidated Statements of Operations and Comprehensive Loss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64bc59c8010453a86284924d302b0c2_19">
              <w:r>
                <w:rPr>
                  <w:rStyle w:val="InternetLink"/>
                  <w:rFonts w:ascii="Times New Roman;sans-serif" w:hAnsi="Times New Roman;sans-serif"/>
                  <w:b w:val="false"/>
                  <w:strike w:val="false"/>
                  <w:dstrike w:val="false"/>
                  <w:color w:val="000000"/>
                  <w:sz w:val="20"/>
                  <w:u w:val="none"/>
                  <w:effect w:val="none"/>
                </w:rPr>
                <w:t>4</w:t>
              </w:r>
            </w:hyperlink>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64bc59c8010453a86284924d302b0c2_25">
              <w:r>
                <w:rPr>
                  <w:rStyle w:val="InternetLink"/>
                  <w:rFonts w:ascii="Times New Roman;sans-serif" w:hAnsi="Times New Roman;sans-serif"/>
                  <w:b w:val="false"/>
                  <w:strike w:val="false"/>
                  <w:dstrike w:val="false"/>
                  <w:color w:val="000080"/>
                  <w:sz w:val="20"/>
                  <w:u w:val="single"/>
                  <w:effect w:val="none"/>
                </w:rPr>
                <w:t>Unaudited C</w:t>
              </w:r>
            </w:hyperlink>
            <w:hyperlink w:anchor="ic64bc59c8010453a86284924d302b0c2_25">
              <w:r>
                <w:rPr>
                  <w:rStyle w:val="InternetLink"/>
                  <w:rFonts w:ascii="Times New Roman;sans-serif" w:hAnsi="Times New Roman;sans-serif"/>
                  <w:b w:val="false"/>
                  <w:strike w:val="false"/>
                  <w:dstrike w:val="false"/>
                  <w:color w:val="000080"/>
                  <w:sz w:val="20"/>
                  <w:u w:val="single"/>
                  <w:effect w:val="none"/>
                </w:rPr>
                <w:t>ondensed Consolidated Statements of Stockholders’ Equity</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64bc59c8010453a86284924d302b0c2_25">
              <w:r>
                <w:rPr>
                  <w:rStyle w:val="InternetLink"/>
                  <w:rFonts w:ascii="Times New Roman;sans-serif" w:hAnsi="Times New Roman;sans-serif"/>
                  <w:b w:val="false"/>
                  <w:strike w:val="false"/>
                  <w:dstrike w:val="false"/>
                  <w:color w:val="000000"/>
                  <w:sz w:val="20"/>
                  <w:u w:val="none"/>
                  <w:effect w:val="none"/>
                </w:rPr>
                <w:t>6</w:t>
              </w:r>
            </w:hyperlink>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c64bc59c8010453a86284924d302b0c2_34">
              <w:r>
                <w:rPr>
                  <w:rStyle w:val="InternetLink"/>
                  <w:rFonts w:ascii="Times New Roman;sans-serif" w:hAnsi="Times New Roman;sans-serif"/>
                  <w:b w:val="false"/>
                  <w:strike w:val="false"/>
                  <w:dstrike w:val="false"/>
                  <w:color w:val="000080"/>
                  <w:sz w:val="20"/>
                  <w:u w:val="single"/>
                  <w:effect w:val="none"/>
                </w:rPr>
                <w:t>Unaudited C</w:t>
              </w:r>
            </w:hyperlink>
            <w:hyperlink w:anchor="ic64bc59c8010453a86284924d302b0c2_34">
              <w:r>
                <w:rPr>
                  <w:rStyle w:val="InternetLink"/>
                  <w:rFonts w:ascii="Times New Roman;sans-serif" w:hAnsi="Times New Roman;sans-serif"/>
                  <w:b w:val="false"/>
                  <w:strike w:val="false"/>
                  <w:dstrike w:val="false"/>
                  <w:color w:val="000080"/>
                  <w:sz w:val="20"/>
                  <w:u w:val="single"/>
                  <w:effect w:val="none"/>
                </w:rPr>
                <w:t>ondensed Consolidated Statements of Cash Flows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64bc59c8010453a86284924d302b0c2_34">
              <w:r>
                <w:rPr>
                  <w:rStyle w:val="InternetLink"/>
                  <w:rFonts w:ascii="Times New Roman;sans-serif" w:hAnsi="Times New Roman;sans-serif"/>
                  <w:b w:val="false"/>
                  <w:strike w:val="false"/>
                  <w:dstrike w:val="false"/>
                  <w:color w:val="000000"/>
                  <w:sz w:val="20"/>
                  <w:u w:val="none"/>
                  <w:effect w:val="none"/>
                </w:rPr>
                <w:t>9</w:t>
              </w:r>
            </w:hyperlink>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4bc59c8010453a86284924d302b0c2_37">
              <w:r>
                <w:rPr>
                  <w:rStyle w:val="InternetLink"/>
                  <w:rFonts w:ascii="Times New Roman;sans-serif" w:hAnsi="Times New Roman;sans-serif"/>
                  <w:b w:val="false"/>
                  <w:strike w:val="false"/>
                  <w:dstrike w:val="false"/>
                  <w:color w:val="0000FF"/>
                  <w:sz w:val="20"/>
                  <w:u w:val="none"/>
                  <w:effect w:val="none"/>
                </w:rPr>
                <w:t>Notes to Unaudited Condensed Consolidated Financial Statements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64bc59c8010453a86284924d302b0c2_37">
              <w:r>
                <w:rPr>
                  <w:rStyle w:val="InternetLink"/>
                  <w:rFonts w:ascii="Times New Roman;sans-serif" w:hAnsi="Times New Roman;sans-serif"/>
                  <w:b w:val="false"/>
                  <w:strike w:val="false"/>
                  <w:dstrike w:val="false"/>
                  <w:color w:val="000000"/>
                  <w:sz w:val="20"/>
                  <w:u w:val="none"/>
                  <w:effect w:val="none"/>
                </w:rPr>
                <w:t>11</w:t>
              </w:r>
            </w:hyperlink>
          </w:p>
        </w:tc>
      </w:tr>
      <w:tr>
        <w:trPr/>
        <w:tc>
          <w:tcPr>
            <w:tcW w:w="1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4bc59c8010453a86284924d302b0c2_97">
              <w:r>
                <w:rPr>
                  <w:rStyle w:val="InternetLink"/>
                  <w:rFonts w:ascii="Times New Roman;sans-serif" w:hAnsi="Times New Roman;sans-serif"/>
                  <w:b/>
                  <w:strike w:val="false"/>
                  <w:dstrike w:val="false"/>
                  <w:color w:val="0000FF"/>
                  <w:sz w:val="20"/>
                  <w:u w:val="none"/>
                  <w:effect w:val="none"/>
                </w:rPr>
                <w:t>Item 2.</w:t>
              </w:r>
            </w:hyperlink>
          </w:p>
        </w:tc>
        <w:tc>
          <w:tcPr>
            <w:tcW w:w="8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4bc59c8010453a86284924d302b0c2_97">
              <w:r>
                <w:rPr>
                  <w:rStyle w:val="InternetLink"/>
                  <w:rFonts w:ascii="Times New Roman;sans-serif" w:hAnsi="Times New Roman;sans-serif"/>
                  <w:b/>
                  <w:strike w:val="false"/>
                  <w:dstrike w:val="false"/>
                  <w:color w:val="0000FF"/>
                  <w:sz w:val="20"/>
                  <w:u w:val="none"/>
                  <w:effect w:val="none"/>
                </w:rPr>
                <w:t>Management’s Discussion and Analysis of Financial Condition and Results of Operations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64bc59c8010453a86284924d302b0c2_97">
              <w:r>
                <w:rPr>
                  <w:rStyle w:val="InternetLink"/>
                  <w:rFonts w:ascii="Times New Roman;sans-serif" w:hAnsi="Times New Roman;sans-serif"/>
                  <w:b w:val="false"/>
                  <w:strike w:val="false"/>
                  <w:dstrike w:val="false"/>
                  <w:color w:val="000000"/>
                  <w:sz w:val="20"/>
                  <w:u w:val="none"/>
                  <w:effect w:val="none"/>
                </w:rPr>
                <w:t>50</w:t>
              </w:r>
            </w:hyperlink>
          </w:p>
        </w:tc>
      </w:tr>
      <w:tr>
        <w:trPr/>
        <w:tc>
          <w:tcPr>
            <w:tcW w:w="1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4bc59c8010453a86284924d302b0c2_145">
              <w:r>
                <w:rPr>
                  <w:rStyle w:val="InternetLink"/>
                  <w:rFonts w:ascii="Times New Roman;sans-serif" w:hAnsi="Times New Roman;sans-serif"/>
                  <w:b/>
                  <w:strike w:val="false"/>
                  <w:dstrike w:val="false"/>
                  <w:color w:val="0000FF"/>
                  <w:sz w:val="20"/>
                  <w:u w:val="none"/>
                  <w:effect w:val="none"/>
                </w:rPr>
                <w:t>Item 3.</w:t>
              </w:r>
            </w:hyperlink>
          </w:p>
        </w:tc>
        <w:tc>
          <w:tcPr>
            <w:tcW w:w="8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4bc59c8010453a86284924d302b0c2_145">
              <w:r>
                <w:rPr>
                  <w:rStyle w:val="InternetLink"/>
                  <w:rFonts w:ascii="Times New Roman;sans-serif" w:hAnsi="Times New Roman;sans-serif"/>
                  <w:b/>
                  <w:strike w:val="false"/>
                  <w:dstrike w:val="false"/>
                  <w:color w:val="0000FF"/>
                  <w:sz w:val="20"/>
                  <w:u w:val="none"/>
                  <w:effect w:val="none"/>
                </w:rPr>
                <w:t>Quantitative and Qualitative Disclosures About Market Risk</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64bc59c8010453a86284924d302b0c2_145">
              <w:r>
                <w:rPr>
                  <w:rStyle w:val="InternetLink"/>
                  <w:rFonts w:ascii="Times New Roman;sans-serif" w:hAnsi="Times New Roman;sans-serif"/>
                  <w:b w:val="false"/>
                  <w:strike w:val="false"/>
                  <w:dstrike w:val="false"/>
                  <w:color w:val="000000"/>
                  <w:sz w:val="20"/>
                  <w:u w:val="none"/>
                  <w:effect w:val="none"/>
                </w:rPr>
                <w:t>68</w:t>
              </w:r>
            </w:hyperlink>
          </w:p>
        </w:tc>
      </w:tr>
      <w:tr>
        <w:trPr/>
        <w:tc>
          <w:tcPr>
            <w:tcW w:w="1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4bc59c8010453a86284924d302b0c2_148">
              <w:r>
                <w:rPr>
                  <w:rStyle w:val="InternetLink"/>
                  <w:rFonts w:ascii="Times New Roman;sans-serif" w:hAnsi="Times New Roman;sans-serif"/>
                  <w:b/>
                  <w:strike w:val="false"/>
                  <w:dstrike w:val="false"/>
                  <w:color w:val="0000FF"/>
                  <w:sz w:val="20"/>
                  <w:u w:val="none"/>
                  <w:effect w:val="none"/>
                </w:rPr>
                <w:t>Item 4.</w:t>
              </w:r>
            </w:hyperlink>
          </w:p>
        </w:tc>
        <w:tc>
          <w:tcPr>
            <w:tcW w:w="8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4bc59c8010453a86284924d302b0c2_148">
              <w:r>
                <w:rPr>
                  <w:rStyle w:val="InternetLink"/>
                  <w:rFonts w:ascii="Times New Roman;sans-serif" w:hAnsi="Times New Roman;sans-serif"/>
                  <w:b/>
                  <w:strike w:val="false"/>
                  <w:dstrike w:val="false"/>
                  <w:color w:val="0000FF"/>
                  <w:sz w:val="20"/>
                  <w:u w:val="none"/>
                  <w:effect w:val="none"/>
                </w:rPr>
                <w:t>Controls and Procedures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64bc59c8010453a86284924d302b0c2_148">
              <w:r>
                <w:rPr>
                  <w:rStyle w:val="InternetLink"/>
                  <w:rFonts w:ascii="Times New Roman;sans-serif" w:hAnsi="Times New Roman;sans-serif"/>
                  <w:b w:val="false"/>
                  <w:strike w:val="false"/>
                  <w:dstrike w:val="false"/>
                  <w:color w:val="000000"/>
                  <w:sz w:val="20"/>
                  <w:u w:val="none"/>
                  <w:effect w:val="none"/>
                </w:rPr>
                <w:t>69</w:t>
              </w:r>
            </w:hyperlink>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64bc59c8010453a86284924d302b0c2_151">
              <w:r>
                <w:rPr>
                  <w:rStyle w:val="InternetLink"/>
                  <w:rFonts w:ascii="Times New Roman;sans-serif" w:hAnsi="Times New Roman;sans-serif"/>
                  <w:b/>
                  <w:color w:val="0000FF"/>
                  <w:sz w:val="20"/>
                  <w:u w:val="single"/>
                </w:rPr>
                <w:t>PART II. OTHER INFORMATION</w:t>
              </w:r>
            </w:hyperlink>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4bc59c8010453a86284924d302b0c2_154">
              <w:r>
                <w:rPr>
                  <w:rStyle w:val="InternetLink"/>
                  <w:rFonts w:ascii="Times New Roman;sans-serif" w:hAnsi="Times New Roman;sans-serif"/>
                  <w:b/>
                  <w:strike w:val="false"/>
                  <w:dstrike w:val="false"/>
                  <w:color w:val="0000FF"/>
                  <w:sz w:val="20"/>
                  <w:u w:val="none"/>
                  <w:effect w:val="none"/>
                </w:rPr>
                <w:t>Item 1.</w:t>
              </w:r>
            </w:hyperlink>
          </w:p>
        </w:tc>
        <w:tc>
          <w:tcPr>
            <w:tcW w:w="8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4bc59c8010453a86284924d302b0c2_154">
              <w:r>
                <w:rPr>
                  <w:rStyle w:val="InternetLink"/>
                  <w:rFonts w:ascii="Times New Roman;sans-serif" w:hAnsi="Times New Roman;sans-serif"/>
                  <w:b/>
                  <w:strike w:val="false"/>
                  <w:dstrike w:val="false"/>
                  <w:color w:val="0000FF"/>
                  <w:sz w:val="20"/>
                  <w:u w:val="none"/>
                  <w:effect w:val="none"/>
                </w:rPr>
                <w:t>Legal Proceedings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64bc59c8010453a86284924d302b0c2_154">
              <w:r>
                <w:rPr>
                  <w:rStyle w:val="InternetLink"/>
                  <w:rFonts w:ascii="Times New Roman;sans-serif" w:hAnsi="Times New Roman;sans-serif"/>
                  <w:b w:val="false"/>
                  <w:strike w:val="false"/>
                  <w:dstrike w:val="false"/>
                  <w:color w:val="000000"/>
                  <w:sz w:val="20"/>
                  <w:u w:val="none"/>
                  <w:effect w:val="none"/>
                </w:rPr>
                <w:t>73</w:t>
              </w:r>
            </w:hyperlink>
          </w:p>
        </w:tc>
      </w:tr>
      <w:tr>
        <w:trPr/>
        <w:tc>
          <w:tcPr>
            <w:tcW w:w="16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FF"/>
                <w:sz w:val="20"/>
              </w:rPr>
            </w:pPr>
            <w:r>
              <w:rPr>
                <w:rFonts w:ascii="Times New Roman;sans-serif" w:hAnsi="Times New Roman;sans-serif"/>
                <w:b/>
                <w:color w:val="0000FF"/>
                <w:sz w:val="20"/>
              </w:rPr>
              <w:t>Item 1A.</w:t>
            </w:r>
          </w:p>
        </w:tc>
        <w:tc>
          <w:tcPr>
            <w:tcW w:w="80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FF"/>
                <w:sz w:val="20"/>
              </w:rPr>
            </w:pPr>
            <w:r>
              <w:rPr>
                <w:rFonts w:ascii="Times New Roman;sans-serif" w:hAnsi="Times New Roman;sans-serif"/>
                <w:b/>
                <w:color w:val="0000FF"/>
                <w:sz w:val="20"/>
              </w:rPr>
              <w:t xml:space="preserve">Risk Factors </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64bc59c8010453a86284924d302b0c2_157">
              <w:r>
                <w:rPr>
                  <w:rStyle w:val="InternetLink"/>
                  <w:rFonts w:ascii="Times New Roman;sans-serif" w:hAnsi="Times New Roman;sans-serif"/>
                  <w:b w:val="false"/>
                  <w:strike w:val="false"/>
                  <w:dstrike w:val="false"/>
                  <w:color w:val="000000"/>
                  <w:sz w:val="20"/>
                  <w:u w:val="none"/>
                  <w:effect w:val="none"/>
                </w:rPr>
                <w:t>73</w:t>
              </w:r>
            </w:hyperlink>
          </w:p>
        </w:tc>
      </w:tr>
      <w:tr>
        <w:trPr/>
        <w:tc>
          <w:tcPr>
            <w:tcW w:w="1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4bc59c8010453a86284924d302b0c2_160">
              <w:r>
                <w:rPr>
                  <w:rStyle w:val="InternetLink"/>
                  <w:rFonts w:ascii="Times New Roman;sans-serif" w:hAnsi="Times New Roman;sans-serif"/>
                  <w:b/>
                  <w:strike w:val="false"/>
                  <w:dstrike w:val="false"/>
                  <w:color w:val="0000FF"/>
                  <w:sz w:val="20"/>
                  <w:u w:val="none"/>
                  <w:effect w:val="none"/>
                </w:rPr>
                <w:t>Item 2.</w:t>
              </w:r>
            </w:hyperlink>
          </w:p>
        </w:tc>
        <w:tc>
          <w:tcPr>
            <w:tcW w:w="8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4bc59c8010453a86284924d302b0c2_160">
              <w:r>
                <w:rPr>
                  <w:rStyle w:val="InternetLink"/>
                  <w:rFonts w:ascii="Times New Roman;sans-serif" w:hAnsi="Times New Roman;sans-serif"/>
                  <w:b/>
                  <w:strike w:val="false"/>
                  <w:dstrike w:val="false"/>
                  <w:color w:val="0000FF"/>
                  <w:sz w:val="20"/>
                  <w:u w:val="none"/>
                  <w:effect w:val="none"/>
                </w:rPr>
                <w:t>Unregistered Sales of Equity Securities, Use of Proceeds, and Issuer Purchases of Equity Securities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64bc59c8010453a86284924d302b0c2_160">
              <w:r>
                <w:rPr>
                  <w:rStyle w:val="InternetLink"/>
                  <w:rFonts w:ascii="Times New Roman;sans-serif" w:hAnsi="Times New Roman;sans-serif"/>
                  <w:b w:val="false"/>
                  <w:strike w:val="false"/>
                  <w:dstrike w:val="false"/>
                  <w:color w:val="000000"/>
                  <w:sz w:val="20"/>
                  <w:u w:val="none"/>
                  <w:effect w:val="none"/>
                </w:rPr>
                <w:t>73</w:t>
              </w:r>
            </w:hyperlink>
          </w:p>
        </w:tc>
      </w:tr>
      <w:tr>
        <w:trPr/>
        <w:tc>
          <w:tcPr>
            <w:tcW w:w="1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4bc59c8010453a86284924d302b0c2_163">
              <w:r>
                <w:rPr>
                  <w:rStyle w:val="InternetLink"/>
                  <w:rFonts w:ascii="Times New Roman;sans-serif" w:hAnsi="Times New Roman;sans-serif"/>
                  <w:b/>
                  <w:strike w:val="false"/>
                  <w:dstrike w:val="false"/>
                  <w:color w:val="0000FF"/>
                  <w:sz w:val="20"/>
                  <w:u w:val="none"/>
                  <w:effect w:val="none"/>
                </w:rPr>
                <w:t>Item 3.</w:t>
              </w:r>
            </w:hyperlink>
          </w:p>
        </w:tc>
        <w:tc>
          <w:tcPr>
            <w:tcW w:w="8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4bc59c8010453a86284924d302b0c2_163">
              <w:r>
                <w:rPr>
                  <w:rStyle w:val="InternetLink"/>
                  <w:rFonts w:ascii="Times New Roman;sans-serif" w:hAnsi="Times New Roman;sans-serif"/>
                  <w:b/>
                  <w:strike w:val="false"/>
                  <w:dstrike w:val="false"/>
                  <w:color w:val="0000FF"/>
                  <w:sz w:val="20"/>
                  <w:u w:val="none"/>
                  <w:effect w:val="none"/>
                </w:rPr>
                <w:t>Defaults Upon Senior Securities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64bc59c8010453a86284924d302b0c2_163">
              <w:r>
                <w:rPr>
                  <w:rStyle w:val="InternetLink"/>
                  <w:rFonts w:ascii="Times New Roman;sans-serif" w:hAnsi="Times New Roman;sans-serif"/>
                  <w:b w:val="false"/>
                  <w:strike w:val="false"/>
                  <w:dstrike w:val="false"/>
                  <w:color w:val="000000"/>
                  <w:sz w:val="20"/>
                  <w:u w:val="none"/>
                  <w:effect w:val="none"/>
                </w:rPr>
                <w:t>73</w:t>
              </w:r>
            </w:hyperlink>
          </w:p>
        </w:tc>
      </w:tr>
      <w:tr>
        <w:trPr/>
        <w:tc>
          <w:tcPr>
            <w:tcW w:w="1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4bc59c8010453a86284924d302b0c2_166">
              <w:r>
                <w:rPr>
                  <w:rStyle w:val="InternetLink"/>
                  <w:rFonts w:ascii="Times New Roman;sans-serif" w:hAnsi="Times New Roman;sans-serif"/>
                  <w:b/>
                  <w:strike w:val="false"/>
                  <w:dstrike w:val="false"/>
                  <w:color w:val="0000FF"/>
                  <w:sz w:val="20"/>
                  <w:u w:val="none"/>
                  <w:effect w:val="none"/>
                </w:rPr>
                <w:t>Item 4.</w:t>
              </w:r>
            </w:hyperlink>
          </w:p>
        </w:tc>
        <w:tc>
          <w:tcPr>
            <w:tcW w:w="8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4bc59c8010453a86284924d302b0c2_166">
              <w:r>
                <w:rPr>
                  <w:rStyle w:val="InternetLink"/>
                  <w:rFonts w:ascii="Times New Roman;sans-serif" w:hAnsi="Times New Roman;sans-serif"/>
                  <w:b/>
                  <w:strike w:val="false"/>
                  <w:dstrike w:val="false"/>
                  <w:color w:val="0000FF"/>
                  <w:sz w:val="20"/>
                  <w:u w:val="none"/>
                  <w:effect w:val="none"/>
                </w:rPr>
                <w:t>Mine Safety Disclosures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64bc59c8010453a86284924d302b0c2_166">
              <w:r>
                <w:rPr>
                  <w:rStyle w:val="InternetLink"/>
                  <w:rFonts w:ascii="Times New Roman;sans-serif" w:hAnsi="Times New Roman;sans-serif"/>
                  <w:b w:val="false"/>
                  <w:strike w:val="false"/>
                  <w:dstrike w:val="false"/>
                  <w:color w:val="000000"/>
                  <w:sz w:val="20"/>
                  <w:u w:val="none"/>
                  <w:effect w:val="none"/>
                </w:rPr>
                <w:t>73</w:t>
              </w:r>
            </w:hyperlink>
          </w:p>
        </w:tc>
      </w:tr>
      <w:tr>
        <w:trPr/>
        <w:tc>
          <w:tcPr>
            <w:tcW w:w="1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4bc59c8010453a86284924d302b0c2_169">
              <w:r>
                <w:rPr>
                  <w:rStyle w:val="InternetLink"/>
                  <w:rFonts w:ascii="Times New Roman;sans-serif" w:hAnsi="Times New Roman;sans-serif"/>
                  <w:b/>
                  <w:strike w:val="false"/>
                  <w:dstrike w:val="false"/>
                  <w:color w:val="0000FF"/>
                  <w:sz w:val="20"/>
                  <w:u w:val="none"/>
                  <w:effect w:val="none"/>
                </w:rPr>
                <w:t>Item 5.</w:t>
              </w:r>
            </w:hyperlink>
          </w:p>
        </w:tc>
        <w:tc>
          <w:tcPr>
            <w:tcW w:w="8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4bc59c8010453a86284924d302b0c2_169">
              <w:r>
                <w:rPr>
                  <w:rStyle w:val="InternetLink"/>
                  <w:rFonts w:ascii="Times New Roman;sans-serif" w:hAnsi="Times New Roman;sans-serif"/>
                  <w:b/>
                  <w:strike w:val="false"/>
                  <w:dstrike w:val="false"/>
                  <w:color w:val="0000FF"/>
                  <w:sz w:val="20"/>
                  <w:u w:val="none"/>
                  <w:effect w:val="none"/>
                </w:rPr>
                <w:t>Other Information</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64bc59c8010453a86284924d302b0c2_169">
              <w:r>
                <w:rPr>
                  <w:rStyle w:val="InternetLink"/>
                  <w:rFonts w:ascii="Times New Roman;sans-serif" w:hAnsi="Times New Roman;sans-serif"/>
                  <w:b w:val="false"/>
                  <w:strike w:val="false"/>
                  <w:dstrike w:val="false"/>
                  <w:color w:val="000000"/>
                  <w:sz w:val="20"/>
                  <w:u w:val="none"/>
                  <w:effect w:val="none"/>
                </w:rPr>
                <w:t>73</w:t>
              </w:r>
            </w:hyperlink>
          </w:p>
        </w:tc>
      </w:tr>
      <w:tr>
        <w:trPr/>
        <w:tc>
          <w:tcPr>
            <w:tcW w:w="1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4bc59c8010453a86284924d302b0c2_172">
              <w:r>
                <w:rPr>
                  <w:rStyle w:val="InternetLink"/>
                  <w:rFonts w:ascii="Times New Roman;sans-serif" w:hAnsi="Times New Roman;sans-serif"/>
                  <w:b/>
                  <w:strike w:val="false"/>
                  <w:dstrike w:val="false"/>
                  <w:color w:val="0000FF"/>
                  <w:sz w:val="20"/>
                  <w:u w:val="none"/>
                  <w:effect w:val="none"/>
                </w:rPr>
                <w:t>Item 6.</w:t>
              </w:r>
            </w:hyperlink>
          </w:p>
        </w:tc>
        <w:tc>
          <w:tcPr>
            <w:tcW w:w="8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4bc59c8010453a86284924d302b0c2_172">
              <w:r>
                <w:rPr>
                  <w:rStyle w:val="InternetLink"/>
                  <w:rFonts w:ascii="Times New Roman;sans-serif" w:hAnsi="Times New Roman;sans-serif"/>
                  <w:b/>
                  <w:strike w:val="false"/>
                  <w:dstrike w:val="false"/>
                  <w:color w:val="0000FF"/>
                  <w:sz w:val="20"/>
                  <w:u w:val="none"/>
                  <w:effect w:val="none"/>
                </w:rPr>
                <w:t>Exhibits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64bc59c8010453a86284924d302b0c2_172">
              <w:r>
                <w:rPr>
                  <w:rStyle w:val="InternetLink"/>
                  <w:rFonts w:ascii="Times New Roman;sans-serif" w:hAnsi="Times New Roman;sans-serif"/>
                  <w:b w:val="false"/>
                  <w:strike w:val="false"/>
                  <w:dstrike w:val="false"/>
                  <w:color w:val="000000"/>
                  <w:sz w:val="20"/>
                  <w:u w:val="none"/>
                  <w:effect w:val="none"/>
                </w:rPr>
                <w:t>75</w:t>
              </w:r>
            </w:hyperlink>
          </w:p>
        </w:tc>
      </w:tr>
      <w:tr>
        <w:trPr/>
        <w:tc>
          <w:tcPr>
            <w:tcW w:w="969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64bc59c8010453a86284924d302b0c2_175">
              <w:r>
                <w:rPr>
                  <w:rStyle w:val="InternetLink"/>
                  <w:rFonts w:ascii="Times New Roman;sans-serif" w:hAnsi="Times New Roman;sans-serif"/>
                  <w:b w:val="false"/>
                  <w:color w:val="0000FF"/>
                  <w:sz w:val="20"/>
                  <w:u w:val="single"/>
                </w:rPr>
                <w:t>Signatures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64bc59c8010453a86284924d302b0c2_175">
              <w:r>
                <w:rPr>
                  <w:rStyle w:val="InternetLink"/>
                  <w:rFonts w:ascii="Times New Roman;sans-serif" w:hAnsi="Times New Roman;sans-serif"/>
                  <w:b w:val="false"/>
                  <w:strike w:val="false"/>
                  <w:dstrike w:val="false"/>
                  <w:color w:val="000000"/>
                  <w:sz w:val="20"/>
                  <w:u w:val="none"/>
                  <w:effect w:val="none"/>
                </w:rPr>
                <w:t>76</w:t>
              </w:r>
            </w:hyperlink>
          </w:p>
        </w:tc>
      </w:tr>
    </w:tbl>
    <w:p>
      <w:pPr>
        <w:pStyle w:val="TextBody"/>
        <w:bidi w:val="0"/>
        <w:spacing w:before="240" w:after="283"/>
        <w:ind w:left="0" w:right="0" w:firstLine="504"/>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48285"/>
                <wp:effectExtent l="0" t="0" r="0" b="0"/>
                <wp:wrapNone/>
                <wp:docPr id="2" name="Frame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160" w:after="283"/>
        <w:ind w:left="0" w:right="0" w:firstLine="504"/>
        <w:jc w:val="left"/>
        <w:rPr/>
      </w:pPr>
      <w:hyperlink w:anchor="ic64bc59c8010453a86284924d302b0c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885"/>
        <w:gridCol w:w="2217"/>
        <w:gridCol w:w="2239"/>
        <w:gridCol w:w="211"/>
        <w:gridCol w:w="830"/>
        <w:gridCol w:w="109"/>
        <w:gridCol w:w="109"/>
        <w:gridCol w:w="109"/>
        <w:gridCol w:w="109"/>
        <w:gridCol w:w="231"/>
        <w:gridCol w:w="909"/>
        <w:gridCol w:w="247"/>
      </w:tblGrid>
      <w:tr>
        <w:trPr/>
        <w:tc>
          <w:tcPr>
            <w:tcW w:w="2885"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91,364 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417,812 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net</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4,877 </w:t>
            </w:r>
          </w:p>
        </w:tc>
        <w:tc>
          <w:tcPr>
            <w:tcW w:w="24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530,539 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93,170 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62,391 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accrued interest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liabilities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warrant liabilities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payable</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91,150 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261,176 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obligations on sale and lease back transaction</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less current portion</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1,338 </w:t>
            </w:r>
          </w:p>
        </w:tc>
        <w:tc>
          <w:tcPr>
            <w:tcW w:w="247"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302,303 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10)</w:t>
            </w:r>
          </w:p>
        </w:tc>
        <w:tc>
          <w:tcPr>
            <w:tcW w:w="11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443,625,000 and 49,291,667 shares authorized; 441,264,626 and 42,433,025 shares issued and outstanding as of June 30, 2024 and December 31, 2023, respectively</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$0.0001 par value; 19,687,500 and 2,187,500 shares authorized; 266,670 shares issued and outstanding as of June 30, 2024 and December 31, 2023, respectively</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10,000,000 shares authorized, 1 and zero shares issued and outstanding as of June 30, 2024 and December 31, 2023</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4,257,313 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4,180,869 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(3,958,499)</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228,236 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457,888 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530,539 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48285"/>
                <wp:effectExtent l="0" t="0" r="0" b="0"/>
                <wp:wrapNone/>
                <wp:docPr id="3" name="Frame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160" w:after="283"/>
        <w:ind w:left="0" w:right="0" w:firstLine="504"/>
        <w:jc w:val="left"/>
        <w:rPr/>
      </w:pPr>
      <w:hyperlink w:anchor="ic64bc59c8010453a86284924d302b0c2_7">
        <w:r>
          <w:rPr>
            <w:rStyle w:val="InternetLink"/>
            <w:rFonts w:ascii="Times New Roman;sans-serif" w:hAnsi="Times New Roman;sans-serif"/>
            <w:b w:val="false"/>
            <w:color w:val="0000FF"/>
            <w:sz w:val="20"/>
            <w:u w:val="single"/>
          </w:rPr>
          <w:t>Table of Contents</w:t>
        </w:r>
      </w:hyperlink>
    </w:p>
    <w:p>
      <w:pPr>
        <w:pStyle w:val="TextBody"/>
        <w:bidi w:val="0"/>
        <w:spacing w:before="160" w:after="283"/>
        <w:ind w:left="0" w:right="0" w:firstLine="504"/>
        <w:jc w:val="left"/>
        <w:rPr/>
      </w:pPr>
      <w:r>
        <w:rPr/>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Operations and Comprehensive Loss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709"/>
        <w:gridCol w:w="1246"/>
        <w:gridCol w:w="1259"/>
        <w:gridCol w:w="237"/>
        <w:gridCol w:w="949"/>
        <w:gridCol w:w="109"/>
        <w:gridCol w:w="109"/>
        <w:gridCol w:w="109"/>
        <w:gridCol w:w="109"/>
        <w:gridCol w:w="211"/>
        <w:gridCol w:w="867"/>
        <w:gridCol w:w="109"/>
        <w:gridCol w:w="109"/>
        <w:gridCol w:w="109"/>
        <w:gridCol w:w="109"/>
        <w:gridCol w:w="237"/>
        <w:gridCol w:w="949"/>
        <w:gridCol w:w="109"/>
        <w:gridCol w:w="109"/>
        <w:gridCol w:w="109"/>
        <w:gridCol w:w="109"/>
        <w:gridCol w:w="211"/>
        <w:gridCol w:w="867"/>
        <w:gridCol w:w="155"/>
      </w:tblGrid>
      <w:tr>
        <w:trPr/>
        <w:tc>
          <w:tcPr>
            <w:tcW w:w="17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 of revenues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impairment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on disposal on property, plant and equipment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earnout liability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145,214 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(151,827)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notes payable and warrant liabilities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related party notes payable and related party warrant liabilities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notes payable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(183,528)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related party notes payable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(269,873)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(269,901)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of Class A and B Common Stock attributable to common stockholders: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(67.21)</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in computing net loss per share of Class A and B Common Stock:</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351,128,013 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213,375,206 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4,015,695 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351,128,013 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213,375,206 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4,015,695 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loss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(264,334)</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48285"/>
                <wp:effectExtent l="0" t="0" r="0" b="0"/>
                <wp:wrapNone/>
                <wp:docPr id="4" name="Frame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Stockholders’ Equity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share data)</w:t>
      </w:r>
    </w:p>
    <w:p>
      <w:pPr>
        <w:pStyle w:val="TextBody"/>
        <w:bidi w:val="0"/>
        <w:spacing w:before="0" w:after="0"/>
        <w:jc w:val="center"/>
        <w:rPr/>
      </w:pPr>
      <w:r>
        <w:rPr/>
      </w:r>
    </w:p>
    <w:tbl>
      <w:tblPr>
        <w:tblW w:w="12105" w:type="dxa"/>
        <w:jc w:val="center"/>
        <w:tblInd w:w="0" w:type="dxa"/>
        <w:tblLayout w:type="fixed"/>
        <w:tblCellMar>
          <w:top w:w="28" w:type="dxa"/>
          <w:left w:w="28" w:type="dxa"/>
          <w:bottom w:w="28" w:type="dxa"/>
          <w:right w:w="28" w:type="dxa"/>
        </w:tblCellMar>
      </w:tblPr>
      <w:tblGrid>
        <w:gridCol w:w="636"/>
        <w:gridCol w:w="229"/>
        <w:gridCol w:w="231"/>
        <w:gridCol w:w="525"/>
        <w:gridCol w:w="526"/>
        <w:gridCol w:w="211"/>
        <w:gridCol w:w="109"/>
        <w:gridCol w:w="109"/>
        <w:gridCol w:w="109"/>
        <w:gridCol w:w="231"/>
        <w:gridCol w:w="390"/>
        <w:gridCol w:w="130"/>
        <w:gridCol w:w="109"/>
        <w:gridCol w:w="109"/>
        <w:gridCol w:w="109"/>
        <w:gridCol w:w="368"/>
        <w:gridCol w:w="368"/>
        <w:gridCol w:w="211"/>
        <w:gridCol w:w="109"/>
        <w:gridCol w:w="109"/>
        <w:gridCol w:w="109"/>
        <w:gridCol w:w="207"/>
        <w:gridCol w:w="428"/>
        <w:gridCol w:w="116"/>
        <w:gridCol w:w="109"/>
        <w:gridCol w:w="109"/>
        <w:gridCol w:w="109"/>
        <w:gridCol w:w="196"/>
        <w:gridCol w:w="871"/>
        <w:gridCol w:w="109"/>
        <w:gridCol w:w="109"/>
        <w:gridCol w:w="109"/>
        <w:gridCol w:w="109"/>
        <w:gridCol w:w="294"/>
        <w:gridCol w:w="859"/>
        <w:gridCol w:w="153"/>
        <w:gridCol w:w="109"/>
        <w:gridCol w:w="109"/>
        <w:gridCol w:w="109"/>
        <w:gridCol w:w="211"/>
        <w:gridCol w:w="991"/>
        <w:gridCol w:w="109"/>
        <w:gridCol w:w="109"/>
        <w:gridCol w:w="109"/>
        <w:gridCol w:w="109"/>
        <w:gridCol w:w="219"/>
        <w:gridCol w:w="824"/>
        <w:gridCol w:w="173"/>
      </w:tblGrid>
      <w:tr>
        <w:trPr/>
        <w:tc>
          <w:tcPr>
            <w:tcW w:w="63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br/>
              <w:t xml:space="preserve">Other </w:t>
              <w:br/>
              <w:t xml:space="preserve">Comprehensive </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March 31, 2024</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159,390,384 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266,670 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4,202,125 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201,519 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notes payable and accrued interest into Class A Common Stock (Note 7)</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281,874,242 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55,099 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(108,685)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June 30, 2024</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441,264,626 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266,670 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4,257,313 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6,726 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(4,115,401)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148,682 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pStyle w:val="TextBody"/>
        <w:bidi w:val="0"/>
        <w:spacing w:before="300" w:after="240"/>
        <w:jc w:val="center"/>
        <w:rPr/>
      </w:pPr>
      <w:r>
        <w:rPr/>
      </w:r>
    </w:p>
    <w:p>
      <w:pPr>
        <w:pStyle w:val="TextBody"/>
        <w:bidi w:val="0"/>
        <w:spacing w:before="300" w:after="240"/>
        <w:jc w:val="center"/>
        <w:rPr/>
      </w:pPr>
      <w:r>
        <w:rPr/>
      </w:r>
    </w:p>
    <w:p>
      <w:pPr>
        <w:pStyle w:val="TextBody"/>
        <w:bidi w:val="0"/>
        <w:spacing w:before="300" w:after="240"/>
        <w:jc w:val="center"/>
        <w:rPr/>
      </w:pPr>
      <w:r>
        <w:rPr/>
      </w:r>
    </w:p>
    <w:p>
      <w:pPr>
        <w:pStyle w:val="TextBody"/>
        <w:bidi w:val="0"/>
        <w:spacing w:before="30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48285"/>
                <wp:effectExtent l="0" t="0" r="0" b="0"/>
                <wp:wrapNone/>
                <wp:docPr id="5" name="Frame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60" w:after="283"/>
        <w:ind w:left="0" w:right="0" w:firstLine="504"/>
        <w:jc w:val="left"/>
        <w:rPr/>
      </w:pPr>
      <w:hyperlink w:anchor="ic64bc59c8010453a86284924d302b0c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Stockholders’ Equity (Continued)</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share data)</w:t>
      </w:r>
    </w:p>
    <w:tbl>
      <w:tblPr>
        <w:tblW w:w="12105" w:type="dxa"/>
        <w:jc w:val="center"/>
        <w:tblInd w:w="0" w:type="dxa"/>
        <w:tblLayout w:type="fixed"/>
        <w:tblCellMar>
          <w:top w:w="28" w:type="dxa"/>
          <w:left w:w="28" w:type="dxa"/>
          <w:bottom w:w="28" w:type="dxa"/>
          <w:right w:w="28" w:type="dxa"/>
        </w:tblCellMar>
      </w:tblPr>
      <w:tblGrid>
        <w:gridCol w:w="473"/>
        <w:gridCol w:w="311"/>
        <w:gridCol w:w="312"/>
        <w:gridCol w:w="524"/>
        <w:gridCol w:w="527"/>
        <w:gridCol w:w="211"/>
        <w:gridCol w:w="109"/>
        <w:gridCol w:w="109"/>
        <w:gridCol w:w="109"/>
        <w:gridCol w:w="231"/>
        <w:gridCol w:w="390"/>
        <w:gridCol w:w="130"/>
        <w:gridCol w:w="109"/>
        <w:gridCol w:w="109"/>
        <w:gridCol w:w="109"/>
        <w:gridCol w:w="368"/>
        <w:gridCol w:w="368"/>
        <w:gridCol w:w="211"/>
        <w:gridCol w:w="109"/>
        <w:gridCol w:w="109"/>
        <w:gridCol w:w="109"/>
        <w:gridCol w:w="207"/>
        <w:gridCol w:w="428"/>
        <w:gridCol w:w="116"/>
        <w:gridCol w:w="109"/>
        <w:gridCol w:w="109"/>
        <w:gridCol w:w="109"/>
        <w:gridCol w:w="196"/>
        <w:gridCol w:w="871"/>
        <w:gridCol w:w="109"/>
        <w:gridCol w:w="109"/>
        <w:gridCol w:w="109"/>
        <w:gridCol w:w="109"/>
        <w:gridCol w:w="294"/>
        <w:gridCol w:w="859"/>
        <w:gridCol w:w="153"/>
        <w:gridCol w:w="109"/>
        <w:gridCol w:w="109"/>
        <w:gridCol w:w="109"/>
        <w:gridCol w:w="211"/>
        <w:gridCol w:w="991"/>
        <w:gridCol w:w="109"/>
        <w:gridCol w:w="109"/>
        <w:gridCol w:w="109"/>
        <w:gridCol w:w="109"/>
        <w:gridCol w:w="219"/>
        <w:gridCol w:w="824"/>
        <w:gridCol w:w="173"/>
      </w:tblGrid>
      <w:tr>
        <w:trPr/>
        <w:tc>
          <w:tcPr>
            <w:tcW w:w="47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br/>
              <w:t xml:space="preserve">Other </w:t>
              <w:b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Balance as of December 31, 2023</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42,433,025 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266,670 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4,180,869 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(3,958,499)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228,236 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Conversion of notes payable and accrued interest into Class A Common Stock (Note 7)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398,819,335 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75,826 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Reverse stock split related round up share issuances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(156,902)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June 30, 2024</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441,264,626 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266,670 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4,257,313 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6,726 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(4,115,401)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148,682 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48285"/>
                <wp:effectExtent l="0" t="0" r="0" b="0"/>
                <wp:wrapNone/>
                <wp:docPr id="6" name="Frame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Stockholders’ Equity (Continued)</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share data)</w:t>
      </w:r>
    </w:p>
    <w:p>
      <w:pPr>
        <w:pStyle w:val="TextBody"/>
        <w:bidi w:val="0"/>
        <w:spacing w:before="0" w:after="0"/>
        <w:jc w:val="center"/>
        <w:rPr/>
      </w:pPr>
      <w:r>
        <w:rPr/>
      </w:r>
    </w:p>
    <w:tbl>
      <w:tblPr>
        <w:tblW w:w="15936" w:type="dxa"/>
        <w:jc w:val="left"/>
        <w:tblInd w:w="0" w:type="dxa"/>
        <w:tblLayout w:type="fixed"/>
        <w:tblCellMar>
          <w:top w:w="28" w:type="dxa"/>
          <w:left w:w="28" w:type="dxa"/>
          <w:bottom w:w="28" w:type="dxa"/>
          <w:right w:w="28" w:type="dxa"/>
        </w:tblCellMar>
      </w:tblPr>
      <w:tblGrid>
        <w:gridCol w:w="771"/>
        <w:gridCol w:w="229"/>
        <w:gridCol w:w="231"/>
        <w:gridCol w:w="109"/>
        <w:gridCol w:w="109"/>
        <w:gridCol w:w="109"/>
        <w:gridCol w:w="118"/>
        <w:gridCol w:w="118"/>
        <w:gridCol w:w="118"/>
        <w:gridCol w:w="118"/>
        <w:gridCol w:w="235"/>
        <w:gridCol w:w="235"/>
        <w:gridCol w:w="236"/>
        <w:gridCol w:w="109"/>
        <w:gridCol w:w="931"/>
        <w:gridCol w:w="109"/>
        <w:gridCol w:w="109"/>
        <w:gridCol w:w="109"/>
        <w:gridCol w:w="488"/>
        <w:gridCol w:w="488"/>
        <w:gridCol w:w="436"/>
        <w:gridCol w:w="109"/>
        <w:gridCol w:w="109"/>
        <w:gridCol w:w="109"/>
        <w:gridCol w:w="327"/>
        <w:gridCol w:w="629"/>
        <w:gridCol w:w="170"/>
        <w:gridCol w:w="210"/>
        <w:gridCol w:w="210"/>
        <w:gridCol w:w="211"/>
        <w:gridCol w:w="436"/>
        <w:gridCol w:w="390"/>
        <w:gridCol w:w="391"/>
        <w:gridCol w:w="109"/>
        <w:gridCol w:w="109"/>
        <w:gridCol w:w="109"/>
        <w:gridCol w:w="218"/>
        <w:gridCol w:w="419"/>
        <w:gridCol w:w="114"/>
        <w:gridCol w:w="109"/>
        <w:gridCol w:w="109"/>
        <w:gridCol w:w="109"/>
        <w:gridCol w:w="211"/>
        <w:gridCol w:w="976"/>
        <w:gridCol w:w="109"/>
        <w:gridCol w:w="109"/>
        <w:gridCol w:w="109"/>
        <w:gridCol w:w="109"/>
        <w:gridCol w:w="211"/>
        <w:gridCol w:w="616"/>
        <w:gridCol w:w="109"/>
        <w:gridCol w:w="109"/>
        <w:gridCol w:w="109"/>
        <w:gridCol w:w="109"/>
        <w:gridCol w:w="211"/>
        <w:gridCol w:w="991"/>
        <w:gridCol w:w="109"/>
        <w:gridCol w:w="109"/>
        <w:gridCol w:w="109"/>
        <w:gridCol w:w="109"/>
        <w:gridCol w:w="211"/>
        <w:gridCol w:w="826"/>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br/>
              <w:t xml:space="preserve">Other </w:t>
              <w:br/>
              <w:t xml:space="preserve">Comprehensive </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7120" w:type="dxa"/>
            <w:gridSpan w:val="30"/>
            <w:tcBorders/>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vMerge w:val="continue"/>
            <w:tcBorders/>
            <w:tcMar>
              <w:top w:w="0" w:type="dxa"/>
              <w:left w:w="0" w:type="dxa"/>
              <w:bottom w:w="0" w:type="dxa"/>
              <w:right w:w="0" w:type="dxa"/>
            </w:tcMar>
            <w:vAlign w:val="center"/>
          </w:tcPr>
          <w:p>
            <w:pPr>
              <w:pStyle w:val="Normal"/>
              <w:bidi w:val="0"/>
              <w:jc w:val="left"/>
              <w:rPr/>
            </w:pPr>
            <w:r>
              <w:rPr/>
            </w:r>
          </w:p>
        </w:tc>
        <w:tc>
          <w:tcPr>
            <w:tcW w:w="20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B</w:t>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21"/>
            <w:tcBorders/>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tcPr>
          <w:p>
            <w:pPr>
              <w:pStyle w:val="Normal"/>
              <w:bidi w:val="0"/>
              <w:jc w:val="left"/>
              <w:rPr/>
            </w:pPr>
            <w:r>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3,495,303 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266,670 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(3,671,728)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notes payable and accrued interest into Class A Common Stock (Note 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2,431,875 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144,928 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earnout shares from equity to liability on April 21, 2023 due to insufficient authorized shares (Note 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stock-based awards from equity to liability on April 21, 2023 due to insufficient authorized shares (Note 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for RSU vesting net of tax withholdings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6,154 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5,932,301 </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266,670 </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4,065,284 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(3,796,656)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277,700 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left"/>
        <w:rPr/>
      </w:pPr>
      <w:r>
        <w:rPr/>
      </w:r>
    </w:p>
    <w:p>
      <w:pPr>
        <w:pStyle w:val="TextBody"/>
        <w:bidi w:val="0"/>
        <w:spacing w:lineRule="auto" w:line="288" w:before="3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before="0" w:after="0"/>
        <w:ind w:left="0" w:right="0" w:firstLine="504"/>
        <w:jc w:val="left"/>
        <w:rPr/>
      </w:pPr>
      <w:r>
        <w:rPr/>
      </w:r>
    </w:p>
    <w:p>
      <w:pPr>
        <w:pStyle w:val="TextBody"/>
        <w:bidi w:val="0"/>
        <w:spacing w:before="160" w:after="283"/>
        <w:ind w:left="0" w:right="0" w:firstLine="504"/>
        <w:jc w:val="center"/>
        <w:rPr/>
      </w:pPr>
      <w:r>
        <w:rPr/>
      </w:r>
    </w:p>
    <w:p>
      <w:pPr>
        <w:pStyle w:val="TextBody"/>
        <w:bidi w:val="0"/>
        <w:spacing w:before="160" w:after="283"/>
        <w:ind w:left="0" w:right="0" w:firstLine="504"/>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48285"/>
                <wp:effectExtent l="0" t="0" r="0" b="0"/>
                <wp:wrapNone/>
                <wp:docPr id="7" name="Frame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Stockholders’ Equity (Continued)</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share data)</w:t>
      </w:r>
    </w:p>
    <w:p>
      <w:pPr>
        <w:pStyle w:val="TextBody"/>
        <w:bidi w:val="0"/>
        <w:spacing w:before="0" w:after="0"/>
        <w:jc w:val="center"/>
        <w:rPr/>
      </w:pPr>
      <w:r>
        <w:rPr/>
      </w:r>
    </w:p>
    <w:tbl>
      <w:tblPr>
        <w:tblW w:w="12267" w:type="dxa"/>
        <w:jc w:val="left"/>
        <w:tblInd w:w="0" w:type="dxa"/>
        <w:tblLayout w:type="fixed"/>
        <w:tblCellMar>
          <w:top w:w="28" w:type="dxa"/>
          <w:left w:w="28" w:type="dxa"/>
          <w:bottom w:w="28" w:type="dxa"/>
          <w:right w:w="28" w:type="dxa"/>
        </w:tblCellMar>
      </w:tblPr>
      <w:tblGrid>
        <w:gridCol w:w="608"/>
        <w:gridCol w:w="311"/>
        <w:gridCol w:w="312"/>
        <w:gridCol w:w="109"/>
        <w:gridCol w:w="109"/>
        <w:gridCol w:w="109"/>
        <w:gridCol w:w="435"/>
        <w:gridCol w:w="436"/>
        <w:gridCol w:w="211"/>
        <w:gridCol w:w="109"/>
        <w:gridCol w:w="109"/>
        <w:gridCol w:w="109"/>
        <w:gridCol w:w="207"/>
        <w:gridCol w:w="428"/>
        <w:gridCol w:w="116"/>
        <w:gridCol w:w="109"/>
        <w:gridCol w:w="109"/>
        <w:gridCol w:w="109"/>
        <w:gridCol w:w="368"/>
        <w:gridCol w:w="368"/>
        <w:gridCol w:w="211"/>
        <w:gridCol w:w="109"/>
        <w:gridCol w:w="109"/>
        <w:gridCol w:w="109"/>
        <w:gridCol w:w="207"/>
        <w:gridCol w:w="428"/>
        <w:gridCol w:w="116"/>
        <w:gridCol w:w="109"/>
        <w:gridCol w:w="109"/>
        <w:gridCol w:w="109"/>
        <w:gridCol w:w="196"/>
        <w:gridCol w:w="871"/>
        <w:gridCol w:w="109"/>
        <w:gridCol w:w="109"/>
        <w:gridCol w:w="109"/>
        <w:gridCol w:w="109"/>
        <w:gridCol w:w="297"/>
        <w:gridCol w:w="843"/>
        <w:gridCol w:w="166"/>
        <w:gridCol w:w="109"/>
        <w:gridCol w:w="109"/>
        <w:gridCol w:w="109"/>
        <w:gridCol w:w="196"/>
        <w:gridCol w:w="886"/>
        <w:gridCol w:w="109"/>
        <w:gridCol w:w="109"/>
        <w:gridCol w:w="109"/>
        <w:gridCol w:w="109"/>
        <w:gridCol w:w="219"/>
        <w:gridCol w:w="824"/>
        <w:gridCol w:w="173"/>
      </w:tblGrid>
      <w:tr>
        <w:trPr/>
        <w:tc>
          <w:tcPr>
            <w:tcW w:w="60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br/>
              <w:t xml:space="preserve">Other </w:t>
              <w:b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Balance as of December 31, 2022 (as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2,347,276 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266,670 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3,724,242 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(3,526,755)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200,992 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Conversion of notes payable and accrued interest into Class A Common Stock (Note 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3,363,291 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283,108 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classification of warrants from Additional paid-in capital to liability pursuant to the Warrant Exchange (Note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(6,811)</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February 28, 2023 earnout shares liability to equity due to authorized share increase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5,014 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February 28, 2023 stock-based awards liability to equity due to authorized share increase (Note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8,978 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earnout shares from equity to liability on April 21, 2023 due to insufficient authorized shares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stock-based awards from equity to liability on April 21, 2023 due to insufficient authorized shares (Note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(2,979)</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4,624 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213,037 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51,276 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for RSU vesting net of tax withholdings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Foreign currency translation adjustment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5,567 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(269,901)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Balance as of June 30, 2023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5,932,301 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266,670 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4,065,284 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9,072 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(3,796,656)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277,700 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ind w:left="0" w:right="0" w:firstLine="504"/>
        <w:jc w:val="left"/>
        <w:rPr/>
      </w:pPr>
      <w:r>
        <w:rPr/>
      </w:r>
    </w:p>
    <w:p>
      <w:pPr>
        <w:pStyle w:val="TextBody"/>
        <w:bidi w:val="0"/>
        <w:spacing w:lineRule="auto" w:line="288" w:before="3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48285"/>
                <wp:effectExtent l="0" t="0" r="0" b="0"/>
                <wp:wrapNone/>
                <wp:docPr id="8" name="Frame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60" w:after="283"/>
        <w:ind w:left="0" w:right="0" w:firstLine="504"/>
        <w:jc w:val="left"/>
        <w:rPr/>
      </w:pPr>
      <w:hyperlink w:anchor="ic64bc59c8010453a86284924d302b0c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Cash Flows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p>
      <w:pPr>
        <w:pStyle w:val="TextBody"/>
        <w:bidi w:val="0"/>
        <w:spacing w:before="0" w:after="0"/>
        <w:jc w:val="center"/>
        <w:rPr/>
      </w:pPr>
      <w:r>
        <w:rPr/>
      </w:r>
    </w:p>
    <w:tbl>
      <w:tblPr>
        <w:tblW w:w="9066" w:type="dxa"/>
        <w:jc w:val="center"/>
        <w:tblInd w:w="0" w:type="dxa"/>
        <w:tblLayout w:type="fixed"/>
        <w:tblCellMar>
          <w:top w:w="28" w:type="dxa"/>
          <w:left w:w="28" w:type="dxa"/>
          <w:bottom w:w="28" w:type="dxa"/>
          <w:right w:w="28" w:type="dxa"/>
        </w:tblCellMar>
      </w:tblPr>
      <w:tblGrid>
        <w:gridCol w:w="2218"/>
        <w:gridCol w:w="1952"/>
        <w:gridCol w:w="1965"/>
        <w:gridCol w:w="196"/>
        <w:gridCol w:w="811"/>
        <w:gridCol w:w="109"/>
        <w:gridCol w:w="109"/>
        <w:gridCol w:w="109"/>
        <w:gridCol w:w="109"/>
        <w:gridCol w:w="196"/>
        <w:gridCol w:w="811"/>
        <w:gridCol w:w="109"/>
        <w:gridCol w:w="109"/>
        <w:gridCol w:w="109"/>
        <w:gridCol w:w="154"/>
      </w:tblGrid>
      <w:tr>
        <w:trPr/>
        <w:tc>
          <w:tcPr>
            <w:tcW w:w="2218"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impairment loss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disposal of property, plant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related party notes payable and related party warrant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notes payable and warrant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measurement of earnout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lease right-of-use asset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foreign exchange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forgiveness of accounts payable and deposits,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settlement of notes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related party notes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Deposits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and non-current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Financial obligations on sale and lease back transaction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related party 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plant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notes payable, net of original issuance discount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related party notes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warrants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notes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of notes payable transaction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of related party notes payable transaction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finance lease obligations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restricted cash</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and restricted cash</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restricted cash, beginning of period</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restricted cash,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48285"/>
                <wp:effectExtent l="0" t="0" r="0" b="0"/>
                <wp:wrapNone/>
                <wp:docPr id="9" name="Frame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60" w:after="283"/>
        <w:ind w:left="0" w:right="0" w:firstLine="504"/>
        <w:jc w:val="left"/>
        <w:rPr/>
      </w:pPr>
      <w:hyperlink w:anchor="ic64bc59c8010453a86284924d302b0c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Cash Flows (Continued)</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p>
      <w:pPr>
        <w:pStyle w:val="TextBody"/>
        <w:bidi w:val="0"/>
        <w:spacing w:before="0" w:after="0"/>
        <w:jc w:val="center"/>
        <w:rPr/>
      </w:pPr>
      <w:r>
        <w:rPr/>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and restricted cash reported within the Unaudited Condensed Consolidated Balance Sheets that aggregate to the total of the same such amounts shown in the Unaudited Condensed Consolidated Statements of Cash Flows:</w:t>
      </w:r>
    </w:p>
    <w:tbl>
      <w:tblPr>
        <w:tblW w:w="10205" w:type="dxa"/>
        <w:jc w:val="center"/>
        <w:tblInd w:w="0" w:type="dxa"/>
        <w:tblLayout w:type="fixed"/>
        <w:tblCellMar>
          <w:top w:w="28" w:type="dxa"/>
          <w:left w:w="28" w:type="dxa"/>
          <w:bottom w:w="28" w:type="dxa"/>
          <w:right w:w="28" w:type="dxa"/>
        </w:tblCellMar>
      </w:tblPr>
      <w:tblGrid>
        <w:gridCol w:w="2669"/>
        <w:gridCol w:w="2291"/>
        <w:gridCol w:w="2306"/>
        <w:gridCol w:w="230"/>
        <w:gridCol w:w="760"/>
        <w:gridCol w:w="127"/>
        <w:gridCol w:w="109"/>
        <w:gridCol w:w="109"/>
        <w:gridCol w:w="109"/>
        <w:gridCol w:w="230"/>
        <w:gridCol w:w="760"/>
        <w:gridCol w:w="127"/>
        <w:gridCol w:w="109"/>
        <w:gridCol w:w="109"/>
        <w:gridCol w:w="160"/>
      </w:tblGrid>
      <w:tr>
        <w:trPr/>
        <w:tc>
          <w:tcPr>
            <w:tcW w:w="2669"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restricted cash</w:t>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and restricted cash</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19,396 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investing and financing activities</w:t>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of property, plant and equipment included in accounts payable and accrued expenses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42,690 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20,047 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February 28, 2023 stock-based awards liability to equity due to authorized share increase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notes payable, related party notes payable and accrued interest into Class A Common Stock (as restated)</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17,240 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106,458 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SPA Warrants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30,348 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Reduction in outstanding warrants pursuant to the Exchange Agreement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Secured SPA Notes pursuant to the Exchange Agreement</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classification of warrants from Additional paid-in capital to liability pursuant to the Warrant Exchange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February 28, 2023 earnout shares liability to equity due to authorized share increase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earnout shares from equity to liability on April 21, 2023 due to insufficient authorized shares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stock-based awards from equity to liability on April 21, 2023 due to insufficient authorized shares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40"/>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48285"/>
                <wp:effectExtent l="0" t="0" r="0" b="0"/>
                <wp:wrapNone/>
                <wp:docPr id="10" name="Frame1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1. Nature of Business and Organization and Basis of Presentation</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Nature of Business and Organization</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Faraday Future Intelligent Electric Inc. (the “Company” or “FF”), a holding company incorporated in the State of Delaware on February 11, 2020, conducts its operations through the subsidiaries of FF Intelligent Mobility Global Holdings Ltd. (“Legacy FF”), founded in 2014 and headquartered in Los Angeles, California.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in a single operating segment and designs and engineers next-generation, intelligent, electric vehicles. The Company manufactures its vehicles at the FF ieFactory California in Hanford, California and has additional engineering, sales, and operations capabilities in China. The Company has created innovations in technology, products, and a user-centered business model that are being incorporated into its planned electric vehicle platform.</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 and Basis of Presentation</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have been prepared in conformity with U.S. generally accepted accounting principles (“GAAP”) and include the accounts of the Company, its wholly-owned subsidiaries and all other entities in which the Company has a controlling financial interest, including the accounts of any variable interest entity in which the Company has a controlling financial interest and for which it is the primary beneficiary. All intercompany transactions and balances have been eliminated upon consolidation.</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Unaudited Condensed Consolidated Financial Statements do not include all disclosures that are normally included in annual audited financial statements prepared in accordance with GAAP and should be read in conjunction with the Company’s audited Consolidated Financial Statements and notes thereto for the year ended December 31, 2023, included in the Company’s Annual Report on Form 10-K filed with the Securities and Exchange Commission (“SEC”) on May 28, 2024 (as amended, the “Form 10-K”). Accordingly, the Unaudited Condensed Consolidated Balance Sheet as of December 31, 2023, has been derived from the Company’s annual audited Consolidated Financial Statements but does not contain all of the footnote disclosures from the annual financial statements. The Company believes that the disclosures included in this Quarterly Report on Form 10-Q (this “Form 10-Q”) are adequate to make the information presented not misleading.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Unaudited Condensed Consolidated Financial Statements contain all adjustments, consisting of only normal recurring adjustments, necessary for a fair statement of its financial position, results of operations, and cash flows for the periods presented. The accounting policies used in the preparation of these Unaudited Condensed Consolidated Financial Statements are the same as those disclosed in the audited Consolidated Financial Statements for the year ended December 31, 2023, included in the Form 10-K, except as described below.</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annual reporting period is the calendar year. The results of operations for the three and six months ended June 30, 2024 are not necessarily indicative of the results to be expected for the 2024 full year or any future periods.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 and Judgments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Company’s Unaudited Condensed Consolidated Financial Statements in conformity with generally accepted accounting principles requires management to make estimates and assumptions that affect the reported amounts and disclosures in such financial statements and in the accompanying notes. Actual results may differ materially from these estimates.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Estimates are based on historical experience, where applicable, and other assumptions that management believes are reasonable under the circumstances. On an ongoing basis, management evaluates its estimates, including those related to the: (i) recognition and disclosure of contingent liabilities, including litigation reserves; (ii) fair value of related party notes payable and notes payable; (iii) calculations related to the evaluation of possible long term asset impairment; and (iv) valuation of warrants. Such estimates often require the selection of appropriate valuation methodologies and financial models and may involve significant judgment in evaluating ranges of assumptions and financial inputs. Actual results may differ from those estimates under different assumptions, financial inputs, or circumstances.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Given the global economic climate, estimates are subject to additional volatility. As of the date of filing the Company’s Unaudited Condensed Consolidated Financial Statements on this Form 10-Q with the SEC for the period ended June 30, 2024, the Company is not aware of any specific event or circumstance that would require an update to its estimates or judgments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48285"/>
                <wp:effectExtent l="0" t="0" r="0" b="0"/>
                <wp:wrapNone/>
                <wp:docPr id="11" name="Frame1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revisions to the carrying value of its assets or liabilities. However, these estimates and judgments may change as new events occur and additional information is obtained, which may result in changes being recognized in the Company’s Unaudited Condensed Consolidated Financial Statements in future periods. Actual results could differ from those estimates and any such differences may have a material impact on the Company’s Unaudited Condensed Consolidated Financial Statements.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Revenue is recognized by the Company in accordance with Accounting Standards Update (“ASU”) 2014-09, Revenue from Contracts with Customers (Accounting Standards Codification (“ASC”) Topic 606) (“ASU 2014-09”).</w:t>
      </w:r>
    </w:p>
    <w:p>
      <w:pPr>
        <w:pStyle w:val="TextBody"/>
        <w:bidi w:val="0"/>
        <w:spacing w:lineRule="auto" w:line="288" w:before="1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recognize revenue under ASU 2014-09, the Company applies the following five steps:</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identify a customer along with a corresponding contract;</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identify the performance obligation(s) in the contract to transfer goods or provide distinct services to a customer;</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determine the transaction price the Company expects to be entitled to in exchange for transferring promised goods or services to a customer;</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allocate the transaction price to the performance obligation(s) in the contract; and</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recognize revenue when or as the Company satisfies the performance obligation(s).</w:t>
      </w:r>
    </w:p>
    <w:p>
      <w:pPr>
        <w:pStyle w:val="TextBody"/>
        <w:bidi w:val="0"/>
        <w:spacing w:lineRule="auto" w:line="288" w:before="1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which was primarily related to automotive sale revenue, was less than $0.3 million for the three and six months ended June 30, 2024. Revenue from automotive leasing, services and other revenue recognized for the three and six months ended June 30, 2023, was immaterial.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Automotive Sales Revenue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began the production of its first vehicle, the FF 91 Futurist (the “FF 91,” “FF 91 Futurist”, or “FF 91 2.0 Futurist Alliance”), in March 2023 and began delivering to customers in August 2023.</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Automotive sales revenue includes revenues related to deliveries of new vehicles, and specific other features and services including home charger, charger installation, 24/7 roadside assistance, over-the-air (“OTA”) software updates, internet connectivity and destination fees.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revenue on automotive sales upon delivery to the customer, which is when control of a vehicle transfers. Payments are typically received at the point control transfers or in accordance with payment terms customary to the business and as indicated in the sales contract. OTA software updates are provisioned upon transfer of control of a vehicle and recognized over time on a straight-line basis as the Company has a stand-ready obligation to deliver such services to the customer. For obligations related to automotive sales, FF estimates standalone selling price by considering costs used to develop and deliver the good or service, third-party pricing of similar options and other information that may be available. The transaction price is allocated among the performance obligations in proportion to the standalone selling price of the Company’s performance obligations. Vehicle contracts do not contain a significant financing component.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promises to the customer that are considered immaterial are combined with the vehicle performance obligation and recognized when the product has been transferred. The Company accrues costs to transfer these immaterial goods and services regardless of whether they have been transferred.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its customers with a residual value guarantee that may or may not be exercised in the future. The impact of such residual value guarantees was immaterial to the Company’s Unaudited Condensed Consolidated Statements of Operations and Comprehensive Loss for the three and six months ended June 30, 2024.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Co-creation Arrangements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Company’s Futurist Product Officers (“FPO”) Co-Creation Delivery program that began in August 2023, the Company has entered into co-creation agreements with certain customers. The arrangement leverages some of the Company’s sales and leasing customers to share vehicle feedback, driving data, ideas, and experiences with the Company’s engineers, social media posts and other promotions in exchange for specified fees. For the services performed, the Company compensates the respective customers through a monthly consulting fee payment or a discount on their monthly lease payment.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48285"/>
                <wp:effectExtent l="0" t="0" r="0" b="0"/>
                <wp:wrapNone/>
                <wp:docPr id="12" name="Frame1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consideration paid to these customers relate to marketing and R&amp;D services that are distinct and could be purchased by the Company from a separate third party. Management examined in detail the services provided by each respective customer in accordance with the co-creation agreement, established various data points, and rationally assigned a dollar amount that was deemed representative of the fair value of the services. Co-creation payments that exceed the fair value of the distinct services performed by the customer are considered consideration paid to the customer and were treated as a reduction in revenue. Co-creation fees recorded as a reduction to revenue and also within research and development (“R&amp;D”) expenses in the Unaudited Condensed Consolidated Financial Statements were less than $0.2 million and $0.4 million for the three and six months ended June 30, 2024, respectively.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and may continue to enter into co-creator consulting agreements with its customers under which customers share feedback, driving data, ideas, and experiences with the Company’s engineers, social media posts and other promotions in exchange for specified fees. The Company considers these arrangements consideration payable to a customer. The consideration paid to the customer relates to marketing and R&amp;D services that are distinct and could be purchased by the Company from a separate third party. The Company performs an analysis in which it maximizes the use of observable market inputs to ascribe a fair value to these services and record the fair value of these services to sales and marketing expense or R&amp;D expense, as applicable. Any consideration payable to a customer that is above the fair value of the distinct services being provided is treated as a reduction of revenue.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Automotive Leasing Revenue</w:t>
      </w:r>
    </w:p>
    <w:p>
      <w:pPr>
        <w:pStyle w:val="TextBody"/>
        <w:bidi w:val="0"/>
        <w:spacing w:lineRule="auto" w:line="288" w:before="16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Operating Leasing Program</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outstanding leases under its vehicle operating leasing program in the United States. Qualifying customers are permitted to lease a vehicle for up to 36 months. At the end of the lease term, customers are generally required to return the vehicle to the Company. The Company accounts for these leasing transactions as operating leases. The Company records leasing revenues to automotive leasing revenue on a straight-line basis over the contractual term, and it records the depreciation of these vehicles to cost of automotive leasing revenue. For the three and six months ended June 30, 2024, the revenue recorded for this program was immaterial. As of June 30, 2024, deferred lease-related upfront payments that will be recognized on a straight-line basis over the contractual terms of the individual leases were immaterial. The Company’s policy is to exclude taxes collected from a customer from the transaction price of automotive contracts.</w:t>
      </w:r>
    </w:p>
    <w:p>
      <w:pPr>
        <w:pStyle w:val="TextBody"/>
        <w:bidi w:val="0"/>
        <w:spacing w:lineRule="auto" w:line="288" w:before="16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Sales-Type Leasing Program</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outstanding leases accounted for as sales-type leases under ASC 842, Leases (“ASC 842”). Customers have the right to purchase the vehicle at the end of the lease term, which is usually 36 months. A customer qualifies under this program if the purchase option is reasonably certain to be exercised, and the Company therefore expects the customer to take title to the vehicle at the end of the lease term after making all contractual payments. The Company recognizes all revenue and costs associated with the sales-type lease as automotive leasing revenue and automotive leasing cost of revenue, respectively, upon delivery of the vehicle to the customer when collectability of lease payments is probable at lease commencement. If collectability of lease payments is not probable at commencement, the Company recognizes the lease payments as deposit liability on the Company’s Consolidated Balance Sheet and does not derecognize the leased vehicle until such point that collectability of lease payments becomes probable. For the three and six months ended June 30, 2024 and 2023, there was no revenue recognized under this program.</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Customer Deposits and Deferred Revenue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customers may reserve a vehicle and pre-order certain services by making a customer deposit, which is fully refundable at any time. Refundable deposits, for vehicle reservations and services, received from customers prior to an executed vehicle purchase agreement are recorded as customer deposits within Accrued expenses and other current liabilities on the Company’s Consolidated Balance Sheet.</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Customer deposits were $3.2 million each as of June 30, 2024 and December 31, 2023. When vehicle purchase agreements are executed, the consideration for the vehicle and any accompanying products and services must be paid in advance prior to the transfer of products or services by the Company. Such advance payments are considered non-refundable, and the Company defers revenue related to any products or services that are not yet transferred.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48285"/>
                <wp:effectExtent l="0" t="0" r="0" b="0"/>
                <wp:wrapNone/>
                <wp:docPr id="13" name="Frame1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Deferred revenue is equivalent to the total transaction price allocated to the performance obligations that are unsatisfied, or partially unsatisfied, as of the balance sheet date. </w:t>
      </w:r>
      <w:r>
        <w:rPr>
          <w:rFonts w:ascii="Times New Roman;sans-serif" w:hAnsi="Times New Roman;sans-serif"/>
          <w:b w:val="false"/>
          <w:color w:val="000000"/>
          <w:sz w:val="20"/>
          <w:shd w:fill="FFFFFF" w:val="clear"/>
        </w:rPr>
        <w:t>Deferred revenue related to products and services w</w:t>
      </w:r>
      <w:r>
        <w:rPr>
          <w:rFonts w:ascii="Times New Roman;sans-serif" w:hAnsi="Times New Roman;sans-serif"/>
          <w:b w:val="false"/>
          <w:color w:val="000000"/>
          <w:sz w:val="20"/>
        </w:rPr>
        <w:t>as immaterial a</w:t>
      </w:r>
      <w:r>
        <w:rPr>
          <w:rFonts w:ascii="Times New Roman;sans-serif" w:hAnsi="Times New Roman;sans-serif"/>
          <w:b w:val="false"/>
          <w:color w:val="000000"/>
          <w:sz w:val="20"/>
          <w:shd w:fill="FFFFFF" w:val="clear"/>
        </w:rPr>
        <w:t>s</w:t>
      </w:r>
      <w:r>
        <w:rPr>
          <w:color w:val="000000"/>
        </w:rPr>
        <w:t xml:space="preserve"> </w:t>
      </w:r>
      <w:r>
        <w:rPr>
          <w:rFonts w:ascii="Times New Roman;sans-serif" w:hAnsi="Times New Roman;sans-serif"/>
          <w:b w:val="false"/>
          <w:color w:val="000000"/>
          <w:sz w:val="20"/>
        </w:rPr>
        <w:t>of June 30, 2024 and December 31, 2023.</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Warranties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a manufacturer’s warranty on all vehicles sold. The warranty covers the rectification of reported defects via repair, replacement, or adjustment of faulty parts or components. The warranty does not cover any item where failure is due to normal wear and tear. This assurance-type warranty does not create a performance obligation separate from the vehicle. Management tracks warranty claims by vehicle ID, owner, and date. As the Company continues to manufacture and sell more vehicles, it will reassess and evaluate its warranty claims for purposes of its warranty accrual.</w:t>
      </w:r>
    </w:p>
    <w:tbl>
      <w:tblPr>
        <w:tblW w:w="6490" w:type="dxa"/>
        <w:jc w:val="left"/>
        <w:tblInd w:w="0" w:type="dxa"/>
        <w:tblLayout w:type="fixed"/>
        <w:tblCellMar>
          <w:top w:w="28" w:type="dxa"/>
          <w:left w:w="28" w:type="dxa"/>
          <w:bottom w:w="28" w:type="dxa"/>
          <w:right w:w="28" w:type="dxa"/>
        </w:tblCellMar>
      </w:tblPr>
      <w:tblGrid>
        <w:gridCol w:w="1184"/>
        <w:gridCol w:w="1041"/>
        <w:gridCol w:w="1044"/>
        <w:gridCol w:w="109"/>
        <w:gridCol w:w="109"/>
        <w:gridCol w:w="109"/>
        <w:gridCol w:w="735"/>
        <w:gridCol w:w="1623"/>
        <w:gridCol w:w="536"/>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2024</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warranty-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warranty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costs incurred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warranty-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p>
      <w:pPr>
        <w:pStyle w:val="TextBody"/>
        <w:bidi w:val="0"/>
        <w:spacing w:lineRule="auto" w:line="288" w:before="1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Automotive Sales Revenue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includes direct and indirect materials, labor costs, manufacturing overhead, including depreciation costs of tooling and machinery, shipping and logistic costs, vehicle connectivity costs, and reserves for estimated warranty expenses. Cost of automotive sales revenues also includes adjustments to warranty expense.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services and other revenue includes costs associated with providing non-warranty after-sales services, costs for retail merchandise, and costs to provide vehicle insurance. Cost of services and other revenue also includes direct parts and material. </w:t>
      </w:r>
    </w:p>
    <w:p>
      <w:pPr>
        <w:pStyle w:val="TextBody"/>
        <w:bidi w:val="0"/>
        <w:spacing w:lineRule="auto" w:line="288" w:before="16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Automotive Leasing Program</w:t>
      </w:r>
    </w:p>
    <w:p>
      <w:pPr>
        <w:pStyle w:val="TextBody"/>
        <w:bidi w:val="0"/>
        <w:spacing w:lineRule="auto" w:line="288" w:before="1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Cost of leasing revenue includes the depreciation of operating lease vehicles, cost of goods sold associated with direct sales-type leases and warranty expense related to leased vehicles.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 Net</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are stated at cost less accumulated depreciation and amortization. Expenditures for major renewals and betterments are capitalized, while minor replacements, maintenance and repairs, which do not extend the assets’ lives, are charged to operating expense as incurred. Upon sale or disposition, the cost and related accumulated depreciation or amortization are removed from the Unaudited Condensed Consolidated Balance Sheets and any gain or loss is included in the Unaudited Condensed Consolidated Statements of Operations and Comprehensive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48285"/>
                <wp:effectExtent l="0" t="0" r="0" b="0"/>
                <wp:wrapNone/>
                <wp:docPr id="14" name="Frame1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on property, plant and equipment is calculated using the straight-line method over the estimated useful lives of the assets and for leasehold improvements, over the remaining term of the lease, if shorter.</w:t>
      </w:r>
    </w:p>
    <w:tbl>
      <w:tblPr>
        <w:tblW w:w="5369" w:type="dxa"/>
        <w:jc w:val="left"/>
        <w:tblInd w:w="0" w:type="dxa"/>
        <w:tblLayout w:type="fixed"/>
        <w:tblCellMar>
          <w:top w:w="28" w:type="dxa"/>
          <w:left w:w="28" w:type="dxa"/>
          <w:bottom w:w="28" w:type="dxa"/>
          <w:right w:w="28" w:type="dxa"/>
        </w:tblCellMar>
      </w:tblPr>
      <w:tblGrid>
        <w:gridCol w:w="1094"/>
        <w:gridCol w:w="962"/>
        <w:gridCol w:w="973"/>
        <w:gridCol w:w="685"/>
        <w:gridCol w:w="685"/>
        <w:gridCol w:w="970"/>
      </w:tblGrid>
      <w:tr>
        <w:trPr/>
        <w:tc>
          <w:tcPr>
            <w:tcW w:w="109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Useful Life </w:t>
              <w:br/>
              <w:t>(in years)</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2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improvements</w:t>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hardware</w:t>
            </w:r>
          </w:p>
        </w:tc>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Tooling, machinery, and equipment</w:t>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to 10</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vehicles</w:t>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software</w:t>
            </w:r>
          </w:p>
        </w:tc>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Shorter of 15 years or</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remaining term of the lease</w:t>
            </w:r>
          </w:p>
        </w:tc>
      </w:tr>
    </w:tbl>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Construction in process (“CIP”) consists of the construction activities related to the FF ieFactory California production facility plant and tooling, machinery and equipment being built to serve the manufacturing of production vehicles. These assets are capitalized and depreciated once put into service.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capitalized in CIP that are held at vendor sites relate to the completed portion of work-in-progress of tooling, machinery and equipment built based on the Company’s specific needs. The Company may incur storage fees or interest fees related to CIP that are expensed as incurred. CIP is presented within Property, plant and equipment, net on the Unaudited Condensed Consolidated Balance Sheets.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Impairment of Long-Lived Assets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The Company reviews its long-lived assets, consisting primarily of property, plant and equipment, for impairment whenever events or changes in circumstances indicate that the carrying amount of an asset (or asset group) may not be recoverable. The Company performs impairment testing at the asset group level that represents the lowest level for which identifiable cash flows are largely independent of the cash flows of other assets and liabilities. Recoverability of these assets is determined by comparing the forecasted undiscounted cash flows attributable to such assets, including any cash flows upon their eventual disposition, to the assets’ carrying values. If the carrying value of the assets exceeds the forecasted undiscounted cash flows, then the assets are written down to their fair value. Assets classified as held for sale are also assessed for impairment and such amounts are determined at the lower of the carrying amount or fair value, less costs to sell the asset. An impairment charge was taken during the second quarter of 2024 related to the Company’s right-of-use assets. See Note 9, </w:t>
      </w:r>
      <w:r>
        <w:rPr>
          <w:rFonts w:ascii="Times New Roman;sans-serif" w:hAnsi="Times New Roman;sans-serif"/>
          <w:b w:val="false"/>
          <w:i/>
          <w:color w:val="000000"/>
          <w:sz w:val="20"/>
        </w:rPr>
        <w:t xml:space="preserve">Leases </w:t>
      </w:r>
      <w:r>
        <w:rPr>
          <w:rFonts w:ascii="Times New Roman;sans-serif" w:hAnsi="Times New Roman;sans-serif"/>
          <w:b w:val="false"/>
          <w:color w:val="000000"/>
          <w:sz w:val="20"/>
        </w:rPr>
        <w:t xml:space="preserve">for more information.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1, 2023, stock-based compensation expense is reduced for forfeitures only when they occur. This change of accounting policy resulted in the recognition of a cumulative increase of prior stock-based compensation expenses totaling $1.8 million, which was recorded in the Unaudited Condensed Consolidated Statements of Operations and Comprehensive Loss for the six months ended June 30, 2023.</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Income Taxes </w:t>
      </w:r>
    </w:p>
    <w:p>
      <w:pPr>
        <w:pStyle w:val="TextBody"/>
        <w:bidi w:val="0"/>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income tax provision impact on the Unaudited Condensed Consolidated Statements of Operations and Comprehensive Loss for the three and six months ended June 30, 2024. The income tax provision (benefit) recognized for the three and six months ended June 30, 2023 was immaterial. The difference in the Company’s effective tax rate from the federal statutory rate of 21% is due to the ratio of domestic and international loss before taxes. The Company records a full valuation allowance to reflect limited benefits for income taxes in jurisdictions that historically reported losses and a provision for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48285"/>
                <wp:effectExtent l="0" t="0" r="0" b="0"/>
                <wp:wrapNone/>
                <wp:docPr id="15" name="Frame1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taxes in jurisdictions that are profitable. The income tax provision for each period was the combined calculated tax expenses/benefits for various jurisdictions.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taxation and files income tax returns with the U.S. federal government, the state of California and China. The Company’s income tax returns are open to examination by the relevant tax authorities until the expiration of the applicable statute of limitations, which is generally three years after the filing of the tax return. As of June 30, 2024, the Company is not under any tax audits on its income tax returns. All of the Company’s prior year tax returns, from 2017 through 2023, are open under Chinese tax law.</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accrue any interest or penalties related to the Company's unrecognized tax benefits as of June 30, 2024 and 2023, as the uncertain tax benefits only reduced the net operating losses. The Company does not expect the uncertain tax benefits to have a material impact on its Unaudited Condensed Consolidated Financial Statements within the next twelve months.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Reverse Stock Splits and Recasting of Per-Share Amounts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22, 2023, the Company’s Board of Directors (the “Board”) approved the implementation of a 1-for-80 reverse stock split (the “August 2023 Reverse Stock Split”) of the Company’s Class A Common Stock, par value $0.0001 per share (the “Class A Common Stock”) and Class B Common Stock, par value $0.0001 per share (the “Class B Common Stock,” and together with the Class A Common Stock, the “Common Stock”) and set the number of authorized shares of Common Stock to 154,437,500 (which is 12,355,000,000 divided by 80). The August 2023 Reverse Stock Split was effected after market close on August 25, 2023, and shares of the Class A Common Stock and publicly traded warrants (the “Public Warrants”) began trading on a split-adjusted basis as of market open on August 28, 2023.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approved by the Company’s stockholders at a special meeting held on February 5, 2024, the Company filed an amendment to the Company’s Third Amended and Restated Certificate of Incorporation, as amended, with the office of the Secretary of State of the State of Delaware to effect an increase in the number of authorized shares of Common Stock from 154,437,500 to 1,389,937,500.</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23, 2024, the Board approved the implementation of a 1-for-3 reverse stock split (the “February 2024 Reverse Stock Split”) of the Common Stock and set the number of authorized shares of Common Stock to 463,312,500 (which is 1,389,937,500 divided by 3). The February 2024 Reverse Stock Split was effected after market close on February 29, 2024, and shares of the Class A Common Stock and the Public Warrants began trading on a split-adjusted basis as of market open on March 1, 2024.</w:t>
      </w:r>
    </w:p>
    <w:p>
      <w:pPr>
        <w:pStyle w:val="TextBody"/>
        <w:bidi w:val="0"/>
        <w:spacing w:lineRule="auto" w:line="268" w:before="160" w:after="283"/>
        <w:ind w:left="0" w:right="0" w:firstLine="540"/>
        <w:jc w:val="both"/>
        <w:rPr/>
      </w:pPr>
      <w:r>
        <w:rPr>
          <w:rFonts w:ascii="Times New Roman;sans-serif" w:hAnsi="Times New Roman;sans-serif"/>
          <w:b w:val="false"/>
          <w:color w:val="000000"/>
          <w:sz w:val="20"/>
        </w:rPr>
        <w:t xml:space="preserve">All shares of Common Stock, Public Warrants, stock-based compensation awards, earnout shares and per share amounts contained in the Unaudited Condensed Consolidated Financial Statements and accompanying notes have been retroactively adjusted to reflect the August 2023 Reverse Stock Split and February 2024 Reverse Stock Split (collectively, the “Splits”). In addition, proportionate adjustments were made to the number of shares of Class A Common Stock issuable upon exercise or conversion of the Company’s outstanding convertible debt securities and warrants, as well as the applicable exercise or conversion prices. See Note 11, </w:t>
      </w:r>
      <w:r>
        <w:rPr>
          <w:rFonts w:ascii="Times New Roman;sans-serif" w:hAnsi="Times New Roman;sans-serif"/>
          <w:b w:val="false"/>
          <w:i/>
          <w:color w:val="000000"/>
          <w:sz w:val="20"/>
        </w:rPr>
        <w:t>Stockholders’ Equity</w:t>
      </w:r>
      <w:r>
        <w:rPr>
          <w:rFonts w:ascii="Times New Roman;sans-serif" w:hAnsi="Times New Roman;sans-serif"/>
          <w:b w:val="false"/>
          <w:color w:val="000000"/>
          <w:sz w:val="20"/>
        </w:rPr>
        <w:t xml:space="preserve">, and Note 12, </w:t>
      </w:r>
      <w:r>
        <w:rPr>
          <w:rFonts w:ascii="Times New Roman;sans-serif" w:hAnsi="Times New Roman;sans-serif"/>
          <w:b w:val="false"/>
          <w:i/>
          <w:color w:val="000000"/>
          <w:sz w:val="20"/>
        </w:rPr>
        <w:t>Stock-Based Compensation</w:t>
      </w:r>
      <w:r>
        <w:rPr>
          <w:rFonts w:ascii="Times New Roman;sans-serif" w:hAnsi="Times New Roman;sans-serif"/>
          <w:b w:val="false"/>
          <w:color w:val="000000"/>
          <w:sz w:val="20"/>
        </w:rPr>
        <w:t xml:space="preserve">, for further discussion regarding the Splits.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Pronouncements Not Yet Adopted</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Financial Accounting Standards Board (“FASB”) issued ASU No. 2023-07, Segment Reporting (Topic 280): Improvements to Reportable Segment Disclosure (ASU 2023-07). This ASU updates reportable segment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is effective for annual periods beginning after December 15, 2023, and interim periods within fiscal years beginning after December 15, 2024. Adoption of the ASU should be applied retrospectively to all prior periods presented in the financial statements. The Company is in the process of evaluating the effect of ASU 2023-07 on its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48285"/>
                <wp:effectExtent l="0" t="0" r="0" b="0"/>
                <wp:wrapNone/>
                <wp:docPr id="16" name="Frame1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No. 2023-09, Income Taxes (Topic 740): Improvements to Income Tax Disclosures (ASU 2023-09). ASU 2023-09 is intended to enhance the decision usefulness of income tax disclosures and requires the disclosure of various disaggregated information, including an entity’s effective tax rate reconciliation as well as additional information on taxes paid. This ASU is effective on a prospective basis for annual periods beginning after December 15, 2024 with early adoption allowed. The Company is in the process of evaluating the effect of ASU 2023-09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2. Liquidity and Capital Resources and Going Concern</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whether there are certain conditions and events, considered in the aggregate, that raise substantial doubt about the Company’s ability to continue as a going concern within one year after the date that the Unaudited Condensed Consolidated Financial Statements are issued. Based on its recurring losses from operations since inception and continued cash outflows from operating activities (all as described below), the Company has concluded that there is substantial doubt about its ability to continue as a going concern for a period of one year from the date that these Unaudited Condensed Consolidated Financial Statements were issued.</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do not include any adjustments that might result from the outcome of this uncertainty. Accordingly, the Unaudited Condensed Consolidated Financial Statements have been prepared on a basis that assumes the Company will continue as a going concern and that contemplates the realization of assets and satisfaction of liabilities and commitments in the ordinary course of business.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The Company has and will continue to devote substantial effort and, to the extent available, capital resources, to strategic planning, engineering, design, and development of its electric vehicle platform, development of vehicle models, finalizing the build out of the FF ieFactory California manufacturing facility, and capital raising. The Company incurred cumulative losses from operations, negative cash flows from operating activities, and has an accumulated deficit of $4,115.4 million, an unrestricted cash balance of $0.8 million and a negative working capital position of $198.7 million, excluding restricted cash, as of June 30, 2024. During 2023, the Company delivered its first vehicles but expects to continue generating significant operating losses for the foreseeable future. The Company has funded its operations and capital needs primarily through the issuance of related party notes payable and notes payable (see Note 7, </w:t>
      </w:r>
      <w:r>
        <w:rPr>
          <w:rFonts w:ascii="Times New Roman;sans-serif" w:hAnsi="Times New Roman;sans-serif"/>
          <w:b w:val="false"/>
          <w:i/>
          <w:color w:val="000000"/>
          <w:sz w:val="20"/>
        </w:rPr>
        <w:t>Notes Payable</w:t>
      </w:r>
      <w:r>
        <w:rPr>
          <w:color w:val="000000"/>
        </w:rPr>
        <w:t xml:space="preserve"> </w:t>
      </w:r>
      <w:r>
        <w:rPr>
          <w:rFonts w:ascii="Times New Roman;sans-serif" w:hAnsi="Times New Roman;sans-serif"/>
          <w:b w:val="false"/>
          <w:color w:val="000000"/>
          <w:sz w:val="20"/>
        </w:rPr>
        <w:t xml:space="preserve">and Note 8, </w:t>
      </w:r>
      <w:r>
        <w:rPr>
          <w:rFonts w:ascii="Times New Roman;sans-serif" w:hAnsi="Times New Roman;sans-serif"/>
          <w:b w:val="false"/>
          <w:i/>
          <w:color w:val="000000"/>
          <w:sz w:val="20"/>
        </w:rPr>
        <w:t>Related Party Transactions</w:t>
      </w:r>
      <w:r>
        <w:rPr>
          <w:rFonts w:ascii="Times New Roman;sans-serif" w:hAnsi="Times New Roman;sans-serif"/>
          <w:b w:val="false"/>
          <w:color w:val="000000"/>
          <w:sz w:val="20"/>
        </w:rPr>
        <w:t xml:space="preserve">), convertible notes, and the sale of common stock.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Pursuant to the Secured SPA, the Unsecured SPA, the Unsecured Streeterville SPA, the FFVV Joinder, and the Senyun Joinder (collectively the “SPA Commitments”) (see Note 7, </w:t>
      </w:r>
      <w:r>
        <w:rPr>
          <w:rFonts w:ascii="Times New Roman;sans-serif" w:hAnsi="Times New Roman;sans-serif"/>
          <w:b w:val="false"/>
          <w:i/>
          <w:color w:val="000000"/>
          <w:sz w:val="20"/>
        </w:rPr>
        <w:t>Notes Payable</w:t>
      </w:r>
      <w:r>
        <w:rPr>
          <w:color w:val="000000"/>
        </w:rPr>
        <w:t xml:space="preserve"> </w:t>
      </w:r>
      <w:r>
        <w:rPr>
          <w:rFonts w:ascii="Times New Roman;sans-serif" w:hAnsi="Times New Roman;sans-serif"/>
          <w:b w:val="false"/>
          <w:color w:val="000000"/>
          <w:sz w:val="20"/>
        </w:rPr>
        <w:t xml:space="preserve">and Note 8, </w:t>
      </w:r>
      <w:r>
        <w:rPr>
          <w:rFonts w:ascii="Times New Roman;sans-serif" w:hAnsi="Times New Roman;sans-serif"/>
          <w:b w:val="false"/>
          <w:i/>
          <w:color w:val="000000"/>
          <w:sz w:val="20"/>
        </w:rPr>
        <w:t>Related Party Transactions</w:t>
      </w:r>
      <w:r>
        <w:rPr>
          <w:rFonts w:ascii="Times New Roman;sans-serif" w:hAnsi="Times New Roman;sans-serif"/>
          <w:b w:val="false"/>
          <w:color w:val="000000"/>
          <w:sz w:val="20"/>
        </w:rPr>
        <w:t xml:space="preserve">), the Company obtained commitments from several investors. As of June 30, 2024, the SPA Commitments totaled $554.5 million, of which $343.2 million was funded, $211.3 million remained to be funded, and $78.6 million in principal was outstanding. As of June 30, 2024, Optional Commitments under the SPA Commitments totaled $366.0 million, of which $47.2 million was funded, $318.8 million remained to be funded, and $9.2 million was outstanding. The remaining amounts to be funded as of June 30, 2024, are subject to the achievement of delivery milestones, satisfaction of closing conditions, resolution of disputes with investors, and satisfaction or waiver of other conditions, including for a portion of such financing an effective registration statement for the shares underlying the applicable notes.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be unable to satisfy the closing conditions under the SPA Commitments or obtain additional incremental convertible senior secured note purchasers under the SPA Commitments or other debt or equity financing in a timely manner, on acceptable terms, or at all.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11, 2022, the Company entered into a three-year Standby Equity Purchase Agreement (the “SEPA”) with YA II PN Ltd. (“Yorkville”). Under terms of the SEPA, the Company may, at its option, issue and sell from time to time up to $200.0 million (which can be increased up to $350.0 million in the aggregate under the Company’s option) of Class A Common Stock to an affiliate of Yorkville Advisors, subject to certain limitations. As of June 30, 2024, the Company had the right to issue and sell up to an additional $192.5 million, or $342.5 million if the Company exercises its option under the SEPA, of Class A Common Stock under the SEPA.</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on September 26, 2023, the Company entered into a sales agreement with Stifel, Nicolaus &amp; Company, Incorporated, B. Riley Securities, Inc., A.G.P./Alliance Global Partners, Wedbush Securities Inc. and Maxim Group LLC, as sales agents, to sell shares of Class A Common Stock, from time to time, with aggregate gross sales proceeds of up to $90.0 million pursuant to the Registration Statement as an “at-the-market” offering under the Securities Act (the “ATM Program”). The ATM Program had been the primary source of liquidity for the Company since September 2023.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48285"/>
                <wp:effectExtent l="0" t="0" r="0" b="0"/>
                <wp:wrapNone/>
                <wp:docPr id="17" name="Frame1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applicable SEC rules and regulations, because FF failed to timely file its Form 10-K and the Quarterly Report Form 10-Q for the quarter ended March 31, 2024, it is not S-3 eligible and cannot access the ATM Program. As such, our current primary source of liquidity is the issuance of various convertible note instruments.</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ability to issue and sell additional shares of common stock or warrants under the SEPA is constrained by the number of authorized shares of the Company’s common stock. The Company must consider shares issuable under convertible debt, warrants or other obligations with equity rights. In addition, equity issuances can potentially trigger provisions under the SPA Commitments that increase the number of shares to be issued upon conversion and reduce the strike price of related warrants. This could result in FF having inadequate authorized shares to meet its outstanding commitments.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projects that it will require substantial additional funds to continue operations and support production of the FF 91. If the Company is unable to find additional sources of capital, the Company will not have sufficient resources to fund its outstanding obligations and continue operations and the Company will likely have to file for bankruptcy protection and its assets will likely be liquidated. The Company’s equity holders would likely not receive any recovery at all in a bankruptcy scenario.</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explore various funding and financing alternatives to fund its ongoing operations and to ramp up production. The particular funding and financing mechanisms, terms, timing, and amounts depend on the Company’s assessment of opportunities available in the marketplace and the circumstances of the business at the relevant time. However, there have been delays in securing additional funding commitments, which have exacerbated supply chain pressures, among other things. If the Company’s ongoing capital raising efforts are unsuccessful or significantly delayed, or if the Company experiences prolonged material adverse trends in its business, production will be delayed or decreased, and actual use of cash, production volume and revenue for 2024 will vary from the Company’s previously disclosed forecasts, and such variances may be material. While the Company is actively engaged in negotiations with potential financing sources, it may be unable to raise additional capital on terms acceptable to it or at all. In addition to the risk that the Company’s assumptions and analyses may prove incorrect, the projections may underestimate the professional fees and other costs to be incurred related to the pursuit of various financing options currently being considered and ongoing legal risks. Capital needs to fund development of the Company’s remaining product portfolio will highly depend on the market success and profitability of the FF 91 and the Company’s ability to accurately estimate and control costs. Apart from the FF 91 series, substantial additional capital would be required to fund operations, research, development, and design efforts for future vehicles.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As of and since June 30, 2024, the Company was and has been in default on the SPA Commitments and the Company is presenting the related notes as current. Since April 2023, the Company has been in default on, and since January 1, 2024, it has been in breach of, its debt agreement with Chongqing Leshi Small Loan Co., Ltd., a related party, with an outstanding principal balance </w:t>
      </w:r>
      <w:r>
        <w:rPr>
          <w:rFonts w:ascii="Times New Roman;sans-serif" w:hAnsi="Times New Roman;sans-serif"/>
          <w:b w:val="false"/>
          <w:color w:val="000000"/>
          <w:sz w:val="20"/>
          <w:shd w:fill="FFFFFF" w:val="clear"/>
        </w:rPr>
        <w:t>of $7.6 million and interest payable of $18.5 million</w:t>
      </w:r>
      <w:r>
        <w:rPr>
          <w:color w:val="000000"/>
        </w:rPr>
        <w:t xml:space="preserve"> </w:t>
      </w:r>
      <w:r>
        <w:rPr>
          <w:rFonts w:ascii="Times New Roman;sans-serif" w:hAnsi="Times New Roman;sans-serif"/>
          <w:b w:val="false"/>
          <w:color w:val="000000"/>
          <w:sz w:val="20"/>
        </w:rPr>
        <w:t xml:space="preserve">as of June 30,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3. Inventory, net</w:t>
      </w:r>
    </w:p>
    <w:tbl>
      <w:tblPr>
        <w:tblW w:w="5652" w:type="dxa"/>
        <w:jc w:val="left"/>
        <w:tblInd w:w="0" w:type="dxa"/>
        <w:tblLayout w:type="fixed"/>
        <w:tblCellMar>
          <w:top w:w="28" w:type="dxa"/>
          <w:left w:w="28" w:type="dxa"/>
          <w:bottom w:w="28" w:type="dxa"/>
          <w:right w:w="28" w:type="dxa"/>
        </w:tblCellMar>
      </w:tblPr>
      <w:tblGrid>
        <w:gridCol w:w="934"/>
        <w:gridCol w:w="822"/>
        <w:gridCol w:w="824"/>
        <w:gridCol w:w="234"/>
        <w:gridCol w:w="800"/>
        <w:gridCol w:w="121"/>
        <w:gridCol w:w="109"/>
        <w:gridCol w:w="109"/>
        <w:gridCol w:w="109"/>
        <w:gridCol w:w="309"/>
        <w:gridCol w:w="1056"/>
        <w:gridCol w:w="225"/>
      </w:tblGrid>
      <w:tr>
        <w:trPr/>
        <w:tc>
          <w:tcPr>
            <w:tcW w:w="93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(net of reserves)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33,345 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progress</w:t>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28,745 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34,229 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inventory reserve was $2.8 million for each of the periods ended June 30, 2024 and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48285"/>
                <wp:effectExtent l="0" t="0" r="0" b="0"/>
                <wp:wrapNone/>
                <wp:docPr id="18" name="Frame1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4. Deposits and Other Current Assets</w:t>
      </w:r>
    </w:p>
    <w:tbl>
      <w:tblPr>
        <w:tblW w:w="8592" w:type="dxa"/>
        <w:jc w:val="left"/>
        <w:tblInd w:w="0" w:type="dxa"/>
        <w:tblLayout w:type="fixed"/>
        <w:tblCellMar>
          <w:top w:w="28" w:type="dxa"/>
          <w:left w:w="28" w:type="dxa"/>
          <w:bottom w:w="28" w:type="dxa"/>
          <w:right w:w="28" w:type="dxa"/>
        </w:tblCellMar>
      </w:tblPr>
      <w:tblGrid>
        <w:gridCol w:w="1996"/>
        <w:gridCol w:w="1753"/>
        <w:gridCol w:w="1771"/>
        <w:gridCol w:w="234"/>
        <w:gridCol w:w="800"/>
        <w:gridCol w:w="121"/>
        <w:gridCol w:w="109"/>
        <w:gridCol w:w="109"/>
        <w:gridCol w:w="109"/>
        <w:gridCol w:w="309"/>
        <w:gridCol w:w="1056"/>
        <w:gridCol w:w="225"/>
      </w:tblGrid>
      <w:tr>
        <w:trPr/>
        <w:tc>
          <w:tcPr>
            <w:tcW w:w="1996"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Deposits:</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 for research and development, prototype parts and other</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 for goods and services yet to be received (“Future Work”)</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31,382 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current assets: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assets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21,721 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Deposits for research and development, prototype and production parts, and other are recognized and reported as Research and development expenses in the Unaudited Condensed Consolidated Statements of Operations and Comprehensive Loss when services are provided or as prototype parts are received. In addition, during the six months ended June 30, 2024, the Company made deposits for inventory and property, plant and equipment items, which are classified out of Deposits upon receipt of title.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Prepaid expenses primarily consist of software subscriptions and insurance, and Other current assets includes certain deferred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5. Property, Plant and Equipment, Net</w:t>
      </w:r>
    </w:p>
    <w:tbl>
      <w:tblPr>
        <w:tblW w:w="6850" w:type="dxa"/>
        <w:jc w:val="left"/>
        <w:tblInd w:w="0" w:type="dxa"/>
        <w:tblLayout w:type="fixed"/>
        <w:tblCellMar>
          <w:top w:w="28" w:type="dxa"/>
          <w:left w:w="28" w:type="dxa"/>
          <w:bottom w:w="28" w:type="dxa"/>
          <w:right w:w="28" w:type="dxa"/>
        </w:tblCellMar>
      </w:tblPr>
      <w:tblGrid>
        <w:gridCol w:w="1366"/>
        <w:gridCol w:w="1203"/>
        <w:gridCol w:w="1211"/>
        <w:gridCol w:w="212"/>
        <w:gridCol w:w="833"/>
        <w:gridCol w:w="109"/>
        <w:gridCol w:w="109"/>
        <w:gridCol w:w="109"/>
        <w:gridCol w:w="109"/>
        <w:gridCol w:w="281"/>
        <w:gridCol w:w="1103"/>
        <w:gridCol w:w="205"/>
      </w:tblGrid>
      <w:tr>
        <w:trPr/>
        <w:tc>
          <w:tcPr>
            <w:tcW w:w="136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buildings and leasehold improvements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103,522 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hardware</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Tooling, machinery and equipment</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318,301 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vehicles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software</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process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36,491 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w:t>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467,352 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(49,540)</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417,812 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totaled $18.1 million and $13.2 million for the three months ended June 30, 2024 and 2023, respectively, and $35.8 million and $14.3 million for the six months ended June 30, 2024 and 2023, respectively.</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announced the start of production of its first electric vehicle, the FF 91 Futurist, on March 29, 2023, at which point the Company classified a portion of its construction in process assets that are available for their intended use in the amount of $225.7 million and $75.7 million to Tooling, machinery and equipment and Buildings, respectively.</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build out of the FF ieFactory California, the Company has an asset retirement obligation (“ARO”) totaling $0.7 million for each of the periods ended June 30, 2024 and December 31, 2023. The ARO is recorded to Other liability, less current portion with a corresponding ARO asset within Land, buildings and leasehold improvements and Tooling, machinery and equipment. The ARO asset is depreciated to operating expense over the remaining term of the lease through December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48285"/>
                <wp:effectExtent l="0" t="0" r="0" b="0"/>
                <wp:wrapNone/>
                <wp:docPr id="19" name="Frame1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 xml:space="preserve">6. Accrued Expenses and Other Current Liabilities </w:t>
      </w:r>
    </w:p>
    <w:tbl>
      <w:tblPr>
        <w:tblW w:w="7331" w:type="dxa"/>
        <w:jc w:val="left"/>
        <w:tblInd w:w="0" w:type="dxa"/>
        <w:tblLayout w:type="fixed"/>
        <w:tblCellMar>
          <w:top w:w="28" w:type="dxa"/>
          <w:left w:w="28" w:type="dxa"/>
          <w:bottom w:w="28" w:type="dxa"/>
          <w:right w:w="28" w:type="dxa"/>
        </w:tblCellMar>
      </w:tblPr>
      <w:tblGrid>
        <w:gridCol w:w="1542"/>
        <w:gridCol w:w="1357"/>
        <w:gridCol w:w="1360"/>
        <w:gridCol w:w="234"/>
        <w:gridCol w:w="800"/>
        <w:gridCol w:w="121"/>
        <w:gridCol w:w="109"/>
        <w:gridCol w:w="109"/>
        <w:gridCol w:w="109"/>
        <w:gridCol w:w="309"/>
        <w:gridCol w:w="1056"/>
        <w:gridCol w:w="225"/>
      </w:tblGrid>
      <w:tr>
        <w:trPr/>
        <w:tc>
          <w:tcPr>
            <w:tcW w:w="154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payroll and benefits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legal contingencies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 and other current liabilities</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63,750 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62,391 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 xml:space="preserve">7. Notes Payable </w:t>
      </w:r>
    </w:p>
    <w:p>
      <w:pPr>
        <w:pStyle w:val="TextBody"/>
        <w:bidi w:val="0"/>
        <w:spacing w:lineRule="auto" w:line="288" w:before="180" w:after="283"/>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notes payable agreements with third parties, which consist of the following as of June 30, 2024 and December 31, 2023:</w:t>
      </w:r>
    </w:p>
    <w:p>
      <w:pPr>
        <w:pStyle w:val="TextBody"/>
        <w:bidi w:val="0"/>
        <w:spacing w:before="160" w:after="283"/>
        <w:ind w:left="0" w:right="0" w:firstLine="504"/>
        <w:jc w:val="left"/>
        <w:rPr/>
      </w:pPr>
      <w:r>
        <w:rPr/>
      </w:r>
    </w:p>
    <w:tbl>
      <w:tblPr>
        <w:tblW w:w="11067" w:type="dxa"/>
        <w:jc w:val="left"/>
        <w:tblInd w:w="0" w:type="dxa"/>
        <w:tblLayout w:type="fixed"/>
        <w:tblCellMar>
          <w:top w:w="28" w:type="dxa"/>
          <w:left w:w="28" w:type="dxa"/>
          <w:bottom w:w="28" w:type="dxa"/>
          <w:right w:w="28" w:type="dxa"/>
        </w:tblCellMar>
      </w:tblPr>
      <w:tblGrid>
        <w:gridCol w:w="907"/>
        <w:gridCol w:w="615"/>
        <w:gridCol w:w="264"/>
        <w:gridCol w:w="109"/>
        <w:gridCol w:w="109"/>
        <w:gridCol w:w="109"/>
        <w:gridCol w:w="315"/>
        <w:gridCol w:w="315"/>
        <w:gridCol w:w="316"/>
        <w:gridCol w:w="109"/>
        <w:gridCol w:w="109"/>
        <w:gridCol w:w="109"/>
        <w:gridCol w:w="275"/>
        <w:gridCol w:w="275"/>
        <w:gridCol w:w="276"/>
        <w:gridCol w:w="109"/>
        <w:gridCol w:w="109"/>
        <w:gridCol w:w="109"/>
        <w:gridCol w:w="211"/>
        <w:gridCol w:w="826"/>
        <w:gridCol w:w="109"/>
        <w:gridCol w:w="109"/>
        <w:gridCol w:w="109"/>
        <w:gridCol w:w="109"/>
        <w:gridCol w:w="211"/>
        <w:gridCol w:w="736"/>
        <w:gridCol w:w="109"/>
        <w:gridCol w:w="109"/>
        <w:gridCol w:w="109"/>
        <w:gridCol w:w="109"/>
        <w:gridCol w:w="211"/>
        <w:gridCol w:w="631"/>
        <w:gridCol w:w="109"/>
        <w:gridCol w:w="109"/>
        <w:gridCol w:w="109"/>
        <w:gridCol w:w="109"/>
        <w:gridCol w:w="211"/>
        <w:gridCol w:w="721"/>
        <w:gridCol w:w="109"/>
        <w:gridCol w:w="109"/>
        <w:gridCol w:w="109"/>
        <w:gridCol w:w="109"/>
        <w:gridCol w:w="109"/>
        <w:gridCol w:w="109"/>
        <w:gridCol w:w="109"/>
        <w:gridCol w:w="109"/>
        <w:gridCol w:w="109"/>
        <w:gridCol w:w="109"/>
        <w:gridCol w:w="109"/>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Contractual</w:t>
              <w:br/>
              <w:t>Maturity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Contractual</w:t>
              <w:br/>
              <w:t xml:space="preserve">Interest </w:t>
              <w:br/>
              <w:t>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Unpaid Principal</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Fair Value</w:t>
              <w:br/>
              <w:t>Measurement</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Original Issue Discount and Proceeds Allocated to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Net</w:t>
              <w:br/>
              <w:t>Carrying</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SPA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Unsecured SPA Notes</w:t>
            </w:r>
            <w:r>
              <w:rPr>
                <w:rFonts w:ascii="Times New Roman;sans-serif" w:hAnsi="Times New Roman;sans-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 dates in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 dates in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China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Due on Demand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Related party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Notes payable,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payable,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tbl>
      <w:tblPr>
        <w:tblW w:w="11172" w:type="dxa"/>
        <w:jc w:val="center"/>
        <w:tblInd w:w="0" w:type="dxa"/>
        <w:tblLayout w:type="fixed"/>
        <w:tblCellMar>
          <w:top w:w="28" w:type="dxa"/>
          <w:left w:w="28" w:type="dxa"/>
          <w:bottom w:w="28" w:type="dxa"/>
          <w:right w:w="28" w:type="dxa"/>
        </w:tblCellMar>
      </w:tblPr>
      <w:tblGrid>
        <w:gridCol w:w="706"/>
        <w:gridCol w:w="621"/>
        <w:gridCol w:w="459"/>
        <w:gridCol w:w="109"/>
        <w:gridCol w:w="109"/>
        <w:gridCol w:w="109"/>
        <w:gridCol w:w="315"/>
        <w:gridCol w:w="315"/>
        <w:gridCol w:w="316"/>
        <w:gridCol w:w="109"/>
        <w:gridCol w:w="109"/>
        <w:gridCol w:w="109"/>
        <w:gridCol w:w="275"/>
        <w:gridCol w:w="275"/>
        <w:gridCol w:w="276"/>
        <w:gridCol w:w="109"/>
        <w:gridCol w:w="109"/>
        <w:gridCol w:w="109"/>
        <w:gridCol w:w="211"/>
        <w:gridCol w:w="826"/>
        <w:gridCol w:w="109"/>
        <w:gridCol w:w="109"/>
        <w:gridCol w:w="109"/>
        <w:gridCol w:w="109"/>
        <w:gridCol w:w="211"/>
        <w:gridCol w:w="736"/>
        <w:gridCol w:w="109"/>
        <w:gridCol w:w="109"/>
        <w:gridCol w:w="109"/>
        <w:gridCol w:w="109"/>
        <w:gridCol w:w="211"/>
        <w:gridCol w:w="736"/>
        <w:gridCol w:w="109"/>
        <w:gridCol w:w="109"/>
        <w:gridCol w:w="109"/>
        <w:gridCol w:w="109"/>
        <w:gridCol w:w="211"/>
        <w:gridCol w:w="721"/>
        <w:gridCol w:w="109"/>
        <w:gridCol w:w="109"/>
        <w:gridCol w:w="109"/>
        <w:gridCol w:w="109"/>
        <w:gridCol w:w="109"/>
        <w:gridCol w:w="109"/>
        <w:gridCol w:w="109"/>
        <w:gridCol w:w="109"/>
        <w:gridCol w:w="109"/>
        <w:gridCol w:w="109"/>
        <w:gridCol w:w="109"/>
        <w:gridCol w:w="109"/>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6"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Contractual</w:t>
              <w:br/>
              <w:t>Maturity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Contractual</w:t>
              <w:br/>
              <w:t xml:space="preserve">Interest </w:t>
              <w:br/>
              <w:t>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Unpaid Principal</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Fair Value</w:t>
              <w:br/>
              <w:t>Measurement</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Original Issue Discount and Proceeds Allocated to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Net</w:t>
              <w:br/>
              <w:t>Carrying</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SPA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Unsecured SPA Notes</w:t>
            </w:r>
            <w:r>
              <w:rPr>
                <w:rFonts w:ascii="Times New Roman;sans-serif" w:hAnsi="Times New Roman;sans-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 dates in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China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Due on Demand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Related party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Notes payable,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payable,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04"/>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 includes amounts attributed to the Unsecured Streeterville SPA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48285"/>
                <wp:effectExtent l="0" t="0" r="0" b="0"/>
                <wp:wrapNone/>
                <wp:docPr id="20" name="Frame2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Secured and Unsecured SPA Notes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14, 2022, the Company entered into a securities purchase agreement (as amended from time to time, the “Secured SPA”) with FF Simplicity Ventures LLC (“FFSV”) as administrative agent, collateral agent and purchaser, and certain additional purchasers (collectively the “Secured SPA Purchasers”) to issue and sell the Company’s senior secured convertible notes (the “Secured SPA Notes”). The Secured SPA Notes were subsequently amended multiple times throughout 2022 and 2023, as further described below.</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May 8, 2023, as further described below, the Company entered into a securities purchase agreement (as amended from time to time, the “Unsecured SPA”) with Metaverse Horizon Limited (“MHL”) and V W Investment Holding Limited (“V W Investment”) (MHL and V W Investment, together with the other purchasers, the “Unsecured SPA Purchasers”) to issue and sell $100.0 million aggregate principal of the Company’s senior unsecured convertible notes (the “Unsecured SPA Notes” and, together with the Secured SPA Notes, the “SPA Notes”). In August 2023, as further described below, the Company entered into the Unsecured Streeterville SPA (collectively included with the Unsecured SPA, Unsecured SPA Notes and SPA Warrants in future references), as part of its issuance of the Unsecured SPA Notes. The terms of the Secured SPA Notes and Unsecured SPA Notes are generally the same, however, the Secured SPA Notes are secured by the grant of a second lien upon substantially all of the personal and real property of the Company and its subsidiaries, as well as a guarantee by substantially all of the Company’s domestic subsidiaries.</w:t>
      </w:r>
    </w:p>
    <w:p>
      <w:pPr>
        <w:pStyle w:val="TextBody"/>
        <w:bidi w:val="0"/>
        <w:spacing w:lineRule="auto" w:line="288" w:before="1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SPA Notes are generally subject to an original issue discount of 10%, and are convertible, along with any interest accrued, into shares of Class A Common Stock at the conversion price (as defined in each SPA Note), subject to full ratchet anti-dilution price protection. The SPA Note conversion price equals $0.73 per share for SPA Notes that were issued prior to December 31, 2023, which represents an amended and reduced conversion price due to the full ratchet price protections, as described below and which excludes the impact of the Conversion Price adjustments pursuant to the Unanimous Written Consents, described below and which expired on June 30, 2024.</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SPA Notes bear interest at 10% per annum (or 15% if interest or settlement is paid in shares). Generally the SPA Notes require interest to be paid on each conversion date and quarterly in cash or in shares of Class A Common Stock. Certain Unsecured and Secured SPA Notes require the payment of interest in cash or shares of Class A Common Stock at maturity. Unless earlier paid, the SPA Notes entitle the purchasers, at each conversion date, to an interest make-whole (a “Make-Whole Amount”), in a combination of cash or Class A Common Stock, at the Company’s discretion, in the amount of the interest that would have been payable if such converted amount was held to maturity. The conversion price for the Make-Whole Amount is the generally the greater of (a) the floor price, which was $10.90 each as of June 30, 2024 and December 31, 2023 or (b) 90% of the lowest volume-weighted average price (“VWAP”) for the five consecutive trading days ending immediately prior to the conversion date. Certain Secured SPA Notes require the Interest Conversion Price to be the lesser of (1) the Conversion Price or (2) the greater of (a) the floor price, which was $10.90 as of December 31, 2023 or (b) 90% of the lowest VWAP for the five consecutive trading days ending immediately prior to the conversion date. When calculating the shares issuable upon conversion, the Make-Whole Amount shall be decreased by 50% of the original issue discount pertaining to such amount.</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Generally, the Secured and Unsecured SPA Purchasers have the option to purchase additional SPA Notes under similar terms as the existing SPA Notes, subject to various closing conditions (see Note 2, </w:t>
      </w:r>
      <w:r>
        <w:rPr>
          <w:rFonts w:ascii="Times New Roman;sans-serif" w:hAnsi="Times New Roman;sans-serif"/>
          <w:b w:val="false"/>
          <w:i/>
          <w:color w:val="000000"/>
          <w:sz w:val="20"/>
        </w:rPr>
        <w:t>Liquidity and Capital Resources and Going Concern</w:t>
      </w:r>
      <w:r>
        <w:rPr>
          <w:rFonts w:ascii="Times New Roman;sans-serif" w:hAnsi="Times New Roman;sans-serif"/>
          <w:b w:val="false"/>
          <w:color w:val="000000"/>
          <w:sz w:val="20"/>
        </w:rPr>
        <w:t>, for detailed discussion on commitments to fund additional Secured SPA Notes).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SPA Notes, the Company also granted to each Secured SPA Purchaser and Unsecured SPA Purchaser a warrant (the “SPA Warrants”) to purchase shares of Class A Common Stock equal to 33% of the shares issuable upon conversion of the aggregate principal amount under the SPA Notes funded.</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The Company elected the fair value option afforded by ASC 825, </w:t>
      </w:r>
      <w:r>
        <w:rPr>
          <w:rFonts w:ascii="Times New Roman;sans-serif" w:hAnsi="Times New Roman;sans-serif"/>
          <w:b w:val="false"/>
          <w:i/>
          <w:color w:val="000000"/>
          <w:sz w:val="20"/>
        </w:rPr>
        <w:t>Financial Instruments</w:t>
      </w:r>
      <w:r>
        <w:rPr>
          <w:rFonts w:ascii="Times New Roman;sans-serif" w:hAnsi="Times New Roman;sans-serif"/>
          <w:b w:val="false"/>
          <w:color w:val="000000"/>
          <w:sz w:val="20"/>
        </w:rPr>
        <w:t>, with respect to the SPA Notes because the notes include features, such as a contingently exercisable put option, that meet the definition of an embedded derivative. The Company expenses transaction costs to Changes in fair value of notes payable and warrant liabilities or Changes in fair value of related party notes payable and warrant liabilities, as applicable, in the Unaudited Condensed Consolidated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48285"/>
                <wp:effectExtent l="0" t="0" r="0" b="0"/>
                <wp:wrapNone/>
                <wp:docPr id="21" name="Frame2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Sixth Secured SPA Amendment</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3, 2023, the Company entered into a sixth amendment to the Secured SPA (the “Sixth Secured SPA Amendment”) with certain Secured SPA Purchasers, in which the Company agreed to sell up to $135.0 million in aggregate principal (the “Tranche C Notes”) with terms largely congruent to prior issuances and a $252.00 base conversion price subject to full ratchet anti-dilution price protection. Each applicable Secured SPA Purchaser has the option to purchase additional Secured SPA Notes on the same terms as the Tranche C Notes in an amount not to exceed 50% of the initial principal amount of the Tranche C Notes issued to each applicable Secured SPA Purchaser (the “Tranche D Notes”).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Pursuant to the Sixth Secured SPA Amendment, certain outstanding Secured SPA Notes issued by the Company to Secured SPA Purchasers with an aggregate outstanding principal amount of $31.0 million were replaced by the same principal amount of new notes with a $214.20 base conversion price. In accordance with ASC 470-50, </w:t>
      </w:r>
      <w:r>
        <w:rPr>
          <w:rFonts w:ascii="Times New Roman;sans-serif" w:hAnsi="Times New Roman;sans-serif"/>
          <w:b w:val="false"/>
          <w:i/>
          <w:color w:val="000000"/>
          <w:sz w:val="20"/>
        </w:rPr>
        <w:t>Debt—Modifications and Extinguishments</w:t>
      </w:r>
      <w:r>
        <w:rPr>
          <w:rFonts w:ascii="Times New Roman;sans-serif" w:hAnsi="Times New Roman;sans-serif"/>
          <w:b w:val="false"/>
          <w:color w:val="000000"/>
          <w:sz w:val="20"/>
        </w:rPr>
        <w:t>, the change in conversion price qualifies as an extinguishment because the change in the fair value of the conversion feature was substantial. Accordingly, the Company recognized a Loss on settlement of notes payable in the Unaudited Condensed Consolidated Statements of Operations and Comprehensive Loss in the amount of $3.0 million for the three months ended June 30, 2023, calculated as the difference between the reacquisition price of the debt and the net carrying amount of the Secured SPA Notes.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Pursuant to the Sixth Secured SPA Amendment, the Company entered into an agreement with certain Secured SPA Purchasers (the “Exchange Agreement”) holding a total of 825,542 warrants to exchange them for an aggregate 377,039 warrants and convertible notes (the “Exchange Notes”) with a principal balance totaling $41.0 million. The issued warrants have terms that limit down-round ratchet clauses to price adjustments only. The Exchange Notes mature on February 3, 2025, bear interest at 11% per annum, have no original issuance discount, do not have a fixed price conversion, and convert using a VWAP calculation as described in the Exchange Agreement. The remainder of the terms of the Exchange Notes are largely congruent to the existing Secured SPA Notes, including most-favored nation rights. In connection with the Exchange Agreement, equity-classified warrants were exchanged for warrants that qualify for liability classification per ASC 480, </w:t>
      </w:r>
      <w:r>
        <w:rPr>
          <w:rFonts w:ascii="Times New Roman;sans-serif" w:hAnsi="Times New Roman;sans-serif"/>
          <w:b w:val="false"/>
          <w:i/>
          <w:color w:val="000000"/>
          <w:sz w:val="20"/>
        </w:rPr>
        <w:t>Distinguishing Liabilities from Equity</w:t>
      </w:r>
      <w:r>
        <w:rPr>
          <w:rFonts w:ascii="Times New Roman;sans-serif" w:hAnsi="Times New Roman;sans-serif"/>
          <w:b w:val="false"/>
          <w:color w:val="000000"/>
          <w:sz w:val="20"/>
        </w:rPr>
        <w:t xml:space="preserve">, and were reclassified from equity to Warrant liabilities during the period ended June 30, 2023 in an amount totaling $6.8 million (the “Warrant Exchange”). As a result of the transaction, the Company did not recognize a gain or loss in the Unaudited Condensed Consolidated Statements of Operations and Comprehensive Loss, as the fair value of the instruments exchanged and received were approximately the same.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Seventh Secured SPA Amendment</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23, 2023, the Company entered into a seventh amendment to the Secured SPA (the “Seventh Secured SPA Amendment”) with FFSV, as administrative agent, collateral agent and purchaser, Senyun International Ltd. (“Senyun”), and FF Prosperity Ventures LLC (“FF Prosperity”), pursuant to which the parties agreed to accelerate the funding timeline of Tranche C Notes in the amount of $40.0 million, and FFSV agreed to purchase additional Tranche B Notes in the amount of $5.0 million, in each case, subject to meeting certain conditions, in exchange for an agreement to increase the original issuance discount associated with such funding. As part of the Seventh Secured SPA Amendment, the Company agreed that the original issuance discount related to $25.0 million in principal amount of Tranche C Notes and Tranche B Notes would be 14% and 16%, respectively.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Eighth Amendment to the Secured SPA</w:t>
      </w:r>
    </w:p>
    <w:p>
      <w:pPr>
        <w:pStyle w:val="TextBody"/>
        <w:bidi w:val="0"/>
        <w:spacing w:lineRule="auto" w:line="288" w:before="160" w:after="283"/>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On May 8 and 9, 2023, the Company entered into amendments to the Secured SPA (collectively, the “Eighth Secured SPA Amendment”) with certain Secured SPA Purchasers. Pursuant to the Eighth Secured SPA Amendment, the parties agreed to amend the floor price of all outstanding Secured SPA Notes, including the Exchange Notes, from $50.40 to $24.00 and to change the exercise price of the remaining Secured SPA Notes and SPA Warrants from $252.00 to $214.20.</w:t>
      </w:r>
    </w:p>
    <w:p>
      <w:pPr>
        <w:pStyle w:val="TextBody"/>
        <w:bidi w:val="0"/>
        <w:spacing w:lineRule="auto" w:line="288" w:before="160" w:after="283"/>
        <w:ind w:left="0" w:right="0" w:firstLine="504"/>
        <w:jc w:val="left"/>
        <w:rPr/>
      </w:pPr>
      <w:r>
        <w:rPr>
          <w:rFonts w:ascii="Times New Roman;sans-serif" w:hAnsi="Times New Roman;sans-serif"/>
          <w:b w:val="false"/>
          <w:color w:val="000000"/>
          <w:sz w:val="20"/>
        </w:rPr>
        <w:t xml:space="preserve">In accordance with ASC 470-50, </w:t>
      </w:r>
      <w:r>
        <w:rPr>
          <w:rFonts w:ascii="Times New Roman;sans-serif" w:hAnsi="Times New Roman;sans-serif"/>
          <w:b w:val="false"/>
          <w:i/>
          <w:color w:val="000000"/>
          <w:sz w:val="20"/>
        </w:rPr>
        <w:t>Debt— Modifications and Extinguishments</w:t>
      </w:r>
      <w:r>
        <w:rPr>
          <w:rFonts w:ascii="Times New Roman;sans-serif" w:hAnsi="Times New Roman;sans-serif"/>
          <w:b w:val="false"/>
          <w:color w:val="000000"/>
          <w:sz w:val="20"/>
        </w:rPr>
        <w:t>, the change in conversion price qualified as an extinguishment because the change in the fair value of the conversion feature was substantial. Accordingly, the Company recognized a Loss on settlement of notes payable in the Consolidated Statements of Operations and Comprehensive Loss three and six months ended June 30, 2023 in the amount of $11.4 million, calculated as the difference between the reacquisition price of the debt and the net carrying amount of the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48285"/>
                <wp:effectExtent l="0" t="0" r="0" b="0"/>
                <wp:wrapNone/>
                <wp:docPr id="22" name="Frame2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Unsecured SPA</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8, 2023, the Company entered into the Unsecured SPA. The Unsecured SPA Notes are subject to an original issue discount of 10%, and are convertible, along with any interest accrued, into shares of Class A Common Stock at an original conversion price equal to $214.20, subject to anti-dilution protection. Interest on Unsecured SPA Notes is payable at conversion or at maturity. When calculating the shares issuable upon conversion, the converted amount shall be decreased by 50% of the original issue discount pertaining to such amount.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Unless earlier paid, the Unsecured SPA Notes entitle the Unsecured SPA Purchasers, at each conversion date, to a Make-Whole Amount, in a combination of cash or Class A Common Stock at the Company’s discretion, in the amount of the interest that would have been payable if such converted amount was held to maturity based on an interest rate of 15% per annum. The conversion price of interest is the greater of (a) the floor price, $24.00 at inception (as adjusted for stock splits, stock dividends, stock combinations, recapitalizations or other similar transactions occurring after the date hereof) and (b) 90% of the lowest VWAP for the five consecutive trading days ending immediately prior to the conversion date.</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The Company elected the fair value option afforded by ASC 825, </w:t>
      </w:r>
      <w:r>
        <w:rPr>
          <w:rFonts w:ascii="Times New Roman;sans-serif" w:hAnsi="Times New Roman;sans-serif"/>
          <w:b w:val="false"/>
          <w:i/>
          <w:color w:val="000000"/>
          <w:sz w:val="20"/>
        </w:rPr>
        <w:t>Financial Instruments</w:t>
      </w:r>
      <w:r>
        <w:rPr>
          <w:rFonts w:ascii="Times New Roman;sans-serif" w:hAnsi="Times New Roman;sans-serif"/>
          <w:b w:val="false"/>
          <w:color w:val="000000"/>
          <w:sz w:val="20"/>
        </w:rPr>
        <w:t>, with respect to the Unsecured SPA Notes because the notes include features, such as a contingently exercisable put option, that meet the definition of an embedded derivative. The Company expenses the transaction costs to Changes in fair value of notes payable and warrant liabilities in the Unaudited Condensed Consolidated Statements of Operations and Comprehensive Loss.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Unsecured SPA the Unsecured SPA Purchasers also received warrants consistent with the rights, terms and privileges of the warrants afforded to the holders of the Secured SPA Notes.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First Amendment to the Unsecured SPA</w:t>
      </w:r>
    </w:p>
    <w:p>
      <w:pPr>
        <w:pStyle w:val="TextBody"/>
        <w:bidi w:val="0"/>
        <w:spacing w:lineRule="auto" w:line="288" w:before="160" w:after="283"/>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On June 26, 2023, the Company entered into an amendment to the Unsecured SPA (the “First Unsecured SPA Amendment”). The First Unsecured SPA Amendment enabled the Unsecured SPA Purchasers to postpone or cancel any closing of their commitment to purchase the Unsecured SPA Notes if the Company has not issued a press release or other public announcement confirming that the second phase of the Company’s delivery plan has begun on or prior to August 31, 2023, within 15 calendar days of such date. The First Unsecured SPA Amendment did not change the cash flows of the Unsecured SPA and is accounted for prospectively with no gain or loss recognized. On August 9, 2023, the Company announced that it had completed the relevant processes and steps that are needed for the second phase of delivery to begin.</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Joinder Agreements</w:t>
      </w:r>
    </w:p>
    <w:p>
      <w:pPr>
        <w:pStyle w:val="TextBody"/>
        <w:bidi w:val="0"/>
        <w:spacing w:lineRule="auto" w:line="288" w:before="160" w:after="283"/>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On June 26, 2023, the Company entered into a Joinder and Amendment Agreement (the “FFVV Joinder”) with FF Vitality Ventures LLC (“FFVV”), pursuant to which FFVV agreed that FFVV would exercise its option to purchase $20.0 million of Secured SPA Tranche B Notes, subject to certain closing conditions, including the delivery of a warrant to purchase shares of Class A Common Stock equal to 33% of FFSV’s conversion shares with an exercise price equal to $214.20. In addition, the parties agreed that if FFSV exercises its option to invest another $10.0 million of Tranche B Notes in accordance with the terms of the Secured SPA on or prior to the later of (x) August 1, 2023 or (y) four business days after the meeting of the Company’s stockholders for the required stockholder approval under the Unsecured SPA to increase the Company’s authorized shares of Common Stock, then the Company would subsequently amend the Unsecured SPA whereby FFVV would invest another $20.0 million in new unsecured notes subject to terms substantially identical to those provided in the Unsecured SPA.</w:t>
      </w:r>
    </w:p>
    <w:p>
      <w:pPr>
        <w:pStyle w:val="TextBody"/>
        <w:bidi w:val="0"/>
        <w:spacing w:lineRule="auto" w:line="288" w:before="160" w:after="283"/>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FFVV Joinder, FFVV agreed to purchase, Unsecured SPA Notes up to $40.0 million in eight installments. The floor price of the FFVV Unsecured SPA Notes and for each of the notes issued to FFSV (or its affiliates) under the Secured SPA, shall be $12.00 (as adjusted for stock splits, stock dividends, stock combinations, recapitalizations or other similar transactions occurring thereafter). The funding at each closing is subject to various closing conditions, including: (a) an effective registration statement with respect to the shares of Common Stock issuable upon exercise of the warrants issuable under the Unsecured SPA and the shares of Common Stock issuable pursuant to the FFVV Unsecured SPA Notes and (b) the Company shall have reserved the Required Reserve Amount (as defined in the FFVV Joinder) in full. In addition, FFVV has the option, for 12 months from June 25, 2023, to purchase Unsecured SPA Notes. FFVV agreed, on behalf of its affiliates, that FFSV may exchange any Tranche B Notes for either (x) Tranche D Notes, and/or (y) any Unsecured SPA Notes.</w:t>
      </w:r>
    </w:p>
    <w:p>
      <w:pPr>
        <w:pStyle w:val="TextBody"/>
        <w:bidi w:val="0"/>
        <w:spacing w:lineRule="auto" w:line="288" w:before="160" w:after="283"/>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agreed to pay FFVV a one-time $0.3 million working fee and legal fees not to exceed $0.4 million, which shall be paid by netting the purchase price for any new notes with the amount of such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48285"/>
                <wp:effectExtent l="0" t="0" r="0" b="0"/>
                <wp:wrapNone/>
                <wp:docPr id="23" name="Frame2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On June 26, 2023, Senyun executed a Second Joinder and Amendment Agreement (the “Senyun Joinder”), pursuant to which, Senyun agreed to exercise its option to purchase $15.0 million of Secured SPA Notes in accordance with the terms of the Secured SPA Notes. If Senyun exercises its option to invest another $10.0 million of Secured SPA Notes in accordance with the terms of the Secured SPA Notes on or prior to the later of (x) August 1, 2023 or (y) four business days after the meeting of the Company’s stockholders for the Stockholder Approval (as defined below), then the Company agrees to subsequently amend the Unsecured SPA Notes whereby Senyun would invest another $20.0 million. Senyun did not exercise this option.</w:t>
      </w:r>
    </w:p>
    <w:p>
      <w:pPr>
        <w:pStyle w:val="TextBody"/>
        <w:bidi w:val="0"/>
        <w:spacing w:lineRule="auto" w:line="288" w:before="160" w:after="283"/>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Senyun Joinder, Senyun agreed to purchase, under the Unsecured SPA Notes, unsecured notes in an aggregate principal amount of up to $30.0 million in eight installments. The floor price for each note issued to Senyun (or its affiliates) under the SPA Notes, is $10.90 (as adjusted for stock splits, stock dividends, stock combinations, recapitalizations or other similar transactions occurring thereafter).</w:t>
      </w:r>
    </w:p>
    <w:p>
      <w:pPr>
        <w:pStyle w:val="TextBody"/>
        <w:bidi w:val="0"/>
        <w:spacing w:lineRule="auto" w:line="288" w:before="160" w:after="283"/>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agreed to pay Senyun a one-time $0.2 million working fee and legal fees not to exceed $0.3 million, which shall be paid by netting the purchase price for any new notes with the amount of such fees.</w:t>
      </w:r>
    </w:p>
    <w:p>
      <w:pPr>
        <w:pStyle w:val="TextBody"/>
        <w:bidi w:val="0"/>
        <w:spacing w:lineRule="auto" w:line="288" w:before="160" w:after="283"/>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The FFVV and Senyun Joinders do not trigger any adjustment to the conversion or exercise price of the notes and warrants under the SPA Notes, and Senyun and FFSV waived any such rights to any adjustment to the conversion or exercise price in each of the Secured SPA and/or the Unsecured SPA, as applicable, and the related warrants.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Unsecured Securities Purchase Agreement – Streeterville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August 4, 2023, the Company entered into a securities purchase agreement with Streeterville (the “Unsecured Streeterville SPA”), for $16.5 million aggregate principal amount of the Company’s senior unsecured promissory notes (the “Streeterville Note”) and a common stock purchase warrant (the “Streeterville Warrant”) to purchase up to 25,421 shares of Common Stock with an exercise price equal to $214.20 per share, subject to full ratchet anti-dilution protection and other adjustments, and are exercisable for seven years on a cash or cashless basis.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Streeterville Note is subject to an original issue discount of $1.5 million. In addition, the Company paid Streeterville $0.2 million to cover Streeterville’s legal fees and other transaction costs incurred in connection with the purchase and sale of the Streeterville Note. The Streeterville Note is convertible into shares of Class A Common Stock, at an original conversion price equal to $214.20, plus an interest make-whole amount as described above for the Unsecured SPA, subject to certain adjustments including full ratchet anti-dilution price protection.</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Streeterville Note matures on August 4, 2029 and is subject to the same repayment conversion, and most-favored nation terms and conditions as described above for the Unsecured SPA.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Streeterville has the option, from time to time for 12 months after the date of the Unsecured Streeterville SPA, to purchase up to $7.5 million in aggregate (or $15.0 million in aggregate with the Company’s consent) in additional convertible senior unsecured notes and warrants on the same terms as the Streeterville Note and Streeterville Warrant. Additionally, from the date of the Unsecured Streeterville SPA until the five-year anniversary of the date of the Unsecured Streeterville SPA, upon any issuance by the Company or any of its subsidiaries of Class A Common Stock or Class A Common Stock equivalents for cash consideration, indebtedness or a combination of units thereof (subject to certain exceptions set forth in the Unsecured Streeterville SPA) (each, a “Subsequent Financing”), if Streeterville owns at least $7.5 million principal amount of Streeterville Notes (when aggregated with any affiliates of Streeterville), then Streeterville shall have the right to participate in the Subsequent Financing, for up to an amount such that Streeterville’s ownership of the Company remains the same immediately following such Subsequent Financing as its ownership immediately prior to such Subsequent Financing, pursuant to the procedures outlined in the Unsecured Streeterville SPA.</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Streeterville Note, the Company obtained stockholder approval, as required by the Nasdaq listing rules, with respect to the issuance of any shares of Class A Common Stock in excess of 19.99% of the issued and outstanding shares of Class A Common Stock (the “Issuance Cap”), the Conversion Shares (as defined in the Streeterville Note), the Warrant Shares (as defined in the Unsecured Streeterville SPA), and subject to any applicable Nasdaq rules, any shares Common Stock issuable pursuant to the note and warrant issuable in connection with the reinvestment right set forth in the Unsecured Streeterville SPA in excess of the Issuance Cap. Such stockholder approval was obtained at a special meeting of the Company’s stockholders held on February 5,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48285"/>
                <wp:effectExtent l="0" t="0" r="0" b="0"/>
                <wp:wrapNone/>
                <wp:docPr id="24" name="Frame2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Unanimous Written Consents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During the period ended June 30, 2024, the Company’s Board of Directors exercised its authority via written consents (the “Unanimous Written Consents”) to adjust the conversion price of the SPA Notes as it considered desirable. The Board chose to reduce the principal conversion price from $0.73 to 105% of the listed market price of the Company’s Common Stock at the close of the trading day on which a conversion notice is delivered. The adjustments to the principal conversion price were temporary in nature and contractually concluded on June 30, 2024. The Company accounted for the modification of the SPA Notes prospectively with no gain or loss recorded in the Unaudited Condensed Consolidated Statements of Operations and Comprehensive Loss. The actions of the Board in the Unanimous Written Consents do not trigger any full ratchet anti-dilution price protection in the Company’s debt and equity securities.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Anti-dilution adjustments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During the twelve-month period ended December 31, 2023, the Company entered into multiple dilutive stock sale and purchase transactions, as discussed in Note 2, </w:t>
      </w:r>
      <w:r>
        <w:rPr>
          <w:rFonts w:ascii="Times New Roman;sans-serif" w:hAnsi="Times New Roman;sans-serif"/>
          <w:b w:val="false"/>
          <w:i/>
          <w:color w:val="000000"/>
          <w:sz w:val="20"/>
        </w:rPr>
        <w:t>Liquidity and Capital Resources and Going Concern</w:t>
      </w:r>
      <w:r>
        <w:rPr>
          <w:color w:val="000000"/>
        </w:rPr>
        <w:t xml:space="preserve"> </w:t>
      </w:r>
      <w:r>
        <w:rPr>
          <w:rFonts w:ascii="Times New Roman;sans-serif" w:hAnsi="Times New Roman;sans-serif"/>
          <w:b w:val="false"/>
          <w:color w:val="000000"/>
          <w:sz w:val="20"/>
        </w:rPr>
        <w:t>above that triggered the full ratchet anti-dilution price protections embedded in the SPA Notes and SPA Warrants. As a result, the fixed-price conversion price of the SPA Notes and exercise price of the SPA Warrants outstanding prior to such financings was reduced to a price equal to the price per share paid in the dilutive financings. Excluding the impact of the Conversion Price adjustments pursuant to the Unanimous Written Consents, which expired on June 30, 2024, the SPA Note conversion and SPA Warrant exercise price equals $0.73 for SPA Notes that were issued prior to December 31, 2023. Generally, the Make-Whole Amount is calculated using the floor price, which is $10.90 as of June 30, 2024 and December 31, 2023.</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End of Period Secured and Unsecured SPA Information</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the Company received cash proceeds, net of original issue discounts, of $7.3 million pursuant to the commitments included in the SPA Notes. The Company received cash proceeds, net of original issue discounts, of $231.1 million in exchange for the issuance of the SPA Notes during the twelve months ended December 31, 2023. The Company incurred approximately $0.1 million and $0.1 million in transaction costs during the three and six months ended June 30, 2024. The Company incurred approximately $1.1 million and $2.2 million in transaction costs during the three and six months ended June 30, 2023.</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During the six months ended June 30, 2024 and the twelve months ended December 31, 2023, the Company issued to the Secured SPA Purchasers and Unsecured SPA Purchasers SPA Warrants pursuant to both the Secured SPA and Unsecured SPA arrangements and in connection with the Warrant Exchange. As of June 30, 2024, there were 568,738 SPA Warrants outstanding and as of December 31, 2023, there were 556,205 SPA Warrants outstanding. The SPA Warrants are subject to anti-dilution ratchet price protection and are exercisable for 7 years from the date of issuance (see Note 11, </w:t>
      </w:r>
      <w:r>
        <w:rPr>
          <w:rFonts w:ascii="Times New Roman;sans-serif" w:hAnsi="Times New Roman;sans-serif"/>
          <w:b w:val="false"/>
          <w:i/>
          <w:color w:val="000000"/>
          <w:sz w:val="20"/>
        </w:rPr>
        <w:t>Stockholders’ Equity</w:t>
      </w:r>
      <w:r>
        <w:rPr>
          <w:rFonts w:ascii="Times New Roman;sans-serif" w:hAnsi="Times New Roman;sans-serif"/>
          <w:b w:val="false"/>
          <w:color w:val="000000"/>
          <w:sz w:val="20"/>
        </w:rPr>
        <w:t xml:space="preserve">). The Company may repurchase certain warrants for $0.01 per share if and to the extent the VWAP of the Class A Common Stock during 20 out of 30 trading days prior to the repurchase is greater than $3,600.00 per share, subject to certain additional conditions. There were no SPA Warrant exercises during the three or six months ended June 30, 2024. During the twelve months ended December 31, 2023, the Secured SPA Purchasers exercised warrants to purchase 251,649 shares of Class A Common Stock issued pursuant to the SPA Notes, via both cash and cashless exercise.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2024 and 2023, the Company determined that the fair value of the SPA Notes was $53.2 million and $69.7 million and the fair value of the SPA Warrants was $0.2 million and $21.1 million, respectively. The Company recorded a loss in Change in fair value of notes payable and warrant liabilities in the Unaudited Condensed Consolidated Statements of Operations and Comprehensive Loss in the amount of $4.7 million for the three months ended June 30, 2024 and a gain in the amounts of $23.6 million for the six months ended June 30, 2024 for the SPA Notes and SPA Warrants. The Company recorded a gain in Change in fair value of notes payable and warrant liabilities in the Unaudited Condensed Consolidated Statements of Operations and Comprehensive Loss for the three and six months ended June 30, 2023 in the amount of $24.7 million and $72.8 million, respectively, for the SPA Notes and SPA Warrants.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SPA Notes with an aggregate principal amount of $34.3 million and a fair value of $17.2 million were converted to Class A Common Stock. During the six months ended June 30, 2023, SPA Notes with an aggregate principal amount of $168.0 million and a fair value of $106.5 million were converted to Class A Common Stock. In connection with the conversions of the SPA Notes, the Company recognized a Loss on settlement of notes payable for the three and six months ended June 30, 2024 in the amount of $47.0 million and $58.6 million, respectively, and three and six months ended June 30, 2023 in the amount of $80.5 million and $175.6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48285"/>
                <wp:effectExtent l="0" t="0" r="0" b="0"/>
                <wp:wrapNone/>
                <wp:docPr id="25" name="Frame2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Unsecured Convertible Notes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the Company issued unsecured convertible notes (the “Unsecured Convertible Notes”) to Senyun and MHL, in an aggregate principal amount of $18.1 million. The Unsecured Convertible Notes are due three months from the date of issuance, accrue interest at a rate of 4.27% per annum, and are convertible into either Class A Common Stock or into an SPA Note at the option of the holder. If conversion into Class A Common Stock is elected, the conversion price is the latest closing price of the Company’s Class A Common Stock on the conversion date. The Unsecured Convertible Notes are due on demand upon the occurrence of an event of default as defined in the notes.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The Company elected the fair value option afforded by ASC 825, </w:t>
      </w:r>
      <w:r>
        <w:rPr>
          <w:rFonts w:ascii="Times New Roman;sans-serif" w:hAnsi="Times New Roman;sans-serif"/>
          <w:b w:val="false"/>
          <w:i/>
          <w:color w:val="000000"/>
          <w:sz w:val="20"/>
        </w:rPr>
        <w:t>Financial Instruments</w:t>
      </w:r>
      <w:r>
        <w:rPr>
          <w:rFonts w:ascii="Times New Roman;sans-serif" w:hAnsi="Times New Roman;sans-serif"/>
          <w:b w:val="false"/>
          <w:color w:val="000000"/>
          <w:sz w:val="20"/>
        </w:rPr>
        <w:t>, with respect to the Unsecured Convertible Notes because the Company believes the Unsecured Convertible Notes will be exchanged into an SPA Note pursuant to the conversion right included within the notes. The SPA Notes include features, such as a contingently exercisable put option, that meet the definition of an embedded derivative. The Company recorded a loss in Change in fair value of notes payable and warrant liabilities in the Unaudited Condensed Consolidated Statements of Operations and Comprehensive Loss for the three and six months ended June 30, 2024 in the amount of $2.7 million and $3.1 million for the Unsecured Convertible Notes.</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debt was in default as of the balance sheet date due to non-payment by the maturity date. </w:t>
      </w:r>
    </w:p>
    <w:p>
      <w:pPr>
        <w:pStyle w:val="TextBody"/>
        <w:bidi w:val="0"/>
        <w:spacing w:lineRule="auto" w:line="288" w:before="160" w:after="283"/>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Fair Value of Notes Payable Not Carried at Fair Value</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Company’s notes payable not carried at fair value, using inputs from Level 3 under the fair value hierarchy, approximated their carrying value as of June 30, 2024 and December 31, 2023, respectively.</w:t>
      </w:r>
    </w:p>
    <w:p>
      <w:pPr>
        <w:pStyle w:val="TextBody"/>
        <w:bidi w:val="0"/>
        <w:spacing w:lineRule="auto" w:line="288" w:before="240" w:after="160"/>
        <w:jc w:val="left"/>
        <w:rPr>
          <w:rFonts w:ascii="Times New Roman;sans-serif" w:hAnsi="Times New Roman;sans-serif"/>
          <w:b/>
          <w:i/>
          <w:color w:val="000000"/>
          <w:sz w:val="20"/>
        </w:rPr>
      </w:pPr>
      <w:r>
        <w:rPr>
          <w:rFonts w:ascii="Times New Roman;sans-serif" w:hAnsi="Times New Roman;sans-serif"/>
          <w:b/>
          <w:i/>
          <w:color w:val="000000"/>
          <w:sz w:val="20"/>
        </w:rPr>
        <w:t xml:space="preserve">Schedule of Principal Maturities of Notes Payable </w:t>
      </w:r>
    </w:p>
    <w:p>
      <w:pPr>
        <w:pStyle w:val="TextBody"/>
        <w:bidi w:val="0"/>
        <w:spacing w:lineRule="auto" w:line="288" w:before="160" w:after="283"/>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The future scheduled principal maturities of notes payable as of June 30, 2024 are as follows:</w:t>
      </w:r>
    </w:p>
    <w:tbl>
      <w:tblPr>
        <w:tblW w:w="2585" w:type="dxa"/>
        <w:jc w:val="left"/>
        <w:tblInd w:w="0" w:type="dxa"/>
        <w:tblLayout w:type="fixed"/>
        <w:tblCellMar>
          <w:top w:w="28" w:type="dxa"/>
          <w:left w:w="28" w:type="dxa"/>
          <w:bottom w:w="28" w:type="dxa"/>
          <w:right w:w="28" w:type="dxa"/>
        </w:tblCellMar>
      </w:tblPr>
      <w:tblGrid>
        <w:gridCol w:w="505"/>
        <w:gridCol w:w="444"/>
        <w:gridCol w:w="445"/>
        <w:gridCol w:w="211"/>
        <w:gridCol w:w="826"/>
        <w:gridCol w:w="154"/>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on demand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 xml:space="preserve">8. Related Party Transactions </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Related Party Notes Payable</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receives funding via notes payable from various parties, including related parties. These related parties include employees as well as affiliates of employees, affiliates, and other companies controlled or previously controlled by the Company’s founder and Chief Product and User Ecosystem Officer.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48285"/>
                <wp:effectExtent l="0" t="0" r="0" b="0"/>
                <wp:wrapNone/>
                <wp:docPr id="26" name="Frame2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Related party notes payable consists of the following as of June 30, 2024:</w:t>
      </w:r>
    </w:p>
    <w:tbl>
      <w:tblPr>
        <w:tblW w:w="8688" w:type="dxa"/>
        <w:jc w:val="left"/>
        <w:tblInd w:w="0" w:type="dxa"/>
        <w:tblLayout w:type="fixed"/>
        <w:tblCellMar>
          <w:top w:w="28" w:type="dxa"/>
          <w:left w:w="28" w:type="dxa"/>
          <w:bottom w:w="28" w:type="dxa"/>
          <w:right w:w="28" w:type="dxa"/>
        </w:tblCellMar>
      </w:tblPr>
      <w:tblGrid>
        <w:gridCol w:w="1423"/>
        <w:gridCol w:w="1251"/>
        <w:gridCol w:w="1256"/>
        <w:gridCol w:w="109"/>
        <w:gridCol w:w="109"/>
        <w:gridCol w:w="109"/>
        <w:gridCol w:w="424"/>
        <w:gridCol w:w="424"/>
        <w:gridCol w:w="426"/>
        <w:gridCol w:w="109"/>
        <w:gridCol w:w="109"/>
        <w:gridCol w:w="109"/>
        <w:gridCol w:w="434"/>
        <w:gridCol w:w="434"/>
        <w:gridCol w:w="436"/>
        <w:gridCol w:w="109"/>
        <w:gridCol w:w="109"/>
        <w:gridCol w:w="109"/>
        <w:gridCol w:w="211"/>
        <w:gridCol w:w="616"/>
        <w:gridCol w:w="109"/>
        <w:gridCol w:w="109"/>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Maturity</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Interest</w:t>
              <w:br/>
              <w:t>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 Unsecured Convertible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 China various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on Demand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 Convertible FFGP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 FFGP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4.27% - 5.27%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Related party notes payable,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Related party notes payable, less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Related party notes payable consists of the following as of December 31, 2023:</w:t>
      </w:r>
    </w:p>
    <w:tbl>
      <w:tblPr>
        <w:tblW w:w="8913" w:type="dxa"/>
        <w:jc w:val="center"/>
        <w:tblInd w:w="0" w:type="dxa"/>
        <w:tblLayout w:type="fixed"/>
        <w:tblCellMar>
          <w:top w:w="28" w:type="dxa"/>
          <w:left w:w="28" w:type="dxa"/>
          <w:bottom w:w="28" w:type="dxa"/>
          <w:right w:w="28" w:type="dxa"/>
        </w:tblCellMar>
      </w:tblPr>
      <w:tblGrid>
        <w:gridCol w:w="1423"/>
        <w:gridCol w:w="1250"/>
        <w:gridCol w:w="1256"/>
        <w:gridCol w:w="109"/>
        <w:gridCol w:w="109"/>
        <w:gridCol w:w="109"/>
        <w:gridCol w:w="499"/>
        <w:gridCol w:w="499"/>
        <w:gridCol w:w="501"/>
        <w:gridCol w:w="109"/>
        <w:gridCol w:w="109"/>
        <w:gridCol w:w="109"/>
        <w:gridCol w:w="434"/>
        <w:gridCol w:w="434"/>
        <w:gridCol w:w="437"/>
        <w:gridCol w:w="109"/>
        <w:gridCol w:w="109"/>
        <w:gridCol w:w="109"/>
        <w:gridCol w:w="211"/>
        <w:gridCol w:w="616"/>
        <w:gridCol w:w="109"/>
        <w:gridCol w:w="109"/>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Maturity</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Interest</w:t>
              <w:br/>
              <w:t>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 Unsecured SPA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 - 15%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 China various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on Demand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 FFGP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4.27% - 5.27%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Related party notes payable,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Related party notes payable, less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283"/>
        <w:ind w:left="0" w:right="0" w:firstLine="504"/>
        <w:jc w:val="both"/>
        <w:rPr/>
      </w:pPr>
      <w:r>
        <w:rPr/>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Unsecured SPA</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MHL is the anchor investor in the Unsecured SPA and has committed $80.0 million of such funding. MHL is a related party of the Company as MHL’s investors include a subsidiary of FF Global Partners LLC (“FF Global”), a stockholder of the Company. FF Global has control over the Company’s management, business and operations. See Note 7, </w:t>
      </w:r>
      <w:r>
        <w:rPr>
          <w:rFonts w:ascii="Times New Roman;sans-serif" w:hAnsi="Times New Roman;sans-serif"/>
          <w:b w:val="false"/>
          <w:i/>
          <w:color w:val="000000"/>
          <w:sz w:val="20"/>
        </w:rPr>
        <w:t>Notes Payable</w:t>
      </w:r>
      <w:r>
        <w:rPr>
          <w:rFonts w:ascii="Times New Roman;sans-serif" w:hAnsi="Times New Roman;sans-serif"/>
          <w:b w:val="false"/>
          <w:color w:val="000000"/>
          <w:sz w:val="20"/>
        </w:rPr>
        <w:t>, for details on the Unsecured SPA.</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The Company elected the fair value option afforded by ASC 825, </w:t>
      </w:r>
      <w:r>
        <w:rPr>
          <w:rFonts w:ascii="Times New Roman;sans-serif" w:hAnsi="Times New Roman;sans-serif"/>
          <w:b w:val="false"/>
          <w:i/>
          <w:color w:val="000000"/>
          <w:sz w:val="20"/>
        </w:rPr>
        <w:t>Financial Instruments</w:t>
      </w:r>
      <w:r>
        <w:rPr>
          <w:rFonts w:ascii="Times New Roman;sans-serif" w:hAnsi="Times New Roman;sans-serif"/>
          <w:b w:val="false"/>
          <w:color w:val="000000"/>
          <w:sz w:val="20"/>
        </w:rPr>
        <w:t>, with respect to the Unsecured SPA Notes because the notes include features, such as a contingently exercisable put option, that meet the definition of an embedded derivative. The Company expensed the transaction costs to Changes in fair value of related party notes payable and warrant liabilities in the Unaudited Condensed Consolidated Statements of Operations and Comprehensive Loss.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Subsequent to the issuance of the Unsecured SPA, MHL funded, net of original issue discounts, $20.7 million in exchange for the issuance of the Unsecured SPA Notes and related warrants. MHL did not fund the Unsecured SPA during the six months ended June 30, 2024. In connection with the Unsecured SPA, the Company issued to MHL SPA Warrants to purchase 35,405 shares of the Class A Common Stock. The SPA Warrants are subject to anti-dilution ratchet price protection and are exercisable for seven years from the date of issuance (see Note 11, </w:t>
      </w:r>
      <w:r>
        <w:rPr>
          <w:rFonts w:ascii="Times New Roman;sans-serif" w:hAnsi="Times New Roman;sans-serif"/>
          <w:b w:val="false"/>
          <w:i/>
          <w:color w:val="000000"/>
          <w:sz w:val="20"/>
        </w:rPr>
        <w:t>Stockholders' Equity</w:t>
      </w:r>
      <w:r>
        <w:rPr>
          <w:color w:val="000000"/>
        </w:rPr>
        <w:t xml:space="preserve"> </w:t>
      </w:r>
      <w:r>
        <w:rPr>
          <w:rFonts w:ascii="Times New Roman;sans-serif" w:hAnsi="Times New Roman;sans-serif"/>
          <w:b w:val="false"/>
          <w:color w:val="000000"/>
          <w:sz w:val="20"/>
        </w:rPr>
        <w:t xml:space="preserve">and Note 7, </w:t>
      </w:r>
      <w:r>
        <w:rPr>
          <w:rFonts w:ascii="Times New Roman;sans-serif" w:hAnsi="Times New Roman;sans-serif"/>
          <w:b w:val="false"/>
          <w:i/>
          <w:color w:val="000000"/>
          <w:sz w:val="20"/>
        </w:rPr>
        <w:t>Notes Payable</w:t>
      </w:r>
      <w:r>
        <w:rPr>
          <w:rFonts w:ascii="Times New Roman;sans-serif" w:hAnsi="Times New Roman;sans-serif"/>
          <w:b w:val="false"/>
          <w:color w:val="000000"/>
          <w:sz w:val="20"/>
        </w:rPr>
        <w:t>). During the six months ended June 30, 2024, MHL converted its remaining outstanding gross principal balance, $0.7 million, in exchange for 1,324,292 shares of the Class A Common Stock. In connection with the conversion of Unsecured SPA Notes, there was no Loss on settlement of related party notes during the three months ended June 30, 2024 and the Company recognized $0.2 million Loss on settlement of related party notes payable during the six months ended June 30, 2024, for the difference between the fair value of the shares issued and the fair value of the debt instrument.</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there were no Related party notes payable issued pursuant to the Unsecured SPA.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48285"/>
                <wp:effectExtent l="0" t="0" r="0" b="0"/>
                <wp:wrapNone/>
                <wp:docPr id="27" name="Frame2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Related Party Notes - Unsecured Convertible</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2024, the Company issued an unsecured convertible note to MHL in a principal amount of $1.5 million. The note was due three months from the date of issuance, April 2024, accrues interest at a rate of 4.27% per annum, and is convertible into either Class A Common Stock or into an SPA Note at the option of the holder. If conversion into Class A Common Stock is elected, the conversion price is the latest closing price of the Company’s Class A Common Stock on the conversion date. The debt is due on demand upon the occurrence of an event of default as defined in the note.</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The Company elected the fair value option afforded by ASC 825, </w:t>
      </w:r>
      <w:r>
        <w:rPr>
          <w:rFonts w:ascii="Times New Roman;sans-serif" w:hAnsi="Times New Roman;sans-serif"/>
          <w:b w:val="false"/>
          <w:i/>
          <w:color w:val="000000"/>
          <w:sz w:val="20"/>
        </w:rPr>
        <w:t>Financial Instruments</w:t>
      </w:r>
      <w:r>
        <w:rPr>
          <w:rFonts w:ascii="Times New Roman;sans-serif" w:hAnsi="Times New Roman;sans-serif"/>
          <w:b w:val="false"/>
          <w:color w:val="000000"/>
          <w:sz w:val="20"/>
        </w:rPr>
        <w:t>, with respect to this note because the Company believes the note will be exchanged into an SPA Note pursuant to the conversion right included within the note. The SPA Notes include features, such as a contingently exercisable put option, that meet the definition of an embedded derivative.</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debt was in default as of the balance sheet date due to non-payment by the maturity date.</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a loss in Change in fair value of related party notes payable and warrant liabilities in the Unaudited Condensed Consolidated Statements of Operations and Comprehensive Loss for the three and six months ended June 30, 2024 in the amount of $0.3 million and $0.5 million for the related party convertible notes.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Related Party Notes - China</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Previously, the Company had outstanding debt payable to Chongquing Leshi Small Loan Co., Ltd. (“Chongquing”), a related party. In 2022, Chongquing agreed to modify its debt agreement with the Company agreed to make a payment of 10% of the outstanding principal. Under this modified agreement, the Company received the rights to all interest accrued, a discount in principal balance, and agreed to make payments during 2023 to completely pay the discounted principal by December 31, 2023. The Company did not pay the outstanding principal and interest amount in full by the maturity date of December 31, 2023, and as a result, the Company incurred substantial interest and penalties. Per the terms of the modified agreement, all outstanding interest and penalties since the inception of the original agreement reverted to Chongquing and the discounted principal balance returned to the full unpaid amount. As a result, the Company recognized no and $14.1 million loss on related party notes payable and related party warrants for the three and six months ended June 30, 2024, respectively, in the Unaudited Condensed Consolidated Statements of Operations and Comprehensive Loss. As of June 30, 2024 and December 31, 2023, the outstanding principal balance related to this related party note was $7.6 million and $5.1 million, respectively, and the outstanding accrued related party interest was $18.5 million and $0.8 million, respectively.</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Related Party Notes - Convertible FFGP</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2024 the Company and FFGP Investment Holding I, LLC (“FFGP”), a related party, entered into an unsecured convertible note in the amount of $0.3 million. The note has a maturity date of May 2024, accrued interest at a rate of 4.27% per annum, and is convertible into Class A Common Stock at the option of the holder. The conversion price is the latest closing price of the Company’s Class A Common Stock on the conversion date. The debt is due on demand upon the occurrence of an event of default as defined in the agreement.</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debt was in default as of the balance sheet date due to non-payment by their respective maturity dates.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Related Party Notes - FFGP</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and January 2024, the Company issued unsecured promissory notes to FFGP, a related party, in an aggregate principal amount of $1.6 million. These notes were due three months from their respective date of issuance and accrued interest at either 4.27% or 5.27%. The debt is due on demand upon the occurrence of an event of default as defined in the note.</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debt was in default as of the balance sheet date due to non-payment by their respective maturity dates.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of Related Party Notes Payable Not Carried at Fair Value</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estimated fair value of the Company’s related party notes payable not carried at fair value approximated their carrying value as of June 30, 2024 and December 31, 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48285"/>
                <wp:effectExtent l="0" t="0" r="0" b="0"/>
                <wp:wrapNone/>
                <wp:docPr id="28" name="Frame2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X-Butler previously known as Warm Time Inc. (“Warm Time”) and Ocean View Drive Inc. (“Ocean View”) Transactions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leased two real properties, located in Rancho Palos Verdes, California (the “Rancho Palos Verdes Properties”), from X-Butler from January 1, 2018 through March 31, 2022. X-Butler in turn leased the Rancho Palos Verdes Properties from Yueting Jia, the Company’s founder and Chief Product and User Ecosystem Officer. The Rancho Palos Verdes Properties were used by the Company to provide long-term or temporary housing to employees of the Company (including a former Global CEO). According to the agreement between the parties, the Company paid X-Butler for rent and certain services, including catering, room services and organization of meetings, external gatherings and events, for the Rancho Palos Verdes Properties. For the three months ended June 30, 2024 and June 30, 2023, the Company paid to X-Butler zero and $0.1 million, respectively, for rent and business development services rendered to the Company and its executives. The Company has recorded approximately $0.2 million and $0.1 million in Accounts Payable as of June 30, 2024 and December 31, 2023, respectively.</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On February 9, 2023, the Company made a payment of approximately $0.2 million on behalf of Ocean View, an indemnified co-defendant, in connection with a seizure of funds related to the outstanding judgment in ongoing litigation, also involving Han’s San Jose Hospitality, LLC. Ocean View fulfilled its payment obligation under the settlement arrangement of such litigation, but the Company did not make its payment on the outstanding judgment which caused such seizure of funds of Ocean View. See Note 10,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for more information. Following such seizure, the Company paid the outstanding judgment and all accrued interest. The Company received the return of such indemnification payment in April 2023.</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FF Global Expense Reimbursements and Consulting Fees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30, 2022, the Company entered into a preliminary term sheet (the “Preliminary Term Sheet”) with FF Top Holding LLC (“FF Top”), a subsidiary of FF Global, setting out a summary of the preliminary terms and conditions for FF Top’s assistance in arranging a proposed convertible term loan facility to the Company. In connection with the Preliminary Term Sheet, the Company agreed to reimburse FF Top for its reasonable and documented out-of-pocket legal and diligence fees and expenses incurred in connection with such financing efforts up to a $0.3 million cap (the “Original Cap”), irrespective of whether or not closing occurred, with $0.2 million to be payable as a deposit upon execution of the Preliminary Term Sheet. Pursuant to the Preliminary Term Sheet, the Company paid FF Top $0.4 million in 2022.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31, 2023, the Company entered into a supplemental agreement to the Preliminary Term Sheet (the “Term Sheet” and with such supplemental agreement, the “Supplemental Agreement”) with FF Global, pursuant to which the parties agreed, due to the high amount of FF Global’s out-of-pocket legal fees and expenses incurred in connection with its financing efforts, to amend the Preliminary Term Sheet to increase the Original Cap from $0.3 million to $0.7 million. The Company agreed to pay the remaining $0.4 million of the fees owed to FF Global as follows: (i) $0.2 million within one business day of execution of the Supplemental Agreement, and (ii) $0.2 million within one business day of consummation of new financing by the Company in an amount not less than $5.0 million or an earlier date approved by the Board. Pursuant to the Preliminary Term Sheet, as amended by the Supplemental Agreement, the Company paid FF Global $0.2 million on each of February 1, 2023 and February 6, 2023.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8, 2023, the Company reimbursed FF Global for $0.2 million related to legal expenses incurred by FF Global in connection with the Sixth Secured SPA Amendment. In addition, on April 10, 2023 and May 31, 2023, the Company reimbursed FF Global for $0.1 million and $0.3 million related to legal expenses incurred by FF Global in connection with certain unsecured financings.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FF Global requested from the Company legal expense reimbursement of $6.5 million for costs incurred related to the governance changes at the Company, which was not approved by the Board as of the date these Unaudited Condensed Consolidated Financial Statements were issued. FF Global may in the future continue to request additional expense reimbursements and indemnification from the Company.</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6, 2023, the Company entered into a consulting service agreement with an effective date of February 1, 2023 with FF Global (the “Consulting Services Agreement”), according to which the Company agreed to pay a monthly consulting fee of $0.2 million to FF Global for the following services:</w:t>
      </w:r>
    </w:p>
    <w:p>
      <w:pPr>
        <w:pStyle w:val="TextBody"/>
        <w:bidi w:val="0"/>
        <w:spacing w:lineRule="auto" w:line="288" w:before="160" w:after="283"/>
        <w:ind w:left="0" w:right="0" w:firstLine="504"/>
        <w:jc w:val="left"/>
        <w:rPr/>
      </w:pPr>
      <w:r>
        <w:rPr>
          <w:color w:val="000000"/>
        </w:rPr>
        <w:t>•</w:t>
      </w:r>
      <w:r>
        <w:rPr>
          <w:rFonts w:ascii="Times New Roman;sans-serif" w:hAnsi="Times New Roman;sans-serif"/>
          <w:b w:val="false"/>
          <w:color w:val="000000"/>
          <w:sz w:val="20"/>
        </w:rPr>
        <w:t>Assistance in developing its funding strategy.</w:t>
      </w:r>
    </w:p>
    <w:p>
      <w:pPr>
        <w:pStyle w:val="TextBody"/>
        <w:bidi w:val="0"/>
        <w:spacing w:lineRule="auto" w:line="288" w:before="160" w:after="283"/>
        <w:ind w:left="0" w:right="0" w:firstLine="504"/>
        <w:jc w:val="left"/>
        <w:rPr/>
      </w:pPr>
      <w:r>
        <w:rPr>
          <w:color w:val="000000"/>
        </w:rPr>
        <w:t>•</w:t>
      </w:r>
      <w:r>
        <w:rPr>
          <w:rFonts w:ascii="Times New Roman;sans-serif" w:hAnsi="Times New Roman;sans-serif"/>
          <w:b w:val="false"/>
          <w:color w:val="000000"/>
          <w:sz w:val="20"/>
        </w:rPr>
        <w:t>Assistance in developing its value return and management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48285"/>
                <wp:effectExtent l="0" t="0" r="0" b="0"/>
                <wp:wrapNone/>
                <wp:docPr id="29" name="Frame2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ind w:left="0" w:right="0" w:firstLine="504"/>
        <w:jc w:val="left"/>
        <w:rPr/>
      </w:pPr>
      <w:r>
        <w:rPr>
          <w:color w:val="000000"/>
        </w:rPr>
        <w:t>•</w:t>
      </w:r>
      <w:r>
        <w:rPr>
          <w:rFonts w:ascii="Times New Roman;sans-serif" w:hAnsi="Times New Roman;sans-serif"/>
          <w:b w:val="false"/>
          <w:color w:val="000000"/>
          <w:sz w:val="20"/>
        </w:rPr>
        <w:t xml:space="preserve">Consultation on and integration of stockholder relations and stockholder resources. </w:t>
      </w:r>
    </w:p>
    <w:p>
      <w:pPr>
        <w:pStyle w:val="TextBody"/>
        <w:bidi w:val="0"/>
        <w:spacing w:lineRule="auto" w:line="288" w:before="160" w:after="283"/>
        <w:ind w:left="0" w:right="0" w:firstLine="504"/>
        <w:jc w:val="left"/>
        <w:rPr/>
      </w:pPr>
      <w:r>
        <w:rPr>
          <w:color w:val="000000"/>
        </w:rPr>
        <w:t>•</w:t>
      </w:r>
      <w:r>
        <w:rPr>
          <w:rFonts w:ascii="Times New Roman;sans-serif" w:hAnsi="Times New Roman;sans-serif"/>
          <w:b w:val="false"/>
          <w:color w:val="000000"/>
          <w:sz w:val="20"/>
        </w:rPr>
        <w:t>Supporting communications regarding stockholders meetings.</w:t>
      </w:r>
    </w:p>
    <w:p>
      <w:pPr>
        <w:pStyle w:val="TextBody"/>
        <w:bidi w:val="0"/>
        <w:spacing w:lineRule="auto" w:line="288" w:before="160" w:after="283"/>
        <w:ind w:left="0" w:right="0" w:firstLine="504"/>
        <w:jc w:val="left"/>
        <w:rPr/>
      </w:pPr>
      <w:r>
        <w:rPr>
          <w:color w:val="000000"/>
        </w:rPr>
        <w:t>•</w:t>
      </w:r>
      <w:r>
        <w:rPr>
          <w:rFonts w:ascii="Times New Roman;sans-serif" w:hAnsi="Times New Roman;sans-serif"/>
          <w:b w:val="false"/>
          <w:color w:val="000000"/>
          <w:sz w:val="20"/>
        </w:rPr>
        <w:t>Developing existing stockholder financing strategy, including with respect to retail investors and others.</w:t>
      </w:r>
    </w:p>
    <w:p>
      <w:pPr>
        <w:pStyle w:val="TextBody"/>
        <w:bidi w:val="0"/>
        <w:spacing w:lineRule="auto" w:line="288" w:before="160" w:after="283"/>
        <w:ind w:left="0" w:right="0" w:firstLine="504"/>
        <w:jc w:val="left"/>
        <w:rPr/>
      </w:pPr>
      <w:r>
        <w:rPr>
          <w:color w:val="000000"/>
        </w:rPr>
        <w:t>•</w:t>
      </w:r>
      <w:r>
        <w:rPr>
          <w:rFonts w:ascii="Times New Roman;sans-serif" w:hAnsi="Times New Roman;sans-serif"/>
          <w:b w:val="false"/>
          <w:color w:val="000000"/>
          <w:sz w:val="20"/>
        </w:rPr>
        <w:t xml:space="preserve">Assistance in risk management strategy. </w:t>
      </w:r>
    </w:p>
    <w:p>
      <w:pPr>
        <w:pStyle w:val="TextBody"/>
        <w:bidi w:val="0"/>
        <w:spacing w:lineRule="auto" w:line="288" w:before="160" w:after="283"/>
        <w:ind w:left="0" w:right="0" w:firstLine="504"/>
        <w:jc w:val="left"/>
        <w:rPr/>
      </w:pPr>
      <w:r>
        <w:rPr>
          <w:color w:val="000000"/>
        </w:rPr>
        <w:t>•</w:t>
      </w:r>
      <w:r>
        <w:rPr>
          <w:rFonts w:ascii="Times New Roman;sans-serif" w:hAnsi="Times New Roman;sans-serif"/>
          <w:b w:val="false"/>
          <w:color w:val="000000"/>
          <w:sz w:val="20"/>
        </w:rPr>
        <w:t>Assistance in capability build up and operation strategy.</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Consulting Services Agreement has an initial term of 12 months and automatically renews for successive 12 months periods unless earlier terminated in accordance with the terms thereof. Effective March 6, 2024, the Consulting Agreement renewed automatically. Either party may terminate the Consulting Services Agreement upon one month prior written notice to the other party. Upon any termination of the Consulting Services Agreement, the Company shall promptly pay FF Global any accrued but unpaid fees hereunder and shall reimburse FF Global for any unreimbursed expenses that are reimbursable thereunder. In addition, FF Global is entitled to reimbursement for all reasonable and documented out-of-pocket travel, legal, and other out-of-pocket expenses incurred in connection with their services, which expenses shall not exceed $0.1 million without the prior written consent of the Company. The Company paid $0.3 and $0.5 to FF Global during the three and six months ended June 30, 2024 and $0.6 million and $0.8 million for the three and six months ended June 30, 2023, pursuant to the Consulting Services Agreement. The Company has $1.5 million and $0.6 million of amounts payable to FF Global recorded in Accounts Payable and Accrued Liabilities in the Unaudited Condensed Consolidated Balance Sheets at June 30, 2024 and December 31, 2023, respectively.</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Common Units of FF Global</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During 2022, certain executives and employees of the Company were granted the opportunity to subscribe to 24,000,000 common units of FF Global. The subscription price of $0.50 per common unit, payable by the executives and employees of the Company, was financed through non-recourse loans issued by FF Global payable in equal annual installments over ten years. The common units to be purchased with a non-recourse loan are required to be treated for accounting purposes as stock options granted by FF Global to executives and employees of the Legacy FF. The awards were valued using the Black-Scholes option pricing model. The grant date fair value of the units purchased through non-recourse loans was immaterial for</w:t>
      </w:r>
      <w:r>
        <w:rPr>
          <w:color w:val="000000"/>
        </w:rPr>
        <w:t xml:space="preserve"> </w:t>
      </w:r>
      <w:r>
        <w:rPr>
          <w:rFonts w:ascii="Times New Roman;sans-serif" w:hAnsi="Times New Roman;sans-serif"/>
          <w:b w:val="false"/>
          <w:color w:val="000000"/>
          <w:sz w:val="20"/>
        </w:rPr>
        <w:t>the three and six months ended June 30, 2024 and 2023.</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Advertising Services Payable to Leshi Information Technology Co., Ltd. (“LeTV”)</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recorded a payable to LeTV within Accrued expenses and other current liabilities on the Condensed Consolidated Balance Sheets in the amount of $7.5 million and $7.5 million as of June 30, 2024 and December 31, 2023, respectively, in connection with advertising services provided to the Company in prior years. LeTV is a Shanghai Stock Exchange-listed public company founded and controlled by Mr. Yueting Jia, the Company’s founder and Chief Product and User Ecosystem Officer.</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Other Related Party Transactions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pays for a vehicle lease totaling less than $0.1 million annually on behalf of Mr. Jia.</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owes a total of $0.5 million and $0.2 million to various related parties as of June 30, 2024 and December 31, 2023, respectively, which is included in Accounts payable within the Unaudited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9. Leases</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if an arrangement is a lease at its commencement if the Company is both able to identify an asset and conclude that the Company has the right to control the identified asset. Leases are classified as finance leases or operating leases based on the principle of whether or not the lease is effectively a financed purchase by the lessee. A right-of-use (“ROU”) asset represents the Company’s right to use an underlying asset for the lease term and a lease liability represents the Company’s obligation to make lease payments related to the lease. The Company recognizes operating and finance lease ROU assets and liabilities at the commencement date based on the present value of lease payments over the lease term. The lease term includes renewal options when it is reasonably certain that the option will be exercised, and excludes termination options. The Company’s leases do not provide an implicit rate; therefore, the Company uses its incremental borrowing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48285"/>
                <wp:effectExtent l="0" t="0" r="0" b="0"/>
                <wp:wrapNone/>
                <wp:docPr id="30" name="Frame3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based on information available at the commencement date to determine the present value of lease payments. The incremental borrowing rate used is estimated based on what the Company would be required to pay for a collateralized loan for a similar asset over a similar term. The Company’s leases do not include any material residual value guarantees, or bargain purchase options.</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the Company’s agreements have variable lease payments, the Company includes variable lease payments that depend on an index or a rate in the measurement and classification of a lease and excludes those that depend on facts or circumstances occurring after the commencement date, other than the passage of time. Lease expense for operating leases is recognized on a straight-line basis over the lease term and is recorded in Operating expenses on the Unaudited Condensed Consolidated Statements of Operations and Comprehensive Loss. Amortization of ROU assets on finance leases is recorded on a straight-line basis within Operating expenses in the Unaudited Condensed Consolidated Statements of Operations and Comprehensive Loss. Interest expense incurred on finance lease liabilities is recorded in Interest expense on the Unaudited Condensed Consolidated Statements of Operations and Comprehensive Loss. The Company has elected not to recognize ROU assets and lease liabilities that arise from short-term (12 months or less) leases for any class of underlying asset. Additionally, the Company does not separate lease and non-lease components. Operating leases are included in ROU assets, Operating leases liabilities, current portion and Operating lease liabilities, less current portion in the Company's Unaudited Condensed Consolidated Balance Sheets. Finance leases are included in Property, plant and equipment, net, Finance lease liabilities, current portion, and Finance lease liabilities, less current portion in the Company's Unaudited Condensed Consolidated Balance Sheets.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lease arrangements consist primarily of its corporate office, store, and vehicle lease agreements. The leases expire at various dates through 2032, some of which include options to extend the lease term for additional 5-year periods.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June 30, 2024, the Company moved out of a leased store facility and a leased research facility while working with the landlords to negotiate the related lease terminations, resulting in a lease ROU asset impairment loss of $7.5 million for the loss of use of these two leased facilities. As of June 30, 2024, the lease liabilities of the two leases remained to be on the Company’s books. In addition, the Company terminated one of its operating leases in China, resulting in a net lease ROU asset impairment loss of $0.1 million during the three months ended June 30, 2024. </w:t>
      </w:r>
    </w:p>
    <w:p>
      <w:pPr>
        <w:pStyle w:val="TextBody"/>
        <w:bidi w:val="0"/>
        <w:spacing w:lineRule="auto" w:line="288" w:before="180" w:after="180"/>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costs for the six months ended June 30, 2024 and 2023 were:</w:t>
      </w:r>
    </w:p>
    <w:tbl>
      <w:tblPr>
        <w:tblW w:w="8231" w:type="dxa"/>
        <w:jc w:val="left"/>
        <w:tblInd w:w="0" w:type="dxa"/>
        <w:tblLayout w:type="fixed"/>
        <w:tblCellMar>
          <w:top w:w="28" w:type="dxa"/>
          <w:left w:w="28" w:type="dxa"/>
          <w:bottom w:w="28" w:type="dxa"/>
          <w:right w:w="28" w:type="dxa"/>
        </w:tblCellMar>
      </w:tblPr>
      <w:tblGrid>
        <w:gridCol w:w="1053"/>
        <w:gridCol w:w="926"/>
        <w:gridCol w:w="930"/>
        <w:gridCol w:w="558"/>
        <w:gridCol w:w="1629"/>
        <w:gridCol w:w="288"/>
        <w:gridCol w:w="109"/>
        <w:gridCol w:w="109"/>
        <w:gridCol w:w="109"/>
        <w:gridCol w:w="542"/>
        <w:gridCol w:w="1583"/>
        <w:gridCol w:w="395"/>
      </w:tblGrid>
      <w:tr>
        <w:trPr/>
        <w:tc>
          <w:tcPr>
            <w:tcW w:w="10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24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2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cost</w:t>
            </w:r>
          </w:p>
        </w:tc>
        <w:tc>
          <w:tcPr>
            <w:tcW w:w="2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5,915 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2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2,772 </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6,720 </w:t>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48285"/>
                <wp:effectExtent l="0" t="0" r="0" b="0"/>
                <wp:wrapNone/>
                <wp:docPr id="31" name="Frame3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80" w:after="180"/>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future lease payments as of June 30, 2024:</w:t>
      </w:r>
    </w:p>
    <w:tbl>
      <w:tblPr>
        <w:tblW w:w="4916" w:type="dxa"/>
        <w:jc w:val="left"/>
        <w:tblInd w:w="0" w:type="dxa"/>
        <w:tblLayout w:type="fixed"/>
        <w:tblCellMar>
          <w:top w:w="28" w:type="dxa"/>
          <w:left w:w="28" w:type="dxa"/>
          <w:bottom w:w="28" w:type="dxa"/>
          <w:right w:w="28" w:type="dxa"/>
        </w:tblCellMar>
      </w:tblPr>
      <w:tblGrid>
        <w:gridCol w:w="1124"/>
        <w:gridCol w:w="986"/>
        <w:gridCol w:w="995"/>
        <w:gridCol w:w="109"/>
        <w:gridCol w:w="109"/>
        <w:gridCol w:w="109"/>
        <w:gridCol w:w="288"/>
        <w:gridCol w:w="986"/>
        <w:gridCol w:w="210"/>
      </w:tblGrid>
      <w:tr>
        <w:trPr/>
        <w:tc>
          <w:tcPr>
            <w:tcW w:w="112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Leases</w:t>
            </w:r>
          </w:p>
        </w:tc>
      </w:tr>
      <w:tr>
        <w:trPr/>
        <w:tc>
          <w:tcPr>
            <w:tcW w:w="3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(six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4,755</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24,155 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net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15,699</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15,699 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160" w:after="180"/>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information and non-cash activities related to operating leases are as follows:</w:t>
      </w:r>
    </w:p>
    <w:tbl>
      <w:tblPr>
        <w:tblW w:w="10205" w:type="dxa"/>
        <w:jc w:val="left"/>
        <w:tblInd w:w="0" w:type="dxa"/>
        <w:tblLayout w:type="fixed"/>
        <w:tblCellMar>
          <w:top w:w="28" w:type="dxa"/>
          <w:left w:w="28" w:type="dxa"/>
          <w:bottom w:w="28" w:type="dxa"/>
          <w:right w:w="28" w:type="dxa"/>
        </w:tblCellMar>
      </w:tblPr>
      <w:tblGrid>
        <w:gridCol w:w="1836"/>
        <w:gridCol w:w="1615"/>
        <w:gridCol w:w="1603"/>
        <w:gridCol w:w="109"/>
        <w:gridCol w:w="109"/>
        <w:gridCol w:w="109"/>
        <w:gridCol w:w="501"/>
        <w:gridCol w:w="1464"/>
        <w:gridCol w:w="258"/>
        <w:gridCol w:w="109"/>
        <w:gridCol w:w="109"/>
        <w:gridCol w:w="109"/>
        <w:gridCol w:w="488"/>
        <w:gridCol w:w="1426"/>
        <w:gridCol w:w="360"/>
      </w:tblGrid>
      <w:tr>
        <w:trPr/>
        <w:tc>
          <w:tcPr>
            <w:tcW w:w="1836"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5,709 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arising from new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444" w:type="dxa"/>
        <w:jc w:val="left"/>
        <w:tblInd w:w="0" w:type="dxa"/>
        <w:tblLayout w:type="fixed"/>
        <w:tblCellMar>
          <w:top w:w="28" w:type="dxa"/>
          <w:left w:w="28" w:type="dxa"/>
          <w:bottom w:w="28" w:type="dxa"/>
          <w:right w:w="28" w:type="dxa"/>
        </w:tblCellMar>
      </w:tblPr>
      <w:tblGrid>
        <w:gridCol w:w="1486"/>
        <w:gridCol w:w="1308"/>
        <w:gridCol w:w="1316"/>
        <w:gridCol w:w="109"/>
        <w:gridCol w:w="109"/>
        <w:gridCol w:w="109"/>
        <w:gridCol w:w="255"/>
        <w:gridCol w:w="256"/>
        <w:gridCol w:w="624"/>
        <w:gridCol w:w="109"/>
        <w:gridCol w:w="109"/>
        <w:gridCol w:w="109"/>
        <w:gridCol w:w="314"/>
        <w:gridCol w:w="314"/>
        <w:gridCol w:w="917"/>
      </w:tblGrid>
      <w:tr>
        <w:trPr/>
        <w:tc>
          <w:tcPr>
            <w:tcW w:w="1486"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10. Commitments and Contingencies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from time to time, subject to claims and disputes arising in the normal course of business. In the opinion of management, the outcome of any such claims and disputes cannot be predicted with certainty.</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and December 31, 2023, the Company had accrued legal contingencies of $22.2 million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48285"/>
                <wp:effectExtent l="0" t="0" r="0" b="0"/>
                <wp:wrapNone/>
                <wp:docPr id="32" name="Frame3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$21.6 million, respectively, recorded within Accrued expenses and other current liabilities for potential financial exposure related to ongoing legal matters, primarily related to breach of contracts and employment matters, which are deemed both probable of loss and reasonably estimable. For the legal matters involving third party vendors, such as suppliers and equipment manufacturers, the Company recorded an accrual in Accounts payable in the Unaudited Condensed Consolidated Balance Sheets based on the amount invoiced by such vendors, which represents the minimum amount of loss out of the range of potential outcomes in accordance with ASC 450-20-30-1.</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and Derivative Actions</w:t>
      </w:r>
    </w:p>
    <w:p>
      <w:pPr>
        <w:pStyle w:val="TextBody"/>
        <w:bidi w:val="0"/>
        <w:spacing w:lineRule="auto" w:line="288" w:before="160" w:after="283"/>
        <w:ind w:left="0" w:right="0" w:firstLine="504"/>
        <w:jc w:val="both"/>
        <w:rPr/>
      </w:pPr>
      <w:r>
        <w:rPr>
          <w:rFonts w:ascii="Times New Roman;sans-serif" w:hAnsi="Times New Roman;sans-serif"/>
          <w:b/>
          <w:i/>
          <w:color w:val="000000"/>
          <w:sz w:val="20"/>
        </w:rPr>
        <w:t>Zhou v. Faraday Future Intelligent Electric Inc. f/k/a Property Solutions Acquisition Corp. et al.</w:t>
      </w:r>
      <w:r>
        <w:rPr>
          <w:rFonts w:ascii="Times New Roman;sans-serif" w:hAnsi="Times New Roman;sans-serif"/>
          <w:b w:val="false"/>
          <w:color w:val="000000"/>
          <w:sz w:val="20"/>
        </w:rPr>
        <w:t>, Case No. 2:21-cv-009914 (U.S. District Court – Central District of California).</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On December 23, 2021, a putative class action lawsuit alleging violations of the Securities Exchange Act of 1934, as amended (the “Exchange Act”) was filed in the United States District Court, Central District of California, against the Company and its former Chief Executive Officer and Chief Financial Officer, and its current Chief Product and User Ecosystem Officer, as well as the Co-CEOs of Property Solutions Acquisition Corp. (“PSAC”). On May 6, 2022, the appointed lead plaintiffs in the </w:t>
      </w:r>
      <w:r>
        <w:rPr>
          <w:rFonts w:ascii="Times New Roman;sans-serif" w:hAnsi="Times New Roman;sans-serif"/>
          <w:b w:val="false"/>
          <w:i/>
          <w:color w:val="000000"/>
          <w:sz w:val="20"/>
        </w:rPr>
        <w:t>Zhou</w:t>
      </w:r>
      <w:r>
        <w:rPr>
          <w:color w:val="000000"/>
        </w:rPr>
        <w:t xml:space="preserve"> </w:t>
      </w:r>
      <w:r>
        <w:rPr>
          <w:rFonts w:ascii="Times New Roman;sans-serif" w:hAnsi="Times New Roman;sans-serif"/>
          <w:b w:val="false"/>
          <w:color w:val="000000"/>
          <w:sz w:val="20"/>
        </w:rPr>
        <w:t xml:space="preserve">putative class action filed an amended complaint alleging violations of Sections 10(b), 14(a) and 20(a) of the Exchange Act, Sections 11 and 15 of the Securities Act, and related “control” person claims for secondary liability under those statutes, seeking unspecified damages. On or about July 7, 2022, defendants filed a motion to dismiss the amended complaint, which the court granted in part and denied in part, finding, among other things, that the plaintiffs had failed to sufficiently plead a claim with respect to the alleged statements made as to the expected schedule for the production and delivery of the FF 91 vehicle, but had sufficiently pled a claim for violation of Sections 10(b), 14(a) and 20(a) of the Exchange Act with respect to certain statements made in 2021 concerning Legacy FF’s receipt of 14,000 reservations for the FF 91 vehicle. On January 6, 2023, the plaintiffs declined to again amend their complaint to attempt to reallege the claims dismissed by the court, thereby making the operative complaint the one that was at issue in the motion to dismiss absent the judicially dismissed claims. The Company and the other defendants filed answers to that compliant on February 10, 2023, following which the parties engaged in discovery. On April 27, 2023, the court granted the parties’ joint motion for a temporary stay pending mediation. The parties thereafter participated in a private mediation on June 29, 2023. After further discussions and negotiations, the parties reached an agreement-in-principle to settle the </w:t>
      </w:r>
      <w:r>
        <w:rPr>
          <w:rFonts w:ascii="Times New Roman;sans-serif" w:hAnsi="Times New Roman;sans-serif"/>
          <w:b w:val="false"/>
          <w:i/>
          <w:color w:val="000000"/>
          <w:sz w:val="20"/>
        </w:rPr>
        <w:t>Zhou</w:t>
      </w:r>
      <w:r>
        <w:rPr>
          <w:color w:val="000000"/>
        </w:rPr>
        <w:t xml:space="preserve"> </w:t>
      </w:r>
      <w:r>
        <w:rPr>
          <w:rFonts w:ascii="Times New Roman;sans-serif" w:hAnsi="Times New Roman;sans-serif"/>
          <w:b w:val="false"/>
          <w:color w:val="000000"/>
          <w:sz w:val="20"/>
        </w:rPr>
        <w:t xml:space="preserve">putative class action. Although denying all allegations, the Company nevertheless agreed to settle the </w:t>
      </w:r>
      <w:r>
        <w:rPr>
          <w:rFonts w:ascii="Times New Roman;sans-serif" w:hAnsi="Times New Roman;sans-serif"/>
          <w:b w:val="false"/>
          <w:i/>
          <w:color w:val="000000"/>
          <w:sz w:val="20"/>
        </w:rPr>
        <w:t>Zhou</w:t>
      </w:r>
      <w:r>
        <w:rPr>
          <w:color w:val="000000"/>
        </w:rPr>
        <w:t xml:space="preserve"> </w:t>
      </w:r>
      <w:r>
        <w:rPr>
          <w:rFonts w:ascii="Times New Roman;sans-serif" w:hAnsi="Times New Roman;sans-serif"/>
          <w:b w:val="false"/>
          <w:color w:val="000000"/>
          <w:sz w:val="20"/>
        </w:rPr>
        <w:t xml:space="preserve">putative class action for a non-reversionary cash payment of $7.5 million for the benefit of the settlement class and to be funded entirely by the Company’s insurers, in exchange for the release of all claims asserted against the Company. The court granted preliminary approval of the settlement on November 7, 2023, and scheduled a hearing for final approval of the settlement that took place on March 18, 2024. On January 23, 2024, the ostensible lead plaintiff in the Consolidated Delaware Class Action discussed below, filed an Objection to final approval of the settlement (the “Objection”) to which the Company and the other defendants responded on March 11, 2024. On March 18, 2024, the court overruled the Objection in its entirety and entered an Order finally approving the </w:t>
      </w:r>
      <w:r>
        <w:rPr>
          <w:rFonts w:ascii="Times New Roman;sans-serif" w:hAnsi="Times New Roman;sans-serif"/>
          <w:b w:val="false"/>
          <w:i/>
          <w:color w:val="000000"/>
          <w:sz w:val="20"/>
        </w:rPr>
        <w:t>Zhou</w:t>
      </w:r>
      <w:r>
        <w:rPr>
          <w:color w:val="000000"/>
        </w:rPr>
        <w:t xml:space="preserve"> </w:t>
      </w:r>
      <w:r>
        <w:rPr>
          <w:rFonts w:ascii="Times New Roman;sans-serif" w:hAnsi="Times New Roman;sans-serif"/>
          <w:b w:val="false"/>
          <w:color w:val="000000"/>
          <w:sz w:val="20"/>
        </w:rPr>
        <w:t xml:space="preserve">putative class action settlement. </w:t>
      </w:r>
    </w:p>
    <w:p>
      <w:pPr>
        <w:pStyle w:val="TextBody"/>
        <w:bidi w:val="0"/>
        <w:spacing w:lineRule="auto" w:line="288" w:before="160" w:after="283"/>
        <w:ind w:left="0" w:right="0" w:firstLine="540"/>
        <w:jc w:val="both"/>
        <w:rPr/>
      </w:pPr>
      <w:r>
        <w:rPr>
          <w:rFonts w:ascii="Times New Roman;sans-serif" w:hAnsi="Times New Roman;sans-serif"/>
          <w:b/>
          <w:i/>
          <w:color w:val="000000"/>
          <w:sz w:val="20"/>
        </w:rPr>
        <w:t>Farazmand v. Breitfeld et al.</w:t>
      </w:r>
      <w:r>
        <w:rPr>
          <w:rFonts w:ascii="Times New Roman;sans-serif" w:hAnsi="Times New Roman;sans-serif"/>
          <w:b w:val="false"/>
          <w:color w:val="000000"/>
          <w:sz w:val="20"/>
        </w:rPr>
        <w:t>, Case No. 2:22-cv-01570 (U.S. District Court – Central District of California).</w:t>
      </w:r>
    </w:p>
    <w:p>
      <w:pPr>
        <w:pStyle w:val="TextBody"/>
        <w:bidi w:val="0"/>
        <w:spacing w:lineRule="auto" w:line="288" w:before="160" w:after="283"/>
        <w:ind w:left="0" w:right="0" w:firstLine="504"/>
        <w:jc w:val="both"/>
        <w:rPr/>
      </w:pPr>
      <w:r>
        <w:rPr>
          <w:rFonts w:ascii="Times New Roman;sans-serif" w:hAnsi="Times New Roman;sans-serif"/>
          <w:b/>
          <w:i/>
          <w:color w:val="000000"/>
          <w:sz w:val="20"/>
        </w:rPr>
        <w:t>Zhou v Breitfeld et al.</w:t>
      </w:r>
      <w:r>
        <w:rPr>
          <w:rFonts w:ascii="Times New Roman;sans-serif" w:hAnsi="Times New Roman;sans-serif"/>
          <w:b w:val="false"/>
          <w:color w:val="000000"/>
          <w:sz w:val="20"/>
        </w:rPr>
        <w:t>, Case No. 2:22-cv-01852 (U.S. District Court – Central District of California).</w:t>
      </w:r>
    </w:p>
    <w:p>
      <w:pPr>
        <w:pStyle w:val="TextBody"/>
        <w:bidi w:val="0"/>
        <w:spacing w:lineRule="auto" w:line="288" w:before="160" w:after="283"/>
        <w:ind w:left="0" w:right="0" w:firstLine="504"/>
        <w:jc w:val="both"/>
        <w:rPr/>
      </w:pPr>
      <w:r>
        <w:rPr>
          <w:rFonts w:ascii="Times New Roman;sans-serif" w:hAnsi="Times New Roman;sans-serif"/>
          <w:b/>
          <w:i/>
          <w:color w:val="000000"/>
          <w:sz w:val="20"/>
        </w:rPr>
        <w:t>Moubarak v. Breitfeld et al.</w:t>
      </w:r>
      <w:r>
        <w:rPr>
          <w:rFonts w:ascii="Times New Roman;sans-serif" w:hAnsi="Times New Roman;sans-serif"/>
          <w:b w:val="false"/>
          <w:color w:val="000000"/>
          <w:sz w:val="20"/>
        </w:rPr>
        <w:t>, Case No. 1:22-cv-00467 (U.S. District Court – District of Delaware).</w:t>
      </w:r>
    </w:p>
    <w:p>
      <w:pPr>
        <w:pStyle w:val="TextBody"/>
        <w:bidi w:val="0"/>
        <w:spacing w:lineRule="auto" w:line="288" w:before="160" w:after="283"/>
        <w:ind w:left="0" w:right="0" w:firstLine="504"/>
        <w:jc w:val="both"/>
        <w:rPr/>
      </w:pPr>
      <w:r>
        <w:rPr>
          <w:rFonts w:ascii="Times New Roman;sans-serif" w:hAnsi="Times New Roman;sans-serif"/>
          <w:b/>
          <w:i/>
          <w:color w:val="000000"/>
          <w:sz w:val="20"/>
        </w:rPr>
        <w:t>Wang v. Breitfeld et al.</w:t>
      </w:r>
      <w:r>
        <w:rPr>
          <w:rFonts w:ascii="Times New Roman;sans-serif" w:hAnsi="Times New Roman;sans-serif"/>
          <w:b w:val="false"/>
          <w:color w:val="000000"/>
          <w:sz w:val="20"/>
        </w:rPr>
        <w:t xml:space="preserve">, Case No. 1:22-cv-00525 (U.S. District Court – District of Delaware). </w:t>
      </w:r>
    </w:p>
    <w:p>
      <w:pPr>
        <w:pStyle w:val="TextBody"/>
        <w:bidi w:val="0"/>
        <w:spacing w:lineRule="auto" w:line="288" w:before="160" w:after="283"/>
        <w:ind w:left="0" w:right="0" w:firstLine="504"/>
        <w:jc w:val="both"/>
        <w:rPr/>
      </w:pPr>
      <w:r>
        <w:rPr>
          <w:rFonts w:ascii="Times New Roman;sans-serif" w:hAnsi="Times New Roman;sans-serif"/>
          <w:b/>
          <w:i/>
          <w:color w:val="000000"/>
          <w:sz w:val="20"/>
        </w:rPr>
        <w:t>Wallace v. Breitfeld et al.</w:t>
      </w:r>
      <w:r>
        <w:rPr>
          <w:rFonts w:ascii="Times New Roman;sans-serif" w:hAnsi="Times New Roman;sans-serif"/>
          <w:b w:val="false"/>
          <w:i/>
          <w:color w:val="000000"/>
          <w:sz w:val="20"/>
        </w:rPr>
        <w:t xml:space="preserve">, Case No. 2023-0639-KSJM </w:t>
      </w:r>
      <w:r>
        <w:rPr>
          <w:rFonts w:ascii="Times New Roman;sans-serif" w:hAnsi="Times New Roman;sans-serif"/>
          <w:b w:val="false"/>
          <w:color w:val="000000"/>
          <w:sz w:val="20"/>
        </w:rPr>
        <w:t>(Delaware Court of Chancery).</w:t>
      </w:r>
    </w:p>
    <w:p>
      <w:pPr>
        <w:pStyle w:val="TextBody"/>
        <w:bidi w:val="0"/>
        <w:spacing w:lineRule="auto" w:line="288" w:before="160" w:after="283"/>
        <w:ind w:left="0" w:right="0" w:firstLine="504"/>
        <w:jc w:val="both"/>
        <w:rPr/>
      </w:pPr>
      <w:r>
        <w:rPr>
          <w:rFonts w:ascii="Times New Roman;sans-serif" w:hAnsi="Times New Roman;sans-serif"/>
          <w:b/>
          <w:i/>
          <w:color w:val="000000"/>
          <w:sz w:val="20"/>
        </w:rPr>
        <w:t>Ashkan Farazmand and Wangjun Zhou v. Breitfeld, et al.</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Case No. 2023-1283</w:t>
      </w:r>
      <w:r>
        <w:rPr>
          <w:color w:val="000000"/>
        </w:rPr>
        <w:t xml:space="preserve"> </w:t>
      </w:r>
      <w:r>
        <w:rPr>
          <w:rFonts w:ascii="Times New Roman;sans-serif" w:hAnsi="Times New Roman;sans-serif"/>
          <w:b w:val="false"/>
          <w:color w:val="000000"/>
          <w:sz w:val="20"/>
        </w:rPr>
        <w:t>(Delaware Court of Chancery).</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On March 8 (</w:t>
      </w:r>
      <w:r>
        <w:rPr>
          <w:rFonts w:ascii="Times New Roman;sans-serif" w:hAnsi="Times New Roman;sans-serif"/>
          <w:b/>
          <w:i/>
          <w:color w:val="000000"/>
          <w:sz w:val="20"/>
        </w:rPr>
        <w:t>Farazmand</w:t>
      </w:r>
      <w:r>
        <w:rPr>
          <w:rFonts w:ascii="Times New Roman;sans-serif" w:hAnsi="Times New Roman;sans-serif"/>
          <w:b w:val="false"/>
          <w:color w:val="000000"/>
          <w:sz w:val="20"/>
        </w:rPr>
        <w:t>) and March 21 (</w:t>
      </w:r>
      <w:r>
        <w:rPr>
          <w:rFonts w:ascii="Times New Roman;sans-serif" w:hAnsi="Times New Roman;sans-serif"/>
          <w:b/>
          <w:i/>
          <w:color w:val="000000"/>
          <w:sz w:val="20"/>
        </w:rPr>
        <w:t>Zhou</w:t>
      </w:r>
      <w:r>
        <w:rPr>
          <w:rFonts w:ascii="Times New Roman;sans-serif" w:hAnsi="Times New Roman;sans-serif"/>
          <w:b w:val="false"/>
          <w:color w:val="000000"/>
          <w:sz w:val="20"/>
        </w:rPr>
        <w:t xml:space="preserve">), 2022, putative stockholder derivative lawsuits were respectively filed in the United States District Court, Central District of California and were subsequently consolidated in an action now entitled </w:t>
      </w:r>
      <w:r>
        <w:rPr>
          <w:rFonts w:ascii="Times New Roman;sans-serif" w:hAnsi="Times New Roman;sans-serif"/>
          <w:b w:val="false"/>
          <w:i/>
          <w:color w:val="000000"/>
          <w:sz w:val="20"/>
        </w:rPr>
        <w:t>In re Faraday Future Intelligent Electric Inc.</w:t>
      </w:r>
      <w:r>
        <w:rPr>
          <w:color w:val="000000"/>
        </w:rPr>
        <w:t xml:space="preserve"> </w:t>
      </w:r>
      <w:r>
        <w:rPr>
          <w:rFonts w:ascii="Times New Roman;sans-serif" w:hAnsi="Times New Roman;sans-serif"/>
          <w:b w:val="false"/>
          <w:color w:val="000000"/>
          <w:sz w:val="20"/>
        </w:rPr>
        <w:t xml:space="preserve">Case No. 2:22-cv-1570 (the “California Federal Derivative Action”). The California Federal Derivative Action was stayed pending resolution of certain proceedings in the </w:t>
      </w:r>
      <w:r>
        <w:rPr>
          <w:rFonts w:ascii="Times New Roman;sans-serif" w:hAnsi="Times New Roman;sans-serif"/>
          <w:b w:val="false"/>
          <w:i/>
          <w:color w:val="000000"/>
          <w:sz w:val="20"/>
        </w:rPr>
        <w:t>Zhou</w:t>
      </w:r>
      <w:r>
        <w:rPr>
          <w:color w:val="000000"/>
        </w:rPr>
        <w:t xml:space="preserve"> </w:t>
      </w:r>
      <w:r>
        <w:rPr>
          <w:rFonts w:ascii="Times New Roman;sans-serif" w:hAnsi="Times New Roman;sans-serif"/>
          <w:b w:val="false"/>
          <w:color w:val="000000"/>
          <w:sz w:val="20"/>
        </w:rPr>
        <w:t>putative class action, which stay expired in February 2023. Plaintiffs thereafter filed a verified consolidated amended complaint on June 2, 2023, in response to which the Company and the other defendants filed a motion to dismiss. On January 22, 2024, the court granted in part, and denied in part, the motion to dismiss with leave to amend. On February 6, 2024, the parties filed a stipulation to stay the California Federal Derivative Action pending mediation that was entered by the court on February 12, 2024, and that will stay the case until 30 days after the date of mediation.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48285"/>
                <wp:effectExtent l="0" t="0" r="0" b="0"/>
                <wp:wrapNone/>
                <wp:docPr id="33" name="Frame3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On April 11 (</w:t>
      </w:r>
      <w:r>
        <w:rPr>
          <w:rFonts w:ascii="Times New Roman;sans-serif" w:hAnsi="Times New Roman;sans-serif"/>
          <w:b/>
          <w:i/>
          <w:color w:val="000000"/>
          <w:sz w:val="20"/>
        </w:rPr>
        <w:t>Moubarak</w:t>
      </w:r>
      <w:r>
        <w:rPr>
          <w:rFonts w:ascii="Times New Roman;sans-serif" w:hAnsi="Times New Roman;sans-serif"/>
          <w:b w:val="false"/>
          <w:color w:val="000000"/>
          <w:sz w:val="20"/>
        </w:rPr>
        <w:t>) and April 25 (</w:t>
      </w:r>
      <w:r>
        <w:rPr>
          <w:rFonts w:ascii="Times New Roman;sans-serif" w:hAnsi="Times New Roman;sans-serif"/>
          <w:b/>
          <w:i/>
          <w:color w:val="000000"/>
          <w:sz w:val="20"/>
        </w:rPr>
        <w:t>Wang</w:t>
      </w:r>
      <w:r>
        <w:rPr>
          <w:rFonts w:ascii="Times New Roman;sans-serif" w:hAnsi="Times New Roman;sans-serif"/>
          <w:b w:val="false"/>
          <w:color w:val="000000"/>
          <w:sz w:val="20"/>
        </w:rPr>
        <w:t xml:space="preserve">), 2022, putative stockholder derivative lawsuits were respectively filed in the United States Delaware District Court (collectively, the “Delaware Federal Derivative Actions”). On February 6, 2023, the Delaware Derivative Actions were and remain stayed pending resolution of the pending proceedings in the </w:t>
      </w:r>
      <w:r>
        <w:rPr>
          <w:rFonts w:ascii="Times New Roman;sans-serif" w:hAnsi="Times New Roman;sans-serif"/>
          <w:b w:val="false"/>
          <w:i/>
          <w:color w:val="000000"/>
          <w:sz w:val="20"/>
        </w:rPr>
        <w:t>Zhou</w:t>
      </w:r>
      <w:r>
        <w:rPr>
          <w:color w:val="000000"/>
        </w:rPr>
        <w:t xml:space="preserve"> </w:t>
      </w:r>
      <w:r>
        <w:rPr>
          <w:rFonts w:ascii="Times New Roman;sans-serif" w:hAnsi="Times New Roman;sans-serif"/>
          <w:b w:val="false"/>
          <w:color w:val="000000"/>
          <w:sz w:val="20"/>
        </w:rPr>
        <w:t>putative class action.</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On June 21 (</w:t>
      </w:r>
      <w:r>
        <w:rPr>
          <w:rFonts w:ascii="Times New Roman;sans-serif" w:hAnsi="Times New Roman;sans-serif"/>
          <w:b/>
          <w:i/>
          <w:color w:val="000000"/>
          <w:sz w:val="20"/>
        </w:rPr>
        <w:t>Wallace</w:t>
      </w:r>
      <w:r>
        <w:rPr>
          <w:rFonts w:ascii="Times New Roman;sans-serif" w:hAnsi="Times New Roman;sans-serif"/>
          <w:b w:val="false"/>
          <w:color w:val="000000"/>
          <w:sz w:val="20"/>
        </w:rPr>
        <w:t>) and December 22 (</w:t>
      </w:r>
      <w:r>
        <w:rPr>
          <w:rFonts w:ascii="Times New Roman;sans-serif" w:hAnsi="Times New Roman;sans-serif"/>
          <w:b/>
          <w:i/>
          <w:color w:val="000000"/>
          <w:sz w:val="20"/>
        </w:rPr>
        <w:t>Farazmand</w:t>
      </w:r>
      <w:r>
        <w:rPr>
          <w:rFonts w:ascii="Times New Roman;sans-serif" w:hAnsi="Times New Roman;sans-serif"/>
          <w:b w:val="false"/>
          <w:color w:val="000000"/>
          <w:sz w:val="20"/>
        </w:rPr>
        <w:t xml:space="preserve">), 2023, putative derivative lawsuits were respectively filed in the Delaware Court of Chancery (collectively, the “Delaware State Derivative Actions”). The parties stipulated to a stay of the </w:t>
      </w:r>
      <w:r>
        <w:rPr>
          <w:rFonts w:ascii="Times New Roman;sans-serif" w:hAnsi="Times New Roman;sans-serif"/>
          <w:b w:val="false"/>
          <w:i/>
          <w:color w:val="000000"/>
          <w:sz w:val="20"/>
        </w:rPr>
        <w:t>Wallace</w:t>
      </w:r>
      <w:r>
        <w:rPr>
          <w:color w:val="000000"/>
        </w:rPr>
        <w:t xml:space="preserve"> </w:t>
      </w:r>
      <w:r>
        <w:rPr>
          <w:rFonts w:ascii="Times New Roman;sans-serif" w:hAnsi="Times New Roman;sans-serif"/>
          <w:b w:val="false"/>
          <w:color w:val="000000"/>
          <w:sz w:val="20"/>
        </w:rPr>
        <w:t xml:space="preserve">action which was entered by the court on December 29, 2023. In the </w:t>
      </w:r>
      <w:r>
        <w:rPr>
          <w:rFonts w:ascii="Times New Roman;sans-serif" w:hAnsi="Times New Roman;sans-serif"/>
          <w:b w:val="false"/>
          <w:i/>
          <w:color w:val="000000"/>
          <w:sz w:val="20"/>
        </w:rPr>
        <w:t>Farazmand</w:t>
      </w:r>
      <w:r>
        <w:rPr>
          <w:color w:val="000000"/>
        </w:rPr>
        <w:t xml:space="preserve"> </w:t>
      </w:r>
      <w:r>
        <w:rPr>
          <w:rFonts w:ascii="Times New Roman;sans-serif" w:hAnsi="Times New Roman;sans-serif"/>
          <w:b w:val="false"/>
          <w:color w:val="000000"/>
          <w:sz w:val="20"/>
        </w:rPr>
        <w:t xml:space="preserve">action, the Company and the other defendants plan to file various motions to dismiss in response to the </w:t>
      </w:r>
      <w:r>
        <w:rPr>
          <w:rFonts w:ascii="Times New Roman;sans-serif" w:hAnsi="Times New Roman;sans-serif"/>
          <w:b w:val="false"/>
          <w:i/>
          <w:color w:val="000000"/>
          <w:sz w:val="20"/>
        </w:rPr>
        <w:t>Farazmand</w:t>
      </w:r>
      <w:r>
        <w:rPr>
          <w:color w:val="000000"/>
        </w:rPr>
        <w:t xml:space="preserve"> </w:t>
      </w:r>
      <w:r>
        <w:rPr>
          <w:rFonts w:ascii="Times New Roman;sans-serif" w:hAnsi="Times New Roman;sans-serif"/>
          <w:b w:val="false"/>
          <w:color w:val="000000"/>
          <w:sz w:val="20"/>
        </w:rPr>
        <w:t>complaint pursuant to a yet to be determined briefing schedule.</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Each of the foregoing derivative lawsuits purport to assert claims on behalf of the Company against certain of the Company’s current and former officers and directors for alleged violations of the Exchange Act or for various common law claims based upon those officers’ and directors’ alleged breaches of their purported fiduciary duties owed to the Company and/or for their alleged aiding and abetting of those purported breaches, resulting in unspecified damages to the Company. Although the complaints filed in the foregoing lawsuits vary in detail, they are generally premised upon many of the same underlying allegations made in the </w:t>
      </w:r>
      <w:r>
        <w:rPr>
          <w:rFonts w:ascii="Times New Roman;sans-serif" w:hAnsi="Times New Roman;sans-serif"/>
          <w:b w:val="false"/>
          <w:i/>
          <w:color w:val="000000"/>
          <w:sz w:val="20"/>
        </w:rPr>
        <w:t>Zhou</w:t>
      </w:r>
      <w:r>
        <w:rPr>
          <w:color w:val="000000"/>
        </w:rPr>
        <w:t xml:space="preserve"> </w:t>
      </w:r>
      <w:r>
        <w:rPr>
          <w:rFonts w:ascii="Times New Roman;sans-serif" w:hAnsi="Times New Roman;sans-serif"/>
          <w:b w:val="false"/>
          <w:color w:val="000000"/>
          <w:sz w:val="20"/>
        </w:rPr>
        <w:t>putative class action. The parties participated in a mediation on May 13, 2024, following which they reached a settlement in principle. The parties subsequently finalized the documentation of that settlement and submitted that documentation to the Court for its approval on July 19, 2024. The Court is required to preliminarily approve the parties’ settlement before the settlement can be made public and a hearing on the same can be held. Upon final approval of the settlement, the Derivative Actions will be dismissed with prejudice.</w:t>
      </w:r>
    </w:p>
    <w:p>
      <w:pPr>
        <w:pStyle w:val="TextBody"/>
        <w:bidi w:val="0"/>
        <w:spacing w:lineRule="auto" w:line="288" w:before="160" w:after="283"/>
        <w:ind w:left="0" w:right="0" w:firstLine="90"/>
        <w:jc w:val="both"/>
        <w:rPr>
          <w:rFonts w:ascii="Times New Roman;sans-serif" w:hAnsi="Times New Roman;sans-serif"/>
          <w:b w:val="false"/>
          <w:i/>
          <w:color w:val="000000"/>
          <w:sz w:val="20"/>
        </w:rPr>
      </w:pPr>
      <w:r>
        <w:rPr>
          <w:rFonts w:ascii="Times New Roman;sans-serif" w:hAnsi="Times New Roman;sans-serif"/>
          <w:b w:val="false"/>
          <w:i/>
          <w:color w:val="000000"/>
          <w:sz w:val="20"/>
        </w:rPr>
        <w:t>The Consolidated Delaware Class Action</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14, 2022, a verified stockholder class action complaint was filed in the Delaware Court of Chancery against, among others, the Company, its former Global CEO and CFO, and its current Chief Product and User Ecosystem Officer alleging breaches of fiduciary duties (the “Yun Class Action”). On September 21, 2022, a second verified stockholder class action complaint was filed in the Delaware Court of Chancery against, among others, FFIE, the Co-CEOs and independent directors of PSAC, and certain third-party advisors to PSAC, alleging breaches of fiduciary duties, and aiding and abetting alleged breaches, in connection with disclosures and stockholder voting leading up to the PSAC/Legacy FF merger (the “Cleveland Class Action”), which action subsequently was consolidated with the Yun Class Action with the complaint in the Cleveland Class Action being designated as the operative pleading (collectively, the “Consolidated Delaware Class Action”). In April, 2023, the defendants respectively filed motions to dismiss the complaint. </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that the Consolidated Delaware Class Action is without merit and has stated its intention to vigorously defend that action. The Company has not concluded that an adverse outcome in these matters is either “probable” or “remote” within the meaning of the ABA Statement of Policy and, accordingly, decline to express any view as to the possible outcome of these matters.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on September 19, 2022, FF Global filed a lawsuit in the Chancery Court of the State of Delaware against FFIE, seeking the removal of Ms. Susan Swenson and Mr. Brian Krolicki from the Board. On September 27, 2022, the case was dismissed without prejudice pursuant to an agreement between FF Global and FF Top (the “Heads of Agreement”). Shortly following the execution of the Heads of Agreement, FF Global began making additional demands of the Company which were beyond the scope of the terms contemplated by the Heads of Agreement and pertained to, among other things, the Company’s management reporting lines and certain governance matters. On September 30, 2022, FF Global alleged that the Company was in material breach of the spirit of the Heads of Agreement. The Company believes it has complied with the applicable terms of the Heads of Agreement, and disputes any characterization to the contrary. Such disputes divert management and Board resources and are costly. There can be no assurance that this or any other dispute between the Company and FF Global will not result in litigation. On October 3, 2022, Ms. Swenson and Mr. Scott Vogel, a member of the Board, tendered their resignation from the Board effective immediately. On October 3, 2022, Mr. Jordan Vogel also tendered his resignation from the Board effective on October 5, 2022 upon his receipt of a supplemental release pursuant to the Mutual Release. On October 28, 2022, Mr. Brian Krolicki tendered his resignation from the Board effective immediately.</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Governance Matters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completion of the Special Committee (as defined below) investigation through the date hereof, the Company and certain of its directors and officers have received numerous e-mail communications from a group of self-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48285"/>
                <wp:effectExtent l="0" t="0" r="0" b="0"/>
                <wp:wrapNone/>
                <wp:docPr id="34" name="Frame3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described “employee whistleblowers” and from various individuals and entities who represented themselves as current investors of the Company. These communications have included various allegations (including, for example, that certain directors have conspired to push the Company into bankruptcy for their own personal gain) and requests for certain organizational and governance changes. The Company engaged an independent law firm to conduct a thorough independent external investigation with respect to these allegations. The independent investigation found that all such allegations have been without merit.</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Legal Matters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30, 2023, Riverside Management Group, LLC (“Riverside”) filed a verified complaint seeking to enforce its alleged contractual right to the advancement of all reasonable costs and expenses, including attorneys’ fees, it has and will incur as a named defendant in the Consolidated Delaware Class Action under its October 13, 2020 Transaction Services Agreement with FFIE and Property Solutions Acquisition Sponsor, LLC (the “TSA”), pursuant to which Riverside provided PSAC with advisory services in connection with the PSAC/Legacy FF merger. In addition to seeking the advancement of such costs and expenses, Riverside also seeks an award of its attorneys’ fees and costs incurred in enforcing its alleged advancement rights under the TSA, and has concurrently filed a Motion for Expedited Proceedings, requesting that trial of the action be conducted on a summary basis and commence within 30 days of the motion’s disposition. The Company entered into a Stipulation and Order with Riverside under which it would conditionally advance Riverside the reasonable attorneys’ fees and costs it incurs in defense of the Consolidated Delaware Action, subject to, and in express reservation of, the Company’s right to recover all such fees and expenses following disposition of the Consolidated Delaware Class Action. On May 30, 2023, the Company filed a Motion to Compel Arbitration. Given the early stages of the legal proceedings, the Company is unable to evaluate the likelihood of an unfavorable outcome and/or the amount or range of potential loss.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31, 2023, Raymond Handling Solutions, Inc. (“Raymond”), an equipment supplier, filed an action alleging that the Company breached its contract with Raymond and refused to pay for warehouse racking equipment. Raymond requested a judgment in its favor in the amount of $1.1 million. The Company defaulted on the payment plan and a trial had been set for July 2024 to resolve the matter. On April 15, 2024, the Company and Raymond executed a Settlement Agreement in order to release all claims in exchange for the return of racks.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the Company and Palantir Technologies, Inc. (“Palantir”) entered into a Master Subscription Agreement (“MSA”) that sets froth the terms of the Palantir’s platform hosting arrangement, which was expected to be used as a central operating system for data and analytics. On April 26, 2023, the Company received a letter from Palantir providing a notice of dispute regarding the Company’s alleged material breach of the MSA. The letter asserted that the Company had not paid invoices totaling $12.3 million of past due fees. On July 7, 2023, Palantir filed a Demand for Arbitration against the Company with Judicial Arbitration and Mediations Services, Inc., regarding a dispute between Palantir and the Company over the MSA. Palantir alleged that the Company had refused to make payments under the MSA. Palantir asserted claims for: (i) breach of contract; (ii) breach of the covenant of good faith and fair dealing; and (iii) unjust enrichment. Palantir alleged that the amount in controversy was $41.5 million. On August 4, 2023, the Company submitted its response to Palantir’s arbitration demand. The Company’s response included both affirmative defenses and a general denial of all allegations in Palantir’s arbitration demand. On March 11, 2024, the Company and Palantir executed a Settlement and Release Agreement in order to terminate the MSA and resolve the disputes. The Company agreed to pay Palantir $5.0 million, with a liquidated damages clause of $0.3 million for late payments. This settlement includes mutual waivers and releases of claims to avoid future disputes. On August 9, 2024, the Company and Palantir entered into an amendment to the Settlement and Release Agreement pursuant to which, in lieu of paying the remaining $4.8 million in cash, the Company agreed to issue Palantir $2.4 million of Class A Common Stock by August 9, 2024, and $2.4 million in Class A Common Stock by October 1, 2024. The August 9, 2024 issuance totaled approximately 11.1 million shares of Common Stock. The Company further agreed to register the shares under the Securities Act for resale by Palantir.</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On May 2, 2023, the Company received a notice of Commencement of Arbitration by Envisage Group Developments Inc. USA (“Envisage”) for unpaid invoices relating to professional engineering services and for design and manufacture of a Master Buck cube with a total claimed damages of $1.1 million. At the hearings, the Company disputed the adequacy of Envisage’s documentation for professional services and contended that no contract exists for Master Buck due to unfulfilled payment conditions. The Company further challenged Envisage’s unilateral alteration of payment terms. In June 2024, the arbitrator issued an award to Envisage totaling $1.1 million.</w:t>
      </w:r>
      <w:r>
        <w:rPr>
          <w:color w:val="000000"/>
        </w:rPr>
        <w:t xml:space="preserve"> </w:t>
      </w:r>
      <w:r>
        <w:rPr>
          <w:rFonts w:ascii="Times New Roman;sans-serif" w:hAnsi="Times New Roman;sans-serif"/>
          <w:b w:val="false"/>
          <w:color w:val="000000"/>
          <w:sz w:val="20"/>
        </w:rPr>
        <w:t>Envisage subsequently filed a motion for attorneys’ fees and costs, which motion is now pending. The Company is unable to evaluate the amount or range of the potential attorneys’ fees award.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48285"/>
                <wp:effectExtent l="0" t="0" r="0" b="0"/>
                <wp:wrapNone/>
                <wp:docPr id="35" name="Frame3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June 12, 2023, the Company received a letter demanding access to the Company’s books and records in connection with (a) the Company entering into the amended and restated shareholder agreement with FF Top Holding LLC n/k/a FF Global and (b) certain other related matters. Given the early stages of the legal proceedings, the Company is unable to evaluate the likelihood of an unfavorable outcome and/or the amount or range of potential loss.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13, 2023, L &amp; W LLC (“Autokiniton”), a provider of tooling for use in the automotive industry, filed an action in State of Michigan 3rd Judicial Circuit County of Wayne Court alleging the Company breached its contract with Autokiniton and refused to fulfill its obligations under the applicable Purchase Order. Autokiniton requested a judgment in the amount of at least $8.1 million. In discovery, the Company has conceded that $4.6 million is due and owing under the Purchase Order. In July 2024, the parties subsequently filed a stipulated order and judgment totaling $8.1 million, plus statutory interest, which was entered by the court. The parties are engaged in discussions regarding this matter. The Company has accrued $8.1 million related to this matter in the Accrued expenses and other current liabilities on the Condensed Consolidated Balance Sheets for the period ended June 30, 2024.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11, 2023, Joseph Hof and Scott McPherson filed a class action lawsuit in Supreme Court of the State of New York, County of New York against Benchmark 237 LLC, Benchmark Real Estate Trust, SLLC, Canvas Investment Partners, LLC, Canvas Property Group, LLC, Juliet Technologies, LLC, and the Company, alleging that the defendants engaged in various scheming practices that discriminatorily impacted the plaintiffs and other class members The court granted the Company’s Motion to Dismiss on January 12, 2024, and dismissed the case on January 18, 2024. The plaintiffs filed an appeal on February 12, 2024, against the dismissal orders. Given the early stages of the assertion, the Company is unable to evaluate the likelihood of an unfavorable outcome and/or the amount or range of potential loss.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8, 2023, 10701 Idaho Owner, LLC (“Landlord”) notified the Company of rental defaults amounting to $0.6 million for the months of October to December 2023, demanding a 5% late fee and 18% annual interest on overdue amounts. Following this, the parties reached a First Amendment to the Lease Agreement dated October 19, 2023 to address the Company’s total rent default of $1.1 million, including a $0.1 million partial payment made on January 26, 2024, and additional late fees and charges of $0.2 million. The amendment established a repayment plan requiring the Company to pay $1.2 million from February 26 to March 31, 2024, and to either replenish or provide a new $0.6 million Letter of Credit. On March 26, 2024, the Landlord served the Company with a Notice to Pay or Quit, demanding payment of $1.0 million within five business days. On April 10, 2024, the Company made a $0.2 million payment to Landlord in exchange for Landlord deferring further action in this matter.</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14, 2024, Rexford Industrial - 18455 Figueroa, LLC (“Rexford”) filed a Complaint for Unlawful Detainer against Faraday SPE, LLC in Superior Court of California, County of Los Angeles. The complaint asserted that the Company had failed to pay outstanding rent in the amount of $0.9 million. Furthermore, Rexford sought recovery of reasonable attorney’s fees and damages. This action was based on a breach of a Lease Agreement dated March 8, 2019, for premises at 18455 S. Figueroa Street, Gardena, Los Angeles, with Rexford requesting forfeiture of the lease. On April 10, 2024, the court issued a Notice of Dismissal, dismissing the complaint without prejudice.</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In February 2024, the Company initiated a lawsuit against Draexlmaier Automotive Technologies of America LLC (“Draexlmaier”) for breach of contract, seeking $3.2 million in damages plus legal costs incurred. The dispute involves two Purchase Orders placed by the Company with Draexlmaier in September 2021 for the development and tooling of FF 91 vehicle consoles. The parties’ agreement included a clause allowing Faraday to terminate the Purchase Orders at any time, with the understanding that Draexlmaier would promptly refund any advanced payments for undelivered items or unperformed work. Faraday met its financial obligations under the agreement and in March 2022, terminated the agreement prior to the start of tooling fabrication and requested a refund of $3.2 million for the undelivered work, which Draexlmaier failed to remit. Faraday issued a final demand for this refund in August 2023. Faraday subsequently initiated this lawsuit. In May 2024, Draexlmaier filed an Answer and Counterclaim alleging fraudulent inducement, breach of contract, violations of South Carolina’s Unfair Trade Practices Act, and unjust enrichment.</w:t>
      </w:r>
      <w:r>
        <w:rPr>
          <w:color w:val="000000"/>
        </w:rPr>
        <w:t xml:space="preserve"> </w:t>
      </w:r>
      <w:r>
        <w:rPr>
          <w:rFonts w:ascii="Times New Roman;sans-serif" w:hAnsi="Times New Roman;sans-serif"/>
          <w:b w:val="false"/>
          <w:color w:val="000000"/>
          <w:sz w:val="20"/>
        </w:rPr>
        <w:t>In connection with its claims, Draexlmaier seeks $5.0 million in damages for breach of contract, as well as unspecified actual, consequential, punitive, and treble damages, and attorneys’ fees and costs. The Company disputes Draexlmaier’s claims and has stated its intention to vigorously defend the action. Given the early stages of these legal proceedings, the Company is unable to evaluate the likelihood of an unfavorable outcome and/or the amount or range of potential loss.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25, 2024, Cooper Standard GmbH filed a lawsuit against Faraday&amp;Future Inc. in Superior Court of California, County of Los Angeles, alleging non-payment of the estimated sum of $1.5 million, which constitutes a breach of contractual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48285"/>
                <wp:effectExtent l="0" t="0" r="0" b="0"/>
                <wp:wrapNone/>
                <wp:docPr id="36" name="Frame3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obligations set forth in purchase orders, a Letter of Tool Acceptance, and invoices to facilitate the supply of automotive products and services for the FF 91 vehicle from August 2021 to December 2022. Given the early stages of the legal proceedings, the Company is unable to evaluate the likelihood of an unfavorable outcome and/or the amount or range of potential loss.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27 and March 29, 2024, Jose Guerrero and Victoria Xie, former Senior Director of Sales and Aftersales, and Go-to-Market Project Manager and Launch Manager, respectively, filed wrongful termination lawsuits against Faraday&amp;Future Inc. and certain of its officers in Superior Court of California, County of Los Angeles. Each plaintiff is demanding compensatory, general, and special damages, each not less than $1.0 million. On April 19, 2024, an additional formal employee submitted a request for arbitration against the same group of defendants without quantifying alleged damages. Given the early stages of these legal proceedings, the Company is unable to evaluate the likelihood of an unfavorable outcome and/or the amount or range of potential loss.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disclosed herein, as of the date hereof FF is not a party to any legal proceedings the outcome of which, if determined adversely to FF, would individually or in the aggregate be reasonably expected to have a material adverse effect on FF’s business, financial condition, or results of operations.</w:t>
      </w:r>
    </w:p>
    <w:p>
      <w:pPr>
        <w:pStyle w:val="TextBody"/>
        <w:bidi w:val="0"/>
        <w:spacing w:lineRule="auto" w:line="288" w:before="160" w:after="283"/>
        <w:ind w:left="0" w:right="0" w:hanging="90"/>
        <w:jc w:val="both"/>
        <w:rPr>
          <w:rFonts w:ascii="Times New Roman;sans-serif" w:hAnsi="Times New Roman;sans-serif"/>
          <w:b w:val="false"/>
          <w:i/>
          <w:color w:val="000000"/>
          <w:sz w:val="20"/>
        </w:rPr>
      </w:pPr>
      <w:r>
        <w:rPr>
          <w:rFonts w:ascii="Times New Roman;sans-serif" w:hAnsi="Times New Roman;sans-serif"/>
          <w:b w:val="false"/>
          <w:i/>
          <w:color w:val="000000"/>
          <w:sz w:val="20"/>
        </w:rPr>
        <w:t>Dispute with Noteholders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2023, and September 2023, the Company received correspondence from each of Senyun, MHL and V W Investment alleging that the Company had entered into oral agreements to compensate those investors for any losses in connection with converting their notes into shares of the Company in order to support the Company’s proposals at the August 2023 special stockholders meeting. The Company is unaware of any such oral agreements and is contesting these claims on multiple grounds.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Special Committee Investigation</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on November 15, 2021, the Board established a special committee of independent directors (“Special Committee”) to investigate allegations of inaccurate Company disclosures, including those made in an October 2021 short seller report and whistleblower allegations, which resulted in FFIE being unable to timely file its third quarter 2021 Quarterly Report on Form 10-Q, Annual Report on Form 10-K for the year ended December 31, 2021, first quarter 2022 Quarterly Report on Form 10-Q and amended Registration Statement on Form S-1 (File No. 333-258993). The Special Committee engaged outside independent legal counsel and a forensic accounting firm to assist with its review. On February 1, 2022, FFIE announced that the Special Committee completed its review. On April 14, 2022, FFIE announced the completion of additional investigative work based on the Special Committee’s findings which were performed under the direction of the Executive Chairperson, reporting to the Audit Committee. In connection with the Special Committee’s review and subsequent investigative work, the following findings were made: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that was consummated on July 21, 2021 pursuant to that certain Agreement and Plan of Merger, dated as of January 27, 2021 (as amended, the “Merger Agreement”), by and among the Company, formerly known as Property Solutions Acquisition Corp (“PSAC”), PSAC Merger Sub Ltd., and FF Intelligent Mobility Global Holdings Ltd., an exempted company with limited liability incorporated under the laws of the Cayman Islands (“Legacy FF”) (the “Business Combination”), statements made by certain Company employees to certain investors describing the role of Mr. Yueting Jia, within the Company were inaccurate and his involvement in the management of the Company post-Business Combination was more significant than what had been represented to certain investors.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Company’s statements leading up to the Business Combination that it had received more than 14,000 reservations for the FF 91 vehicle were potentially misleading because only several hundred of those reservations were paid, while the others (totaling 14,000) were unpaid indications of interest.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Consistent with FFIE’s previous public disclosures regarding identified material weaknesses in its internal control over financial reporting, the Company’s internal control over financial reporting requires an upgrade in personnel and systems.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Company’s corporate culture failed to sufficiently prioritize compliance.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Mr. Jia’s role as an intermediary in leasing certain properties which were subsequently leased to the Company was not disclosed in FFIE’s corporate housing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48285"/>
                <wp:effectExtent l="0" t="0" r="0" b="0"/>
                <wp:wrapNone/>
                <wp:docPr id="37" name="Frame3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In preparing FFIE’s related party transaction disclosures, the Company failed to investigate and identify the sources of loans received from individuals and entities associated with Company employees.</w:t>
      </w:r>
    </w:p>
    <w:p>
      <w:pPr>
        <w:pStyle w:val="TextBody"/>
        <w:bidi w:val="0"/>
        <w:spacing w:lineRule="auto" w:line="288" w:before="160" w:after="283"/>
        <w:ind w:left="0" w:right="0" w:firstLine="540"/>
        <w:jc w:val="both"/>
        <w:rPr>
          <w:color w:val="000000"/>
        </w:rPr>
      </w:pPr>
      <w:r>
        <w:rPr>
          <w:color w:val="000000"/>
        </w:rPr>
        <w:t> </w:t>
      </w:r>
      <w:r>
        <w:rPr>
          <w:rFonts w:ascii="Times New Roman;sans-serif" w:hAnsi="Times New Roman;sans-serif"/>
          <w:b w:val="false"/>
          <w:color w:val="000000"/>
          <w:sz w:val="20"/>
        </w:rPr>
        <w:t>In addition, the investigation found that certain individuals failed to fully disclose to individuals involved in the preparation of FFIE’s SEC filings their relationships with certain related parties and affiliated entities in connection with, and following, the Business Combination, and failed to fully disclose relevant information, including but not limited to, information in connection with related parties and corporate governance to FFIE’s former independent registered public accounting firm PricewaterhouseCoopers LLP.</w:t>
      </w:r>
    </w:p>
    <w:p>
      <w:pPr>
        <w:pStyle w:val="TextBody"/>
        <w:bidi w:val="0"/>
        <w:spacing w:lineRule="auto" w:line="288" w:before="160" w:after="283"/>
        <w:ind w:left="0" w:right="0" w:firstLine="540"/>
        <w:jc w:val="both"/>
        <w:rPr>
          <w:color w:val="000000"/>
        </w:rPr>
      </w:pPr>
      <w:r>
        <w:rPr>
          <w:color w:val="000000"/>
        </w:rPr>
        <w:t> </w:t>
      </w:r>
      <w:r>
        <w:rPr>
          <w:rFonts w:ascii="Times New Roman;sans-serif" w:hAnsi="Times New Roman;sans-serif"/>
          <w:b w:val="false"/>
          <w:color w:val="000000"/>
          <w:sz w:val="20"/>
        </w:rPr>
        <w:t>The investigation also found that certain individuals failed to cooperate and withheld potentially relevant information in connection with the Special Committee investigation. Among such individuals were non-executive officers or members of the management team of FF, and remedial action was taken with respect to such individuals based on the extent of non-cooperation and/or withholding of information. The failure to cooperate with the investigation was taken into consideration in connection with the remedial actions outlined below with respect to Jerry Wang, and withholding of information also affected the remedial action taken with respect to Matthias Aydt.</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results of the investigation, the Special Committee concluded that, except as described above, other substantive allegations of inaccurate FF disclosures that it evaluated, were not supported by the evidence reviewed. Although the investigation did not change any of the above findings with respect to the substantive allegations of inaccurate FF disclosures, the investigation did confirm the need for remedial actions to help ensure enhanced focus on compliance and disclosure within FF.</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results of the Special Committee investigation and subsequent investigative work described above, the Board approved the following remedial actions designed to enhance oversight and corporate governance of the Company:</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appointment of Susan Swenson, a former member of the Board, to the then newly created position of Executive Chairperson of FF.</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Dr. Carsten Breitfeld, FF’s former Global CEO, reporting directly to Ms. Swenson and receiving a 25% annual base salary reduction;</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removal of Mr. Jia as an executive officer, although continuing in his position as Chief Product &amp; User Ecosystem Officer of FFIE. Certain dual-reporting arrangements were eliminated with respect to Mr. Jia, and he is required to report directly to Ms. Swenson, a non-independent director nominated by FF Top. Please see “</w:t>
      </w:r>
      <w:r>
        <w:rPr>
          <w:rFonts w:ascii="Times New Roman;sans-serif" w:hAnsi="Times New Roman;sans-serif"/>
          <w:b w:val="false"/>
          <w:i/>
          <w:color w:val="000000"/>
          <w:sz w:val="20"/>
        </w:rPr>
        <w:t>Risk Factors–Risks Related to FF’s Business and Industry–Yueting Jia and FF Global, over which Mr. Jia exercises significant influence, have control over the Company’s management, business and operations, and may use this control in ways that are not aligned with the Company’s business or financial objectives or strategies or that are otherwise inconsistent with the Company’s interests. Such significant influence may increase if and to the extent the current members of the Board and management are removed and replaced with individuals who are aligned with Mr. Jia and/or FF Global</w:t>
      </w:r>
      <w:r>
        <w:rPr>
          <w:color w:val="000000"/>
        </w:rPr>
        <w:t xml:space="preserve">” </w:t>
      </w:r>
      <w:r>
        <w:rPr>
          <w:rFonts w:ascii="Times New Roman;sans-serif" w:hAnsi="Times New Roman;sans-serif"/>
          <w:b w:val="false"/>
          <w:color w:val="000000"/>
          <w:sz w:val="20"/>
        </w:rPr>
        <w:t>in the Form 10-K. Mr. Jia also received a 25% annual base salary reduction, and his role was limited from a policy-making position to focusing on (a) Product and Mobility Ecosystem and (b) Internet, Artificial Intelligence, and Advanced R&amp;D technology. On February 26, 2023, after an assessment by the Board of the Company’s management structure, the Board approved Mr. Yueting Jia (alongside Mr. Xuefeng Chen) reporting directly to the Board, as well as FF’s product, mobility ecosystem, I.A.I., and advanced R&amp;D technology departments reporting directly to Mr. Jia. The Board also approved FF’s user ecosystem, capital markets, human resources and administration, corporate strategy and China departments reporting to both Mr. Jia and Mr. Xuefeng processes and controls to be determined by the Board after consultation with the Company’s management. The Company’s remaining departments continue to report to Mr. Xuefeng. On February 26, 2023, after an assessment by the Board of the Company’s management structure, the Board the Board approved Mr. Yueting Jia (alongside Mr. Xuefeng Chen) reporting directly to the Board, as well as FF’s product, mobility ecosystem, I.A.I., and advanced R&amp;D technology departments reporting directly to Mr. Jia. The Board also approved FF’s user ecosystem, capital markets, human resources and administration, corporate strategy and China departments reporting to both Mr. Jia and Mr. Xuefeng Chen, subject to processes and controls to be determined by the Board after consultation with the Company’s management. The Company’s remaining departments continue to report to Mr. Xuefeng Chen. Based on the changes to his responsibilities within the Company, the Board determined that Mr. Jia is an “officer” of the Company within the meaning of Section 16 of the Exchange Act and an “executive officer” of the Company under Rule 3b-7 under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48285"/>
                <wp:effectExtent l="0" t="0" r="0" b="0"/>
                <wp:wrapNone/>
                <wp:docPr id="38" name="Frame3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Matthias Aydt, then Senior Vice President, Business Development and Product Definition and a director of FFIE, and currently Senior Vice President, Product Execution and a director of FFIE, being placed on probation as an executive officer for a six-month period, during which period he remained a non-independent member of the Board, which probationary period has since ended;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appointment of Jordan Vogel as Lead Independent Director; certain changes to the composition of Board committees, including Brian Krolicki stepping down from his role as Chairman of the Board and Chair of the Nominating and Corporate Governance Committee and becoming a member of the Audit and Compensation Committees of the Board; Jordan Vogel stepping down from the Nominating and Corporate Governance Committee; and Scott Vogel becoming the Chair of the Audit Committee and the Nominating and Corporate Governance Committee of the Board;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suspension without pay of Jiawei (“Jerry”) Wang, FFIE’s former Vice President, Global Capital Markets, who subsequently notified the Board of his decision to resign from FF on April 10, 2022;</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assessment and enhancement of FF’s policies and procedures regarding financial accounting and reporting and the upgrading of FF’s internal control over financial accounting and reporting, including by hiring additional financial reporting and accounting support, in each case at the direction of the Audit Committee;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implementation of enhanced controls around FF’s contracting and related party transactions, including regular attestations by FF’s employees with authority to bind FF to contracts and related party transactions, for purposes of enabling FF to make complete and accurate disclosures regarding related party transactions;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hiring of a Compliance Officer with the title of Deputy General Counsel (hired in March 2023), who will report on a dotted line to the Chair of the Audit committee, and a Director of Risks and Internal Controls; and assessing and enhancing FF’s compliance policies and procedures;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implementation of a comprehensive training program for all directors and officers regarding, among other things, internal FF policies;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separation of Jarret Johnson, FF’s Vice President, General Counsel and Secretary;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certain other disciplinary actions and terminations of employment with respect to other FF employees (none of whom is an executive officer).</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As of August 14, 2024, FF is continuing to implement certain of the remedial actions approved by the Board. However, certain of these remedial actions are no longer in effect and no assurance can be provided that those remedial measures that continue to be implemented will be implemented in a timely manner or at all, or will be successful to prevent inaccurate disclosures in the future. Please see “</w:t>
      </w:r>
      <w:r>
        <w:rPr>
          <w:rFonts w:ascii="Times New Roman;sans-serif" w:hAnsi="Times New Roman;sans-serif"/>
          <w:b w:val="false"/>
          <w:i/>
          <w:color w:val="000000"/>
          <w:sz w:val="20"/>
        </w:rPr>
        <w:t>Risk Factors – Risks Related to FF’s Business and Industry – FF has taken remedial measures in response to the Special Committee findings. There can be no assurance that such remedial measures will be successful. In addition, there can be no assurance that such remedial measures will be fully implemented in light of the recent corporate governance agreements with FF Top and FF Global and the recent assessment by the Board of FF’s management structure, including management roles, responsibilities and reporting lines and changes to the Board” in the Form 10-K.</w:t>
      </w:r>
      <w:r>
        <w:rPr>
          <w:color w:val="000000"/>
        </w:rPr>
        <w:t xml:space="preserve"> </w:t>
      </w:r>
      <w:r>
        <w:rPr>
          <w:rFonts w:ascii="Times New Roman;sans-serif" w:hAnsi="Times New Roman;sans-serif"/>
          <w:b w:val="false"/>
          <w:color w:val="000000"/>
          <w:sz w:val="20"/>
        </w:rPr>
        <w:t xml:space="preserve">However, pursuant to the Heads of Agreement, FF has implemented certain governance changes that impact certain of the above-discussed remedial actions. On October 3, 2022, Ms. Swenson tendered her resignation from her role as both Executive Chairperson and member of the Board effective immediately. In addition, on October 3, 2022, Mr. Scott Vogel resigned from the Board effective immediately and Mr. Jordan Vogel resigned effective on October 5, 2022 upon his receipt of a supplemental release pursuant to the Mutual Release. On October 28, 2022, Mr. Brian Krolicki tendered his resignation from the Board effective immediately. On December 15, 2022, Mr. Lee Liu tendered his resignation from the Board, which resignation was effective on December 18, 2022. On December 18, 2022, Mr. Jie Sheng was appointed to the Board, effective immediately, following the resignation of Mr. Liu. On December 25, 2022, Mr. Edwin Goh tendered his resignation from the Board, which resignation was effective on December 26, 2022. On December 27, 2022, Ms. Ke Sun was appointed to the Board, effective immediately, following the resignation of Mr. Goh. Mr. Sheng and Ms. Sun are designees of FF Top pursuant to the Amended and Restated Shareholder Agreement by and between FF and FF Top (the “Amended Shareholder Agreement”). On December 26, 2022, Dr. Carsten Breitfeld tendered his resignation from the Board, which resignation was effective immediately. On December 27, 2022, Mr. Xuefeng Chen was appointed to the Board, effective immediately, following the resignation of Dr. Breitfeld. On January 20, 2023, Mr. Qing Ye tendered his resignation from the Board, which resignation was effective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48285"/>
                <wp:effectExtent l="0" t="0" r="0" b="0"/>
                <wp:wrapNone/>
                <wp:docPr id="39" name="Frame3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pPr>
      <w:r>
        <w:rPr>
          <w:rFonts w:ascii="Times New Roman;sans-serif" w:hAnsi="Times New Roman;sans-serif"/>
          <w:b w:val="false"/>
          <w:color w:val="000000"/>
          <w:sz w:val="20"/>
        </w:rPr>
        <w:t>immediately. Mr. Ye remained a consultant of the Company as an independent contractor until November 18, 2023. On January 25, 2023, Mr. Chui Tin Mok was appointed to the Board, effective immediately, following the resignation of Mr. Ye. Each of Ms. Ke Sun and Mr. Xuefeng Chen have subsequently resigned from the Board. See “</w:t>
      </w:r>
      <w:r>
        <w:rPr>
          <w:rFonts w:ascii="Times New Roman;sans-serif" w:hAnsi="Times New Roman;sans-serif"/>
          <w:b w:val="false"/>
          <w:i/>
          <w:color w:val="000000"/>
          <w:sz w:val="20"/>
        </w:rPr>
        <w:t>Management – Governance Agreement with FF Top and FF Global</w:t>
      </w:r>
      <w:r>
        <w:rPr>
          <w:color w:val="000000"/>
        </w:rPr>
        <w:t xml:space="preserve">” </w:t>
      </w:r>
      <w:r>
        <w:rPr>
          <w:rFonts w:ascii="Times New Roman;sans-serif" w:hAnsi="Times New Roman;sans-serif"/>
          <w:b w:val="false"/>
          <w:color w:val="000000"/>
          <w:sz w:val="20"/>
        </w:rPr>
        <w:t>for more information.</w:t>
      </w:r>
    </w:p>
    <w:p>
      <w:pPr>
        <w:pStyle w:val="TextBody"/>
        <w:bidi w:val="0"/>
        <w:spacing w:lineRule="auto" w:line="288" w:before="160" w:after="283"/>
        <w:ind w:left="0" w:right="0" w:firstLine="504"/>
        <w:jc w:val="both"/>
        <w:rPr>
          <w:color w:val="000000"/>
        </w:rPr>
      </w:pPr>
      <w:r>
        <w:rPr>
          <w:color w:val="000000"/>
        </w:rPr>
        <w:t> </w:t>
      </w:r>
      <w:r>
        <w:rPr>
          <w:rFonts w:ascii="Times New Roman;sans-serif" w:hAnsi="Times New Roman;sans-serif"/>
          <w:b w:val="false"/>
          <w:color w:val="000000"/>
          <w:sz w:val="20"/>
        </w:rPr>
        <w:t>Subsequent to FFIE announcing the completion of the Special Committee investigation on February 1, 2022, FFIE, certain members of the management team and employees of FFIE received a notice of preservation and subpoena from the staff of the SEC stating that the SEC had commenced a formal investigation relating to the matters that were the subject of the Special Committee investigation. FFIE, which had previously voluntarily contacted the SEC in connection with the Special Committee investigation in October 2021, is cooperating fully with the SEC’s investigation. The outcome of such an investigation is difficult to predict. FF has incurred, and may continue to incur, significant expenses related to legal and other professional services in connection with the SEC investigation. At this stage, FF is unable to assess whether any material loss or adverse effect is reasonably possible as a result of the SEC’s investigation or estimate the range of any potential loss. In addition, in June 2022, FF received a preliminary request for information from the DOJ in connection with the matters that were the subject of the Special Committee investigation. FF has responded to that request and intends to fully cooperate with any future requests from the DOJ.</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Unconditional Contractual Obligations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unconditional contractual obligation is defined as an agreement to purchase goods or services that is enforceable and legally binding (non-cancelable, or cancellable only in certain circumstances). As of June 30, 2024, we estimate FFIE’s total unconditional contractual commitments, including lease minimum payments, financial obligations on sale and lease back, notes payable, related party notes payable, related accrued interest, legal contingencies and other contractual commitments, totaling $271.3 million, which included $87.0 million for the year ended December 31, 2024, $45.3 million for the two years ended December 31, 2026, $71.3 million for the two years ended December 31, 2028 and $67.7 million thereafter.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11. Stockholders’ Equity</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authorized and issued and outstanding shares stock were as follows:</w:t>
      </w:r>
    </w:p>
    <w:tbl>
      <w:tblPr>
        <w:tblW w:w="6981" w:type="dxa"/>
        <w:jc w:val="left"/>
        <w:tblInd w:w="0" w:type="dxa"/>
        <w:tblLayout w:type="fixed"/>
        <w:tblCellMar>
          <w:top w:w="28" w:type="dxa"/>
          <w:left w:w="28" w:type="dxa"/>
          <w:bottom w:w="28" w:type="dxa"/>
          <w:right w:w="28" w:type="dxa"/>
        </w:tblCellMar>
      </w:tblPr>
      <w:tblGrid>
        <w:gridCol w:w="737"/>
        <w:gridCol w:w="650"/>
        <w:gridCol w:w="653"/>
        <w:gridCol w:w="592"/>
        <w:gridCol w:w="594"/>
        <w:gridCol w:w="341"/>
        <w:gridCol w:w="128"/>
        <w:gridCol w:w="128"/>
        <w:gridCol w:w="128"/>
        <w:gridCol w:w="849"/>
        <w:gridCol w:w="849"/>
        <w:gridCol w:w="851"/>
        <w:gridCol w:w="109"/>
        <w:gridCol w:w="109"/>
        <w:gridCol w:w="109"/>
        <w:gridCol w:w="154"/>
      </w:tblGrid>
      <w:tr>
        <w:trPr/>
        <w:tc>
          <w:tcPr>
            <w:tcW w:w="73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481" w:type="dxa"/>
            <w:gridSpan w:val="4"/>
            <w:tcBorders/>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Authorized </w:t>
              <w:br/>
              <w:t>Shares</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Issued and Outstanding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443,625,000 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441,264,626 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19,687,500 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266,670 </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473,312,500 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441,531,297 </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563" w:type="dxa"/>
        <w:jc w:val="left"/>
        <w:tblInd w:w="0" w:type="dxa"/>
        <w:tblLayout w:type="fixed"/>
        <w:tblCellMar>
          <w:top w:w="28" w:type="dxa"/>
          <w:left w:w="28" w:type="dxa"/>
          <w:bottom w:w="28" w:type="dxa"/>
          <w:right w:w="28" w:type="dxa"/>
        </w:tblCellMar>
      </w:tblPr>
      <w:tblGrid>
        <w:gridCol w:w="737"/>
        <w:gridCol w:w="650"/>
        <w:gridCol w:w="653"/>
        <w:gridCol w:w="540"/>
        <w:gridCol w:w="541"/>
        <w:gridCol w:w="341"/>
        <w:gridCol w:w="169"/>
        <w:gridCol w:w="169"/>
        <w:gridCol w:w="169"/>
        <w:gridCol w:w="758"/>
        <w:gridCol w:w="758"/>
        <w:gridCol w:w="1078"/>
      </w:tblGrid>
      <w:tr>
        <w:trPr/>
        <w:tc>
          <w:tcPr>
            <w:tcW w:w="73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Authorized </w:t>
              <w:br/>
              <w:t>Shares</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Issued and Outstanding Shares</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49,291,667 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42,433,025 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2,187,500 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266,670 </w:t>
            </w:r>
          </w:p>
        </w:tc>
        <w:tc>
          <w:tcPr>
            <w:tcW w:w="10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61,479,167 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42,699,695 </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540"/>
        <w:jc w:val="both"/>
        <w:rPr>
          <w:rFonts w:ascii="Times New Roman;sans-serif" w:hAnsi="Times New Roman;sans-serif"/>
          <w:b/>
          <w:i/>
          <w:color w:val="000000"/>
          <w:sz w:val="20"/>
        </w:rPr>
      </w:pPr>
      <w:r>
        <w:rPr>
          <w:rFonts w:ascii="Times New Roman;sans-serif" w:hAnsi="Times New Roman;sans-serif"/>
          <w:b/>
          <w:i/>
          <w:color w:val="000000"/>
          <w:sz w:val="20"/>
        </w:rPr>
        <w:t>Amendments to the Company’s Certificate of Incorporation</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a special meeting of the Company’s stockholders held on February 28, 2023, the Company’s stockholders approved an increase to the number of the Company’s authorized shares of Class A Common Stock from 3,395,834 to 7,041,667, increasing the Company’s total number of authorized shares of Common Stock and preferred stock from 13,708,334 to 17,354,167. On March 1, 2023, the Company filed an amendment to its Second Amended and Restated Certificate of Incorporation with the Secretary of State of the State of Delaware to effect such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48285"/>
                <wp:effectExtent l="0" t="0" r="0" b="0"/>
                <wp:wrapNone/>
                <wp:docPr id="40" name="Frame4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a special meeting of the Company’s stockholders held on August 16, 2023, the Company’s stockholders approved a proposal authorizing the Board to effect a reverse stock split of the outstanding Common Stock at a range between 1-for-2 and 1-for-90 shares of outstanding Common Stock, and a proposal, if and only if a reverse stock split is implemented at a ratio of 1-for-8 or greater, to amend the Company’s Second Amended and Restated Certificate of Incorporation, as amended, if necessary to reduce the number of authorized shares of the Company’s common stock to a number equal to 12,355,000,000 divided by the reverse stock split ratio determined by the Board. On August 22, 2023, the Board approved the August 2023 Reverse Stock Split ratio (1-for-80). Accordingly, on August 24, 2023, the Company filed the Third Amended and Restated Certificate of Incorporation of the Company to effect the August 2023 Reverse Stock Split and to set the number of authorized shares of Common Stock to 51,479,167. As a result, effective August 25, 2023, every 80 shares of the issued and outstanding Common Stock were converted into one share of Common Stock, without any change in par value per share, and the authorized shares of Common Stock were reduced to 51,479,167, composed of (i) 49,291,667 shares of Class A Common Stock and (ii) 2,187,500 shares of Class B Common Stock. No fractional shares of Common Stock were issued as a result of the August 2023 Reverse Stock Split. Stockholders who would otherwise have received a fractional share were instead issued a full share in lieu of such fractional share.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Class A Common Stock began trading on The Nasdaq Capital Market on a split-adjusted basis for the August 2023 Reverse Stock Split at the opening of trading on August 28, 2023 under the symbol “FFIE” with a new CUSIP number (307359 505). </w:t>
      </w:r>
    </w:p>
    <w:p>
      <w:pPr>
        <w:pStyle w:val="TextBody"/>
        <w:bidi w:val="0"/>
        <w:spacing w:before="0" w:after="0"/>
        <w:ind w:left="0" w:right="0" w:firstLine="540"/>
        <w:jc w:val="left"/>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a special meeting of the Company’s stockholders held on February 5, 2024, the Company’s stockholders approved an increase in the authorized shares of Common Stock from 154,437,500 to 1,389,937,500, increasing the total number of authorized shares of the Common Stock and preferred stock from 164,437,500 to 1,399,937,500. On February 5, 2024, the Company filed an amendment to the Company’s Third Amended and Restated Certificate of Incorporation, as amended, with the office of the Secretary of State of the State of Delaware to effect such increase.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Also at the special meeting of the Company’s stockholders held on February 5, 2024, the Company’s stockholders approved an amendment to the Company’s Third Amended and Restated Certificate of Incorporation, as amended, to effect a reverse stock split (referred to as the February 2024 Reverse Stock Split) of the Common Stock by a ratio of 1-for-3, with such action to be effected at such time and date, if at all, as determined by the Board within one year after the conclusion of the special meeting and a corresponding reduction in the total number of shares of Common Stock the Company is authorized to issue. On February 23, 2024, the Board approved the implementation of the February 2024 Reverse Stock Split and the Company filed a second amendment to the Company’s Third Amended and Restated Certificate of Incorporation with the Secretary of State of the State of Delaware to effect the February 2024 Reverse Stock Split and to set the number of authorized shares of Common Stock to 463,312,500 (which is 1,389,937,500 divided by 3). Pursuant to the Certificate of Amendment, effective as of 5:00 p.m., Eastern Time, on February 29, 2024, every three shares of the issued and outstanding Common Stock were automatically converted into one share of Common Stock, without any change in par value per share and the number of authorized shares of Common Stock was reduced to 463,312,500. No fractional shares of Common Stock were issued as a result of the February 2024 Reverse Stock Split. Stockholders who would otherwise have received a fractional share were instead issued a full share in lieu of such fractional share.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Class A Common Stock began trading on the Nasdaq Capital Market on a split-adjusted basis for the February 2024 Reverse Stock Split at the opening of trading on March 1, 2024 under the symbol “FFIE” with a new CUSIP number (307359 703).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Public Warrants continue to be traded on the Nasdaq Capital Market under the symbol “FFIEW” and the CUSIP number for the warrants remains unchanged.</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Series A Preferred Stock</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21, 2024, in connection with a purchase agreement entered into with Mr. Aydt, the Company’s Global CEO, the Company filed a Certificate of Designation of Preferences, Rights and Limitations of Series A Preferred Stock (the “Series A Certificate of Designation”) with the Secretary of State of the State of Delaware. The Series A Certificate of Designation designates one share of the Company’s Preferred Stock as Series A preferred stock, par value $0.0001 per share (the “Series A Preferred”) and establishes and designates the preferences, rights and limitations thereof. The closing of the sale and purchase of the share of Series A Preferred was completed on June 21, 2024 for a purchase price of $100.00.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48285"/>
                <wp:effectExtent l="0" t="0" r="0" b="0"/>
                <wp:wrapNone/>
                <wp:docPr id="41" name="Frame4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share of Series A Preferred is not convertible into, or exchangeable for, shares of any other class or series of stock or other securities of the Company. The share of Series A Preferred shall not be entitled to receive dividends.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The holder of the Series A Preferred is entitled to 16,000,000,000 votes for each share held of record, but has the right to vote only on any share authorization proposal or any reverse stock split proposal (together, the “Shareholder Proposals”) and until such time as the Shareholder Proposals are approved by the stockholders, and will have no voting rights except (i) with respect to the Shareholder Proposals in which its votes are cast for and against such Shareholder Proposal in the same proportion as shares of Common Stock are voted for and against such reverse stock split proposal (with any shares of Common Stock that are not voted, whether due to abstentions, broker non-votes or otherwise not counted as votes for or against the Shareholder Proposal) and (ii) unless the holders of one-third (1/3</w:t>
      </w:r>
      <w:r>
        <w:rPr>
          <w:rFonts w:ascii="Times New Roman;sans-serif" w:hAnsi="Times New Roman;sans-serif"/>
          <w:b w:val="false"/>
          <w:color w:val="000000"/>
          <w:sz w:val="13"/>
        </w:rPr>
        <w:t>rd</w:t>
      </w:r>
      <w:r>
        <w:rPr>
          <w:rFonts w:ascii="Times New Roman;sans-serif" w:hAnsi="Times New Roman;sans-serif"/>
          <w:b w:val="false"/>
          <w:color w:val="000000"/>
          <w:sz w:val="20"/>
        </w:rPr>
        <w:t>) of the outstanding shares of Common Stock are present, in person or by proxy, at the meeting of stockholders at which the Shareholder Proposals are submitted for stockholder approval (or any adjournment thereof). The share of Series A Preferred will vote together with the Common Stock as a single class on any Shareholder Proposal. The Series A Preferred has no other voting rights, except as may be required by the General Corporation Law of the State of Delaware.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Upon a liquidation, bankruptcy, reorganization, merger, acquisition, sale, dissolution or winding up of the Company, whether voluntarily or involuntarily, pursuant to which assets of the Company or consideration received by the Company are to be distributed to the stockholders, the holder of the Series A Preferred will be entitled to receive, before any payment is made to the holders of Common Stock by reason of their ownership thereof, an amount equal to $100.00.</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Series A Preferred may not be transferred at any time prior to stockholder approval of the Shareholder Proposals without the prior written consent of the Board. The outstanding share of Series A Preferred will be redeemed in whole, but not in part, for a redemption price of $100.00, payable out of funds lawfully available therefor, upon the earlier of (i) any time such redemption is ordered by the Board in its sole discretion, automatically and effective on such time and date specified by the Board in its sole discretion, or (ii) automatically immediately following the approval by the Company’s stockholders of both Shareholder Proposals. The Series A Preferred Stock was redeemed on July 31, 2024, following the annual meeting of stockholders.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Warrants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outstanding warrants to purchase the Company’s Class A Common Stock as of June 30, 2024 are as follows:</w:t>
      </w:r>
    </w:p>
    <w:tbl>
      <w:tblPr>
        <w:tblW w:w="8436" w:type="dxa"/>
        <w:jc w:val="left"/>
        <w:tblInd w:w="0" w:type="dxa"/>
        <w:tblLayout w:type="fixed"/>
        <w:tblCellMar>
          <w:top w:w="28" w:type="dxa"/>
          <w:left w:w="28" w:type="dxa"/>
          <w:bottom w:w="28" w:type="dxa"/>
          <w:right w:w="28" w:type="dxa"/>
        </w:tblCellMar>
      </w:tblPr>
      <w:tblGrid>
        <w:gridCol w:w="527"/>
        <w:gridCol w:w="462"/>
        <w:gridCol w:w="466"/>
        <w:gridCol w:w="624"/>
        <w:gridCol w:w="624"/>
        <w:gridCol w:w="626"/>
        <w:gridCol w:w="109"/>
        <w:gridCol w:w="109"/>
        <w:gridCol w:w="109"/>
        <w:gridCol w:w="444"/>
        <w:gridCol w:w="444"/>
        <w:gridCol w:w="446"/>
        <w:gridCol w:w="109"/>
        <w:gridCol w:w="109"/>
        <w:gridCol w:w="109"/>
        <w:gridCol w:w="912"/>
        <w:gridCol w:w="912"/>
        <w:gridCol w:w="1295"/>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Expiration Date</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Ares warrants</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9,139,280 </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5, 2027</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SPA Warrants </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558,689 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 through November 28, 2030</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98,088 </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21, 2026</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21, 2026</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87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9,796,521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warrants exercised during the six months ended June 30, 2024.</w:t>
      </w:r>
    </w:p>
    <w:p>
      <w:pPr>
        <w:pStyle w:val="TextBody"/>
        <w:bidi w:val="0"/>
        <w:spacing w:lineRule="auto" w:line="288" w:before="1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outstanding warrants to purchase the Company’s Class A Common Stock as of December 31, 2023 were as follows:</w:t>
      </w:r>
    </w:p>
    <w:tbl>
      <w:tblPr>
        <w:tblW w:w="8436" w:type="dxa"/>
        <w:jc w:val="left"/>
        <w:tblInd w:w="0" w:type="dxa"/>
        <w:tblLayout w:type="fixed"/>
        <w:tblCellMar>
          <w:top w:w="28" w:type="dxa"/>
          <w:left w:w="28" w:type="dxa"/>
          <w:bottom w:w="28" w:type="dxa"/>
          <w:right w:w="28" w:type="dxa"/>
        </w:tblCellMar>
      </w:tblPr>
      <w:tblGrid>
        <w:gridCol w:w="527"/>
        <w:gridCol w:w="462"/>
        <w:gridCol w:w="466"/>
        <w:gridCol w:w="624"/>
        <w:gridCol w:w="624"/>
        <w:gridCol w:w="626"/>
        <w:gridCol w:w="109"/>
        <w:gridCol w:w="109"/>
        <w:gridCol w:w="109"/>
        <w:gridCol w:w="444"/>
        <w:gridCol w:w="444"/>
        <w:gridCol w:w="446"/>
        <w:gridCol w:w="109"/>
        <w:gridCol w:w="109"/>
        <w:gridCol w:w="109"/>
        <w:gridCol w:w="912"/>
        <w:gridCol w:w="912"/>
        <w:gridCol w:w="1295"/>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Expiration Date</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Ares warrants</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9,139,280 </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5, 2027</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 Warrants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556,205 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 through November 28, 2030</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21, 2026</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21, 2026</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87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9,794,037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48285"/>
                <wp:effectExtent l="0" t="0" r="0" b="0"/>
                <wp:wrapNone/>
                <wp:docPr id="42" name="Frame4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Insufficient Authorized Shares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From time to time, certain of the Company’s equity-linked financial instruments may be classified as derivative liabilities under ASC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due to the Company having insufficient authorized shares to fully settle the equity-linked financial instruments in shares. In such case, the Company applies a sequencing policy under ASC 815-40,</w:t>
      </w:r>
      <w:r>
        <w:rPr>
          <w:color w:val="000000"/>
        </w:rPr>
        <w:t xml:space="preserve"> </w:t>
      </w:r>
      <w:r>
        <w:rPr>
          <w:rFonts w:ascii="Times New Roman;sans-serif" w:hAnsi="Times New Roman;sans-serif"/>
          <w:b w:val="false"/>
          <w:i/>
          <w:color w:val="000000"/>
          <w:sz w:val="20"/>
        </w:rPr>
        <w:t>Derivatives and Hedging - Contracts in Entity’s Own Equity</w:t>
      </w:r>
      <w:r>
        <w:rPr>
          <w:rFonts w:ascii="Times New Roman;sans-serif" w:hAnsi="Times New Roman;sans-serif"/>
          <w:b w:val="false"/>
          <w:color w:val="000000"/>
          <w:sz w:val="20"/>
        </w:rPr>
        <w:t xml:space="preserve">, whereby, in the event that reclassification of contracts from equity to assets or liabilities is necessary due to the Company’s inability to demonstrate it has sufficient authorized shares to settle the equity-linked financial instrument in shares, the Company will reclassify contracts that have overlapping settlement dates with the latest inception date as derivative instruments. The contracts reclassified as derivative instruments are recognized at fair value with changes in fair value recognized in earnings until such time as the conditions giving rise to such derivative liability classification were settled or the Company has sufficient authorized, unissued shares to settle such contracts with shares. The Company has elected to apply the same sequencing policy for share-based compensation arrangements if the Company granted share-based payment arrangements where the Company may have insufficient shares to settle the contract.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28, 2023, upon stockholder approval to increase the Company’s authorized shares, the Company had sufficient authorized shares to fully settle all outstanding equity-linked financial instruments. Again on April 21, 2023, the Company had insufficient authorized shares to fully settle its equity-linked financial instruments in shares primarily due to the issuance of additional convertible notes and warrants between February 28, 2023 and April 21, 2023.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Salary Deduction and Stock Purchase Agreement</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21, 2023, certain executive officers of the Company entered into Salary Deduction and Stock Purchase Agreements (collectively, the “SD SPA”) with the Company. Under the SD SPA, on each payroll date after the receipt of stockholder approval of the SD SPA (which stockholder approval was received on February 5, 2024), the officer has agreed to authorize the Company to deduct 50% of the officer’s after-tax base salary. This deducted amount will be used to purchase a number of shares of Class A Common Stock determined using the VWAP (as defined in the SD SPA) of Class A Common Stock per share on the applicable payroll date. Pursuant to the SD SPA, the officer may decrease the amount of the deduction upon notice to the Board. No shares have been purchased under the SD SPA as of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60"/>
        <w:jc w:val="left"/>
        <w:rPr>
          <w:rFonts w:ascii="Times New Roman;sans-serif" w:hAnsi="Times New Roman;sans-serif"/>
          <w:b/>
          <w:color w:val="000000"/>
          <w:sz w:val="20"/>
        </w:rPr>
      </w:pPr>
      <w:r>
        <w:rPr>
          <w:rFonts w:ascii="Times New Roman;sans-serif" w:hAnsi="Times New Roman;sans-serif"/>
          <w:b/>
          <w:color w:val="000000"/>
          <w:sz w:val="20"/>
        </w:rPr>
        <w:t>12. Stock-Based Compensation</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2021 Stock Incentive Plan (“2021 SI Plan”)</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2021, the Company adopted the 2021 SI Plan. The 2021 SI Plan allows the Board to grant incentive and nonqualified stock options, restricted shares, unrestricted shares, restricted share units, and other stock-based awards for Class A Common Stock to employees, directors, and non-employees. At the special meeting held on August 16, 2023, the Company’s stockholders approved (among other proposals) an amendment to the 2021 SI Plan to increase the number of shares of Class A Common Stock available for issuance under the 2021 SI Plan by an additional 861,608 shares.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February 2024 Reverse Stock Split on March 1, 2024, the number of shares of Class A Common Stock reserved for issuance under the 2021 SI Plan, the Company’s Equity Incentive Plan, and the Company’s Special Talent Incentive Plan (the “Plans”), as well as the number of shares subject to the then-outstanding awards under each of the Plans, were proportionately adjusted, using the 1-for-3 ratio, rounded down to the nearest whole share. In addition, the exercise price of the then-outstanding stock options under each of the Plans was proportionately adjusted, using the 1-for-3 ratio, rounded up to the nearest whole cent.</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the Company had 2,586,876 and 1,067,189 shares of Class A Common Stock available for future issuance under its 2021 SI Plan.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the annual meeting of stockholders held on July 31, 2024, the Company’s stockholders approved (among other proposals) an amendment to the 2021 SI Plan to increase the number of shares of Class A Common Stock available for issuance under the 2021 SI Plan by an additional 88,252,926 shares, subject to proportionate adjustment for stock splits and similar events as provided in the 2021 SI Plan.</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SOP/SOD Incentive Plan</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23, 2023, the Board approved the Company’s SOP/SOD Incentive Plan (“Incentive Plan”) granting: (i) cash bonuses to all active employees of the Company that began employment at the Company prior to December 31, 2022 upon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48285"/>
                <wp:effectExtent l="0" t="0" r="0" b="0"/>
                <wp:wrapNone/>
                <wp:docPr id="43" name="Frame4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commencement of the start of production of the Company’s FF 91 Futurist on or prior to March 31, 2023 and (ii) cash bonuses and equity incentive awards to all active employees of the Company that began employment at the Company prior to December 31, 2022 upon the commencement of the start of delivery of the Company’s FF 91 Futurist on or prior to April 30, 2023 (“Delivery Condition”).</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August 17, 2023, the Board approved an amendment to the Incentive Plan (“Incentive Plan Amendment”) to reflect the updated timing of the previously announced FF 91 2.0 Futurist Alliance phase two of its Delivery Plan from the end of April 2023 to the end of the second quarter 2023 and subsequently to August 2023. The Incentive Plan Amendment is available to all active employees of the Company that began employment at the Company prior to July 1, 2023 and reduced the cash bonuses and milestone based restricted stock units (“RSUs”) by 10% for the internal Company sign-off on requirements to commence phase two of the Company’s Delivery Plan on or prior to July 31, 2023 (“New Delivery Condition”). Pursuant to the Incentive Plan Amendment, RSU awards will be granted after the Company has sufficient additional shares available for such issuance (“Share Issuance Condition”) and cash bonuses will be paid once the Company has received an additional $15.0 million in financings.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Incentive Plan Amendment includes the grant of RSUs to certain executive officers of the Company upon the Company’s satisfaction of the New Delivery Condition and the Share Issuance Condition with a grant date fair market value of approximately $8.0 million, subject to vesting in three annual installments on the first three anniversaries of the grant date, generally subject to the applicable executive’s continuous employment through each applicable vesting date. In addition, subject to the Share Issuance Condition, upon the satisfaction of the New Delivery Condition and continuing for an eight-year period, certain executive officers will annually receive a grant of fully-vested RSUs with a grant date fair market value of $0.8 million, subject to their continued employment through each grant date of the award.</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2024, the Company recognized a reduction of $1.3 million and $1.1 million of cash bonus expense under the Incentive Plan, respectively. As a result of the Share Issuance Condition not yet being met, no RSUs have been granted under the Incentive Plan.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above, during the six months ended June 30, 2024, the Company granted: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763,889 RSUs, which had a weighted-average grant date fair value of $0.19 per share. As of June 30, 2024, the total remaining stock-based compensation expense for unvested RSUs was $0.4 million, which is expected to be recognized over a weighted-average period of 0.72 years.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stock-based compensation expense included in each respective expense category in the Unaudited Condensed Consolidated Statements of Operations and Comprehensive Loss:</w:t>
      </w:r>
    </w:p>
    <w:tbl>
      <w:tblPr>
        <w:tblW w:w="6738" w:type="dxa"/>
        <w:jc w:val="left"/>
        <w:tblInd w:w="0" w:type="dxa"/>
        <w:tblLayout w:type="fixed"/>
        <w:tblCellMar>
          <w:top w:w="28" w:type="dxa"/>
          <w:left w:w="28" w:type="dxa"/>
          <w:bottom w:w="28" w:type="dxa"/>
          <w:right w:w="28" w:type="dxa"/>
        </w:tblCellMar>
      </w:tblPr>
      <w:tblGrid>
        <w:gridCol w:w="835"/>
        <w:gridCol w:w="734"/>
        <w:gridCol w:w="740"/>
        <w:gridCol w:w="211"/>
        <w:gridCol w:w="466"/>
        <w:gridCol w:w="109"/>
        <w:gridCol w:w="109"/>
        <w:gridCol w:w="109"/>
        <w:gridCol w:w="109"/>
        <w:gridCol w:w="211"/>
        <w:gridCol w:w="466"/>
        <w:gridCol w:w="109"/>
        <w:gridCol w:w="211"/>
        <w:gridCol w:w="466"/>
        <w:gridCol w:w="109"/>
        <w:gridCol w:w="109"/>
        <w:gridCol w:w="109"/>
        <w:gridCol w:w="109"/>
        <w:gridCol w:w="211"/>
        <w:gridCol w:w="616"/>
        <w:gridCol w:w="109"/>
        <w:gridCol w:w="109"/>
        <w:gridCol w:w="109"/>
        <w:gridCol w:w="109"/>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 2024</w:t>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60"/>
        <w:jc w:val="left"/>
        <w:rPr>
          <w:rFonts w:ascii="Times New Roman;sans-serif" w:hAnsi="Times New Roman;sans-serif"/>
          <w:b/>
          <w:color w:val="000000"/>
          <w:sz w:val="20"/>
        </w:rPr>
      </w:pPr>
      <w:r>
        <w:rPr>
          <w:rFonts w:ascii="Times New Roman;sans-serif" w:hAnsi="Times New Roman;sans-serif"/>
          <w:b/>
          <w:color w:val="000000"/>
          <w:sz w:val="20"/>
        </w:rPr>
        <w:t>13. Fair Value of Financial Instruments</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 Measurements</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The Company applies the provisions of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xml:space="preserve">, which defines a single authoritative definition of fair value, sets out a framework for measuring fair value and expands on required disclosures about fair value measurements. The provisions of ASC 820, </w:t>
      </w:r>
      <w:r>
        <w:rPr>
          <w:rFonts w:ascii="Times New Roman;sans-serif" w:hAnsi="Times New Roman;sans-serif"/>
          <w:b w:val="false"/>
          <w:i/>
          <w:color w:val="000000"/>
          <w:sz w:val="20"/>
        </w:rPr>
        <w:t>Fair Value Measurement</w:t>
      </w:r>
      <w:r>
        <w:rPr>
          <w:color w:val="000000"/>
        </w:rPr>
        <w:t xml:space="preserve"> </w:t>
      </w:r>
      <w:r>
        <w:rPr>
          <w:rFonts w:ascii="Times New Roman;sans-serif" w:hAnsi="Times New Roman;sans-serif"/>
          <w:b w:val="false"/>
          <w:color w:val="000000"/>
          <w:sz w:val="20"/>
        </w:rPr>
        <w:t xml:space="preserve">relate to financial assets and liabilities as well as other assets and liabilities carried at fair value on a recurring and nonrecurring basis. The standard clarifies that fair value is an exit price representing the amount that would be received to sell an asset or paid to transfer a liability in an orderly transaction between market participants. As such, fair value is a market-based measurement that should be determined based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48285"/>
                <wp:effectExtent l="0" t="0" r="0" b="0"/>
                <wp:wrapNone/>
                <wp:docPr id="44" name="Frame4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assumptions that market participants would use in pricing an asset or liability. As a basis for considering such assumptions, the standard establishes a three-tier value hierarchy, which prioritizes the inputs used in measuring fair value as follows:</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Level 1Valuations for assets and liabilities traded in active exchange markets, or interest in open-end mutual funds that allow a company to sell its ownership interest back at net asset value on a daily basis. Valuations are obtained from readily available pricing sources for market transactions involving identical assets, liabilities, or funds.</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Level 2Valuations for assets and liabilities traded in less active dealer, or broker markets, such as quoted prices for similar assets or liabilities or quoted prices in markets that are not active. Level 2 instruments typically include U.S. Government and agency debt securities and corporate obligations. Valuations are usually obtained through market data of the investment itself as well as market transactions involving comparable assets, liabilities or funds.</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Level 3Valuations for assets and liabilities that are derived from other valuation methodologies, such as option pricing models, discounted cash flow models or similar techniques, and not based on market exchange, dealer, or broker-traded transactions. Level 3 valuations incorporate certain assumptions and projections in determining the fair value assigned to such assets or liabilities.</w:t>
      </w:r>
    </w:p>
    <w:p>
      <w:pPr>
        <w:pStyle w:val="TextBody"/>
        <w:bidi w:val="0"/>
        <w:spacing w:lineRule="auto" w:line="288" w:before="160" w:after="283"/>
        <w:ind w:left="0" w:right="0" w:firstLine="475"/>
        <w:jc w:val="both"/>
        <w:rPr>
          <w:rFonts w:ascii="Times New Roman;sans-serif" w:hAnsi="Times New Roman;sans-serif"/>
          <w:b w:val="false"/>
          <w:color w:val="000000"/>
          <w:sz w:val="20"/>
        </w:rPr>
      </w:pPr>
      <w:r>
        <w:rPr>
          <w:rFonts w:ascii="Times New Roman;sans-serif" w:hAnsi="Times New Roman;sans-serif"/>
          <w:b w:val="false"/>
          <w:color w:val="000000"/>
          <w:sz w:val="20"/>
        </w:rPr>
        <w:t>Fair value estimates are made at a specific point in time based on relevant market information and information about the financial or nonfinancial asset or liability.</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Notes Payable</w:t>
      </w:r>
    </w:p>
    <w:p>
      <w:pPr>
        <w:pStyle w:val="TextBody"/>
        <w:bidi w:val="0"/>
        <w:spacing w:lineRule="auto" w:line="288" w:before="160" w:after="283"/>
        <w:ind w:left="0" w:right="0" w:firstLine="450"/>
        <w:jc w:val="both"/>
        <w:rPr/>
      </w:pPr>
      <w:r>
        <w:rPr>
          <w:rFonts w:ascii="Times New Roman;sans-serif" w:hAnsi="Times New Roman;sans-serif"/>
          <w:b w:val="false"/>
          <w:color w:val="000000"/>
          <w:sz w:val="20"/>
        </w:rPr>
        <w:t xml:space="preserve">The Company has elected to measure certain notes payable and related party notes payable at fair value. Specifically, the SPA Notes as they contain embedded liquidation premiums with conversion rights that represent embedded derivatives (see Note 7, </w:t>
      </w:r>
      <w:r>
        <w:rPr>
          <w:rFonts w:ascii="Times New Roman;sans-serif" w:hAnsi="Times New Roman;sans-serif"/>
          <w:b w:val="false"/>
          <w:i/>
          <w:color w:val="000000"/>
          <w:sz w:val="20"/>
        </w:rPr>
        <w:t>Notes Payable</w:t>
      </w:r>
      <w:r>
        <w:rPr>
          <w:color w:val="000000"/>
        </w:rPr>
        <w:t xml:space="preserve"> </w:t>
      </w:r>
      <w:r>
        <w:rPr>
          <w:rFonts w:ascii="Times New Roman;sans-serif" w:hAnsi="Times New Roman;sans-serif"/>
          <w:b w:val="false"/>
          <w:color w:val="000000"/>
          <w:sz w:val="20"/>
        </w:rPr>
        <w:t xml:space="preserve">and Note 8, </w:t>
      </w:r>
      <w:r>
        <w:rPr>
          <w:rFonts w:ascii="Times New Roman;sans-serif" w:hAnsi="Times New Roman;sans-serif"/>
          <w:b w:val="false"/>
          <w:i/>
          <w:color w:val="000000"/>
          <w:sz w:val="20"/>
        </w:rPr>
        <w:t>Related Party Transactions</w:t>
      </w:r>
      <w:r>
        <w:rPr>
          <w:rFonts w:ascii="Times New Roman;sans-serif" w:hAnsi="Times New Roman;sans-serif"/>
          <w:b w:val="false"/>
          <w:color w:val="000000"/>
          <w:sz w:val="20"/>
        </w:rPr>
        <w:t>) and the Unsecured Convertible Notes as they can be exchanged into an SPA Note. The Company used a binomial lattice model and discounted cash flow methodology to value the SPA Notes. The significant assumptions used in the models include the volatility of the Class A Common Stock, the Company’s expectations around the full ratchet trigger, the Company’s debt discount rate based on a CCC rating, annual dividend yield, and the expected life of the instrument. Fair value measurements associated with the notes payable represent Level 3 valuations under the fair value hierarchy.</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adjustments related to notes payables were recorded in Change in fair value measurements on the Unaudited Condensed Consolidated Statements of Operations and Comprehensive Loss.</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SPA Warrants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to measure the SPA Warrants at fair value. The Company uses a Monte Carlo simulation model to measure the fair value of the SPA Warrants, where the significant assumptions used include the volatility of the Company’s Class A Common Stock, the Company’s expectations around the full ratchet trigger, the contractual term of the SPA Warrants, the risk-free rate and annual dividend yield. Fair value measurements associated with the liability-classified warrants represent Level 3 valuations under the fair value hierarchy.</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Public and Private Warrants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Upon the closing of the Business Combination, the Company assumed 95,740 Public Warrants and 2,478 Private Warrants from PSAC. The Company also issued 334 Private Warrants to settle related party notes of PSAC. The Public Warrants are indexed to the Company’s own stock and, as such, meet the scope exception in accordance with ASC 815-40 to be classified in equity. The Private Warrants are classified as liabilities and the fair value is included in Warrant Liabilities on the Unaudited Condensed Consolidated Balance Sheets. The Company valued the Private Warrants using a binomial lattice model. Inherent in a binomial lattice model are assumptions related to risk free rate, annual dividend yield, expected warrant life, and volatility of the Company's stock. The Company estimated the fair value of the Private Warrants to be $0.1 million as of June 30, 2024 and December 31, 2023. Changes in the fair value of the Private Warrants are recorded in Change in Fair Value Measurements in the Company’s Unaudited Condensed Consolidated Statements of Operations and Comprehensive Loss.</w:t>
      </w:r>
    </w:p>
    <w:p>
      <w:pPr>
        <w:pStyle w:val="TextBody"/>
        <w:bidi w:val="0"/>
        <w:spacing w:lineRule="auto" w:line="288" w:before="1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measurements associated with the Private Warrants liabilities represent Level 3 valuations under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48285"/>
                <wp:effectExtent l="0" t="0" r="0" b="0"/>
                <wp:wrapNone/>
                <wp:docPr id="45" name="Frame4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Liabilities due to Insufficient Authorized Shares </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From time to time, certain of the Company’s equity-linked financial instruments may be classified as derivative liabilities under ASC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xml:space="preserve">, due to the Company having insufficient authorized shares to fully settle the equity-linked financial instruments in shares. See Note 11, </w:t>
      </w:r>
      <w:r>
        <w:rPr>
          <w:rFonts w:ascii="Times New Roman;sans-serif" w:hAnsi="Times New Roman;sans-serif"/>
          <w:b w:val="false"/>
          <w:i/>
          <w:color w:val="000000"/>
          <w:sz w:val="20"/>
        </w:rPr>
        <w:t>Stockholders’ Equity</w:t>
      </w:r>
      <w:r>
        <w:rPr>
          <w:rFonts w:ascii="Times New Roman;sans-serif" w:hAnsi="Times New Roman;sans-serif"/>
          <w:b w:val="false"/>
          <w:color w:val="000000"/>
          <w:sz w:val="20"/>
        </w:rPr>
        <w:t>.</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Recurring Fair Value Measurements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financial liabilities are classified in their entirety based on the lowest level of input that is significant to the fair value measurement. The following tables present financial liabilities remeasured on a recurring basis by level within the fair value hierarchy:</w:t>
      </w:r>
    </w:p>
    <w:tbl>
      <w:tblPr>
        <w:tblW w:w="4646" w:type="dxa"/>
        <w:jc w:val="left"/>
        <w:tblInd w:w="0" w:type="dxa"/>
        <w:tblLayout w:type="fixed"/>
        <w:tblCellMar>
          <w:top w:w="28" w:type="dxa"/>
          <w:left w:w="28" w:type="dxa"/>
          <w:bottom w:w="28" w:type="dxa"/>
          <w:right w:w="28" w:type="dxa"/>
        </w:tblCellMar>
      </w:tblPr>
      <w:tblGrid>
        <w:gridCol w:w="603"/>
        <w:gridCol w:w="530"/>
        <w:gridCol w:w="532"/>
        <w:gridCol w:w="211"/>
        <w:gridCol w:w="406"/>
        <w:gridCol w:w="109"/>
        <w:gridCol w:w="109"/>
        <w:gridCol w:w="109"/>
        <w:gridCol w:w="109"/>
        <w:gridCol w:w="211"/>
        <w:gridCol w:w="406"/>
        <w:gridCol w:w="109"/>
        <w:gridCol w:w="109"/>
        <w:gridCol w:w="109"/>
        <w:gridCol w:w="109"/>
        <w:gridCol w:w="224"/>
        <w:gridCol w:w="497"/>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Warrant liabilities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Notes payable</w:t>
            </w:r>
            <w:r>
              <w:rPr>
                <w:rFonts w:ascii="Times New Roman;sans-serif" w:hAnsi="Times New Roman;sans-serif"/>
                <w:b w:val="false"/>
                <w:color w:val="000000"/>
                <w:sz w:val="13"/>
              </w:rPr>
              <w:t>1</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Includes both related party and non-related party balances for the Company’s notes payable and warrant liabilities.</w:t>
      </w:r>
    </w:p>
    <w:tbl>
      <w:tblPr>
        <w:tblW w:w="4571" w:type="dxa"/>
        <w:jc w:val="left"/>
        <w:tblInd w:w="0" w:type="dxa"/>
        <w:tblLayout w:type="fixed"/>
        <w:tblCellMar>
          <w:top w:w="28" w:type="dxa"/>
          <w:left w:w="28" w:type="dxa"/>
          <w:bottom w:w="28" w:type="dxa"/>
          <w:right w:w="28" w:type="dxa"/>
        </w:tblCellMar>
      </w:tblPr>
      <w:tblGrid>
        <w:gridCol w:w="576"/>
        <w:gridCol w:w="506"/>
        <w:gridCol w:w="508"/>
        <w:gridCol w:w="211"/>
        <w:gridCol w:w="406"/>
        <w:gridCol w:w="109"/>
        <w:gridCol w:w="109"/>
        <w:gridCol w:w="109"/>
        <w:gridCol w:w="109"/>
        <w:gridCol w:w="211"/>
        <w:gridCol w:w="406"/>
        <w:gridCol w:w="109"/>
        <w:gridCol w:w="109"/>
        <w:gridCol w:w="109"/>
        <w:gridCol w:w="109"/>
        <w:gridCol w:w="224"/>
        <w:gridCol w:w="497"/>
        <w:gridCol w:w="154"/>
      </w:tblGrid>
      <w:tr>
        <w:trPr/>
        <w:tc>
          <w:tcPr>
            <w:tcW w:w="57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not any transfers of assets and liabilities between Level 1, Level 2 and Level 3 of the fair value measurement hierarchy during the three and six months ended June 30, 2024 or the year ended December 31, 2023. The carrying amounts of the Company’s financial assets and liabilities, including cash, restricted cash, deposits, accounts payable, accrued liabilities and certain notes payable approximate fair value because of their short-term nature or contractually defined value.</w:t>
      </w:r>
    </w:p>
    <w:p>
      <w:pPr>
        <w:pStyle w:val="TextBody"/>
        <w:bidi w:val="0"/>
        <w:spacing w:lineRule="auto" w:line="288" w:before="160" w:after="283"/>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of Level 3 fair value measurements:</w:t>
      </w:r>
    </w:p>
    <w:tbl>
      <w:tblPr>
        <w:tblW w:w="7256" w:type="dxa"/>
        <w:jc w:val="left"/>
        <w:tblInd w:w="0" w:type="dxa"/>
        <w:tblLayout w:type="fixed"/>
        <w:tblCellMar>
          <w:top w:w="28" w:type="dxa"/>
          <w:left w:w="28" w:type="dxa"/>
          <w:bottom w:w="28" w:type="dxa"/>
          <w:right w:w="28" w:type="dxa"/>
        </w:tblCellMar>
      </w:tblPr>
      <w:tblGrid>
        <w:gridCol w:w="1451"/>
        <w:gridCol w:w="1276"/>
        <w:gridCol w:w="1278"/>
        <w:gridCol w:w="437"/>
        <w:gridCol w:w="969"/>
        <w:gridCol w:w="228"/>
        <w:gridCol w:w="109"/>
        <w:gridCol w:w="109"/>
        <w:gridCol w:w="109"/>
        <w:gridCol w:w="250"/>
        <w:gridCol w:w="857"/>
        <w:gridCol w:w="183"/>
      </w:tblGrid>
      <w:tr>
        <w:trPr/>
        <w:tc>
          <w:tcPr>
            <w:tcW w:w="145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Warrant Liabilities</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Notes Payable</w:t>
            </w:r>
            <w:r>
              <w:rPr>
                <w:rFonts w:ascii="Times New Roman;sans-serif" w:hAnsi="Times New Roman;sans-serif"/>
                <w:b/>
                <w:color w:val="000000"/>
                <w:sz w:val="12"/>
              </w:rPr>
              <w:t>1</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86,712 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Exercises</w:t>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measurements</w:t>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Conversions of notes to Class A Common Stock</w:t>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Balance as of June 30, 2024</w:t>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74,403 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Includes both related party and non-related party balances for the Company’s notes payable and warrant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14. Net Loss per Share</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Loss Per Share Attributable to Common Stockholders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loss per share attributable to common stockholders is calculated by dividing net loss attributable to common stockholders by the weighted-average number of shares to be issued under the commitment to issue shares, as these shares are issuable for no consideration. Diluted net loss per share attributable to common stockholders adjusts the basic net loss per share attributable to common stockholders and the weighted-average number of shares issued for potentially dilutive instruments.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loss per common share was the same for the Class A Common Stock and Class B Common Stock because they are entitled to the same liquidation and dividend rights and are therefore combined in the Company’s Unaudited Condensed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48285"/>
                <wp:effectExtent l="0" t="0" r="0" b="0"/>
                <wp:wrapNone/>
                <wp:docPr id="46" name="Frame4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Statements of Operations and Comprehensive Loss. Because the Company reported net losses for all periods presented, all potentially dilutive Common Stock equivalents were determined to be antidilutive for those periods and have been excluded from the calculation of net loss per share.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potentially dilutive shares that were excluded from the computation of diluted net loss per share of Common Stock attributable to Common Stock stockholders because their effect was anti-dilutive:</w:t>
      </w:r>
    </w:p>
    <w:tbl>
      <w:tblPr>
        <w:tblW w:w="10205" w:type="dxa"/>
        <w:jc w:val="left"/>
        <w:tblInd w:w="0" w:type="dxa"/>
        <w:tblLayout w:type="fixed"/>
        <w:tblCellMar>
          <w:top w:w="28" w:type="dxa"/>
          <w:left w:w="28" w:type="dxa"/>
          <w:bottom w:w="28" w:type="dxa"/>
          <w:right w:w="28" w:type="dxa"/>
        </w:tblCellMar>
      </w:tblPr>
      <w:tblGrid>
        <w:gridCol w:w="1515"/>
        <w:gridCol w:w="1264"/>
        <w:gridCol w:w="1267"/>
        <w:gridCol w:w="647"/>
        <w:gridCol w:w="539"/>
        <w:gridCol w:w="149"/>
        <w:gridCol w:w="149"/>
        <w:gridCol w:w="149"/>
        <w:gridCol w:w="149"/>
        <w:gridCol w:w="533"/>
        <w:gridCol w:w="443"/>
        <w:gridCol w:w="149"/>
        <w:gridCol w:w="109"/>
        <w:gridCol w:w="109"/>
        <w:gridCol w:w="109"/>
        <w:gridCol w:w="593"/>
        <w:gridCol w:w="593"/>
        <w:gridCol w:w="147"/>
        <w:gridCol w:w="136"/>
        <w:gridCol w:w="136"/>
        <w:gridCol w:w="136"/>
        <w:gridCol w:w="488"/>
        <w:gridCol w:w="488"/>
        <w:gridCol w:w="208"/>
      </w:tblGrid>
      <w:tr>
        <w:trPr/>
        <w:tc>
          <w:tcPr>
            <w:tcW w:w="1515"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4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upon conversion of SPA Notes and settlement of make-whole provisions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172,138,338 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1,299,801 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172,138,338 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1,299,801 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upon conversion of Unsecured Convertible Notes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35,910,221 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35,910,221 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upon exercise of SPA Warrants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568,738 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389,881 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568,738 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389,881 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warrants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9,139,280 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122,728 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9,139,280 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122,728 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awards – Options </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98,588 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154,925 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98,588 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154,925 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awards – RSUs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553,679 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83,880 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553,679 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83,880 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98,088 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98,088 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98,088 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98,088 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218,507,396 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2,149,767 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218,507,396 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2,149,767 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15. Subsequent Events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evaluated subsequent events and transactions that occurred after the balance sheet date up to the date that the Unaudited Condensed Consolidated Financial Statements were issued. Other than as described below, the Company did not identify any subsequent events that would have required adjustment or disclosure in the Unaudited Condensed Consolidated Financial Statements.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generally required to maintain certain insurance coverage that, as of and subsequent to June 30, 2024, lapsed due to lack of payment.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Subsequent Unsecured Convertible Notes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June 30, 2024, the Company issued Unsecured Convertible Notes to a third party totaling $3.3 million with due dates ranging from October 1, 2024 through October 27, 2024 at 4.27% interest. Principal and accrued interest are convertible at the option of the third party into either (a) Common Stock of the Company at a conversion price per share equal to the closing stock price on the trading day immediately prior to the day on which the lender provides a conversion notice or (b) unsecured convertible notes of the Company pursuant to the terms contained in the Unsecured SPA.</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 2024, Senyun exercised its right to convert the outstanding balance of its Unsecured Convertible Notes into Unsecured SPA Notes pursuant to terms contained in the Unsecured Convertible Notes. Senyun converted its outstanding principal balance of $19.9 million into $21.1 million Unsecured SPA Notes. </w:t>
      </w:r>
    </w:p>
    <w:p>
      <w:pPr>
        <w:pStyle w:val="TextBody"/>
        <w:bidi w:val="0"/>
        <w:spacing w:lineRule="auto" w:line="288" w:before="160" w:after="283"/>
        <w:ind w:left="0" w:right="0" w:hanging="90"/>
        <w:jc w:val="both"/>
        <w:rPr>
          <w:rFonts w:ascii="Times New Roman;sans-serif" w:hAnsi="Times New Roman;sans-serif"/>
          <w:b w:val="false"/>
          <w:i/>
          <w:color w:val="000000"/>
          <w:sz w:val="20"/>
        </w:rPr>
      </w:pPr>
      <w:r>
        <w:rPr>
          <w:rFonts w:ascii="Times New Roman;sans-serif" w:hAnsi="Times New Roman;sans-serif"/>
          <w:b w:val="false"/>
          <w:i/>
          <w:color w:val="000000"/>
          <w:sz w:val="20"/>
        </w:rPr>
        <w:t>Subsequent SPA Activity</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Subsequent to June 30, 2024, the Company received additional funding through additional SPA Notes totaling $23.4 million in aggregate principal amount. In addition, $8.8 million of principal and $1.6 million of interest of SPA Notes was converted into 46.2 million shares of Class A Common Stock.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Subsequent Waiver Agreement</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 2024, the Company entered into that certain Waiver Agreement (the “Waiver Agreement”) with certain investors (each, a “Holder” and, collectively, the “Holders”), who (a) beneficially own and hold one or more of the following securities of the Company: (i) certain secured convertible notes of the Company (including any secured convertible notes issued in exchange therefor, collectively, the “Original Secured Notes”) that were issued pursuant to the Secured SPA, and (ii) certain unsecured convertible notes of the Company (including any unsecured convertible notes issued in exchange therefore,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48285"/>
                <wp:effectExtent l="0" t="0" r="0" b="0"/>
                <wp:wrapNone/>
                <wp:docPr id="47" name="Frame4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collectively, the “Original Unsecured Notes”, and together with the Original Secured Notes, the “Original Notes”) that were issued pursuant to the Unsecured SPA and (b) have the right to acquire one or more of: (i) certain additional secured convertible notes issuable in accordance with the terms to the Secured SPA Notes and (ii) certain additional unsecured convertible notes (the “Additional Unsecured Notes”, and together with the Additional Secured Notes, the “Additional Notes”, and together with the Original Notes, the “Updated SPA Notes”), issuable pursuant to the Unsecured SPA.</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Waiver Agreement, the Company had certain obligations under the Updated SPA Notes to pay accrued and unpaid interest and a Make-Whole Amount in cash in connection with conversions of such Updated SPA Notes. In an effort to reduce the Company’s ongoing cash obligations pursuant to such Updated SPA Notes and to encourage the continued conversion of the Updated SPA Notes into shares of Common Stock, the Company has agreed to make certain voluntary adjustments to the Updated SPA Notes as described below. Pursuant to the Waiver Agreement, the Company irrevocably agreed that with respect to each conversion of any Updated SPA Note on or after the effective date of the Waiver Agreement, if the Holder delivers a conversion notice (the “Notice of Conversion”) to the Company at a time that 90% of the VWAP (as defined in the SPA Notes) of the Company’s common stock as of the trading day ended immediately prior to the time at which such Notice of Conversion is delivered to the Company (each, an “Adjustment Price”) is less than the conversion price then in effect pursuant to the applicable Updated SPA Note (the “Updated Conversion Price”), the Company shall voluntary reduce the Updated Conversion Price solely with respect to such portion of such Updated SPA Note to be converted in accordance with such Notice of Conversion (and not with respect to any other portion of such Updated SPA Note) to such Adjustment Price (the “Voluntary Adjustment”). The Company also agreed, in exchange for the Holder’s waiver of any accrued and unpaid interest (if any, as of such conversion date) (an “Interim Interest Waiver”) with respect to such aggregate principal of such SPA Note to be converted pursuant to such applicable Notice of Conversion (the “Full Voluntary Adjustment”), to (i) further reduce such Adjustment Price in respect of a Voluntary Adjustment (as adjusted, each a “Full Adjustment Price”); and (ii) issue a number of shares of the Company’s common stock to the Holder such that the aggregate number of shares of common stock to be issued to the Holder in such conversion at such Full Adjustment Price equals the quotient of (x) the sum of (i) such aggregate principal of such SPA Note to be converted pursuant to such applicable Notice of Conversion and (ii) any accrued and unpaid interest thereon, divided by (y) such Adjustment Price prior to any Interim Interest Waiver. Such Full Voluntary Adjustment shall be applicable until the fifth (5th) business day after the Company delivers written notice to the Holder electing to revoke such election.</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Waiver Agreement, the Holder irrevocably agreed that instead of receiving the accrued and unpaid interest, each holder of any such applicable Updated SPA Note shall receive upon conversion of such Updated SPA Note an amount in cash equal to all accrued and unpaid interest on such Updated SPA Note to such date of conversion (or such cash amount shall be deemed satisfied in full without any payment of cash by the Company if the Company effects a Full Voluntary Adjustment with respect to the applicable Notice of Conversion) with respect to the applicable Notice of Conversion.</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Further pursuant to the Waiver Agreement, a Holder’s right to purchase any Additional Notes in any agreement with the Company (including, without limitation, the Secured SPA and/or the Unsecured SPA, as applicable) shall be extended until the first (1st) anniversary of the effective date of the Waiver Agreement.</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intends to incorporate the changes in the Waiver Agreement into certain of its other existing notes and notes issuable in the future pursuant to existing purchase agreements, as applicable, through one or more waivers, amendments and/or exchange agreements, as applicable.</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Subsequent Lease and Other</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July 11, 2024, Faraday&amp;Future, Inc. (“F&amp;F”), a California corporation and a wholly owned subsidiary of the Company, entered into a $4.9 million lease financing arrangement under a Master Lease Agreement (the “Master Lease”) with UTICA LEASECO, LLC (“Utica”). Under the Master Lease, Utica is leasing to F&amp;F certain machinery, vehicles, equipment and/or other assets (the “Equipment”) described in the equipment schedule dated as of July 11, 2024 (the “Equipment Schedule”) and F&amp;F will pay Utica 51 monthly payments of $0.1 million. The Master Lease has a four-year term, subject to an end of term buyout option for $0.5 million, under certain conditions. In addition, after the 19th month, F&amp;F may terminate the lease under certain conditions and upon payment of certain fees.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Master Lease, F&amp;F retains title to the Equipment, granting Utica a first priority security interest therein. The Master Lease contains customary representations and warranties, covenants relating to the use and maintenance of the Equipment, indemnification and events of default, including payment defaults, breach of representations and warranties, covenant defaults, cross-defaults, and certain bankruptcy and insolvency events, customary for leases of this nature. The Master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48285"/>
                <wp:effectExtent l="0" t="0" r="0" b="0"/>
                <wp:wrapNone/>
                <wp:docPr id="48" name="Frame4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Lease further grants to Utica certain remedies upon a default, including the right to cancel the Master Lease, to accelerate all rent payments for the remainder of the term of the Master Lease, to recover liquidated damages, or to repossess and re-lease, sell or otherwise dispose of the Equipment.</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Master Lease and all related arrangements are guaranteed by the Company under a Master Lease Guaranty (the “Guaranty”). Under the Guaranty, the Company has unconditionally guaranteed the obligations of F&amp;F under the Master Lease and related agreements for the benefit of the Utica.</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July 11, 2024, F&amp;F and Utica entered into a Post-Closing Agreement, pursuant to which F&amp;F agreed to provide Utica rent-free access to the Company’s Hanford location (the “Hanford Premises”) and Gardena location (the “Gardena Premises”) for 120 days (the “Hanford Premises Access Period” and the “Gardena Premises Access Period”), in order to reclaim the collateral under the Master Lease in the event of a default. F&amp;F agreed to make immediate prepayments of $0.1 million and $1.4 million for the Hanford Premises Access Period and the Gardena Premises Access Period, respectively, to be applied as set forth in the Post-Closing Agreement. F&amp;F agreed to make an additional prepayment of $0.1 million under the Master Lease, also to be applied in accordance with the Post-Closing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48285"/>
                <wp:effectExtent l="0" t="0" r="0" b="0"/>
                <wp:wrapNone/>
                <wp:docPr id="49" name="Frame4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All references in this report to “FF,” the “Company,” “we,” “us,” or “our” mean Faraday Future Intelligent Electric Inc., together with its consolidated subsidiaries. Unless the context suggests otherwise, references to “Faraday Future Intelligent Electric Inc.” mean the parent company without its subsidiaries.</w:t>
      </w:r>
    </w:p>
    <w:p>
      <w:pPr>
        <w:pStyle w:val="TextBody"/>
        <w:bidi w:val="0"/>
        <w:spacing w:lineRule="auto" w:line="288" w:before="160" w:after="283"/>
        <w:ind w:left="0" w:right="0" w:firstLine="504"/>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is intended to help the reader understand FF’s results of operations and financial condition. This discussion and analysis is provided as a supplement to, and should be read in conjunction with FF’s Unaudited Condensed Consolidated Financial Statements and Notes thereto included elsewhere in this quarterly report on Form 10-Q (this “Report” or this “Form 10-Q”). Some of the information contained in this discussion and analysis or set forth elsewhere in this Report, including information with respect to FF’s plans and strategy for FF’s business, includes forward-looking statements that involve risks and uncertainties. FF’s actual results may differ materially from management’s expectations as a result of various factors, including but not limited to those discussed in the sections entitled “Risk Factors” in the Company’s Annual Report on Form 10-K filed on May 28, 2024 (as amended, the “Form 10-K”), “Risk Factors” in the Quarterly Report on Form 10-Q for the quarter ended March 31, 2024 (the “Q1 2024 10-Q”) and “Cautionary Note Regarding Forward-Looking Statements” below. The objective of this section is to provide investors an understanding of the financial drivers and levers in FF’s business and describe the financial performance of the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includes forward-looking statements within the meaning of Section 27A of the Securities 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There can be no assurance that actual results will not materially differ from expectations. Such statements include, but are not limited to, any statements relating to our financial and business performance, market acceptance and success of our business model, our ability to expand the scope of our offerings, and our ability to comply with the extensive, complex, and evolving regulatory requirements. These statements are based on management's current expectations, but actual results may differ materially due to various factors.</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The forward-looking statements contained in this Report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but are not limited to, those factors described under the section titled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the Form 10-K, as updated in the Q1 2024 10-Q. Should one or more of these risks or uncertainties materialize, or should any of our assumptions prove incorrect, actual results may vary in material respects from those projected in these forward-looking statements. We undertake no obligation (and expressly disclaim any obligation) to update or revise any forward-looking statements, whether as a result of new information, future events or otherwise, except as may be required under applicable securities laws. These risks and others described under the section titled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the Form 10-K, as updated in the Q1 2024 10-Q, may not be exhaustive.</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Report. In addition, even if our results or operations, financial condition and liquidity, and developments in the industry in which we operate are consistent with the forward-looking statements contained in this Report, those results or developments may not be indicative of results or developments in subsequent periods.</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 xml:space="preserve">Availability of Information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We make available through our company website, free of charge, our company filings with the Securities and Exchange Commission (the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website link to our SEC filings is investors.ff.com/financial-information/sec-filings.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use press releases, our Investor Relations website, investor.ff.com, and certain social media accounts as a means of disclosing information and observations about the Company and its business that may be of interest or material to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48285"/>
                <wp:effectExtent l="0" t="0" r="0" b="0"/>
                <wp:wrapNone/>
                <wp:docPr id="50" name="Frame5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investors, material, non-public information, and for complying with our disclosure obligations under Regulation FD: Instagram, Facebook, X, LinkedIn, YouTube, FF App, WeChat, Weibo, Toutiao, Douyin, and Futu. The information and observations we post through these social media channels may be deemed material. Accordingly, investors should monitor the Investor Relations website and these social media channels, in addition to following our press releases, filings with the SEC, public conference calls, presentations, and webcasts. The social media channels that we intend to use as a means of disclosing the information described above may be updated from time to time. The information contained on, or that may be accessed through, our website or social media channels, is not incorporated by reference into, and is not a part of, this Report or any other report or document filed with the SEC. Any reference to our website in this Report is intended to be an inactive textual reference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California-based, global, shared, intelligent, mobility ecosystem company is a global, shared, intelligent, mobility ecosystem company with a vision to disrupt the automotive industry.. The Company is a holding company incorporated in the State of Delaware on February 11, 2020, conducts its operations through the subsidiaries of FF Intelligent Mobility Global Holdings Ltd. (“Legacy FF”), which was founded in 2014 and is headquartered in Los Angeles, California. Our Class A Common Stock and Public Warrants trade on The Nasdaq Capital Market (“Nasdaq”) under the ticker symbols “FFIE” and “FFIEW,” respectively.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 designs and engineers next-generation intelligent, connected, electric vehicles. We manufacture vehicles at our production facility in Hanford, California (the “FF ieFactory California”), with additional future production capacity needs addressed through a contract manufacturing agreement with Myoung Shin Co., Ltd. (“Myoung Shin”), an automotive manufacturer headquartered in South Korea. We have additional engineering, sales, and operational capabilities in China and are exploring opportunities for potential manufacturing capabilities in China through a joint venture or other arrangements.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our founding, we have created major innovations in technology, products, and a user-centered business model. We believe these innovations will enable us to set new standards in luxury and performance that will redefine the future of intelligent mobility.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following combination of capabilities of our products, technology, the upgrade to FF Product and Technology Upgrade Generation 2.0 (PT Gen 2.0), team, and business model distinguish us from our competitors: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We have designed and developed a breakthrough mobility platform — our proprietary Variable Platform Architecture (“VPA”).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Our propulsion system provides a competitive edge in acceleration and range, enabled by an expected industry-leading inverter design, and propulsion system.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Our advanced Internet Artificial Intelligence (“I.A.I.”) technology offers high-performance computing, high speed internet connectivity, Over-the-Air (“OTA”) updating, an open ecosystem for third-party application integration, and an advanced autonomous driving-ready system, in addition to several other proprietary innovations that enable us to build an advanced, highly-personalized user experience.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Since inception, we have developed a portfolio of intellectual property, established our supply chain, and assembled a global team of automotive and technology experts and innovators to achieve our goal of redefining the future of the automotive industry. As of June 30, 2024, we have been granted approximately 660 patents globally.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We believe that the FF 91 Futurist (the “FF 91,” “FF 91 Futurist,” or “FF 91 2.0 Futurist Alliance”) is the first ultra-luxury electric vehicle to offer a highly-personalized, fully-connected user experience for driver and passengers. We started production on the first FF 91 Futurist and delivered the first FF 91 2.0 Futurist Alliance in 2023.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Our planned B2C passenger vehicle pipeline includes the FF91 series, the FF81 series, and the FF71 series.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Subject to future financing, we plan to produce and deliver our second passenger vehicle, the FF 81, which is expected to be designed to be a premium, mass-market electric vehicle positioned to compete against the Tesla Model S, Tesla Model X, the BMW 5-series, the Range Rover Sport and similar vehicles.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Subject to future financing, we plan to develop a mass-market passenger vehicle, the FF 71. We expect to start production and deliveries of the FF 71 subsequent to production and deliveries of the FF 81. The FF 71 is expected to be designed to integrate full connectivity and advanced technology into a smaller vehicle size and is positioned to compete with vehicles such as the Tesla Model 3, Tesla Model Y, and the BMW 3-series.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48285"/>
                <wp:effectExtent l="0" t="0" r="0" b="0"/>
                <wp:wrapNone/>
                <wp:docPr id="51" name="Frame5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Subject to future financing, we plan to develop a Smart Last Mile Delivery (“SLMD”) vehicle to address the high-growth, last-mile delivery opportunity, particularly in Europe, China and the U.S. Our modular VPA facilitates entry into the last-mile delivery segment, allowing us to expand our total addressable market and avenues of growth.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We have updated our corporate strategy to include a China-U.S. Automotive Bridge Strategy (the “Bridge Strategy”). The Bridge Strategy marks a return to our earlier two-brand strategy, which seeks to distinguish between the spire segment (FF brand) and mass market segment (second brand) of the EV industry. We intend to seek to establish a second mass market-focused brand by working with one or more China-based OEMs and parts suppliers (“Bridge Strategy Partners”) and to procure quasi-complete components and parts that we would enhance by adding AI and Vehicle Software technology and product R&amp;D found in our flagship FF 91 brand. This could create a compelling value proposition to consumers in the AI EV mass-market, which is a market that currently has limited offerings. Via the Bridge Strategy, there is the potential to materially accelerate the production timeline for a mass-market AI EV. While the mechanical platform of the mass-market product would be from Bridge Strategy Partners, we intend to seek to utilize a component mix sufficient to reach part level duty by fulfilling the criteria for part supplier and manufacturing requirement. For a discussion of material risks relating to the Bridge Strategy, please see Part II, Item 1A., Risk Factors – “Our latest business strategy, which we refer to as the Bridge Strategy, is subject to numerous risks and uncertainties” in the Q1 2024 10-Q.</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FF vehicles are expected to be available for sale in the U.S., China and the Middle East, with potential expansion to European markets.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Emerging Growth Company Status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Section 102(b)(1) of the Jumpstart Our Business Startups Act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Any such election to not take advantage of the extended transition period is irrevocable.</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Section 2(a) of the Securities Act and have elected to take advantage of the benefits of the extended transition period for new or revised financial accounting standards.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Segment Information</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26, 2023, after an assessment by the Board of Directors (the “Board”) of the Company’s management structure, the Board approved our Chief Product and User Ecosystem Officer (Mr. Yueting Jia, who is also FF’s founder) reporting directly to the Board. In addition, the Board approved our product, mobility ecosystem, I.A.I., and advanced research and development (“R&amp;D”) technology departments reporting directly to the Chief Product and User Ecosystem Officer. The Board also approved our user ecosystem, capital markets, human resources and administration, corporate strategy and China departments reporting to both the Chief Product and User Ecosystem Officer and the Global Chief Executive Officer, subject to processes and controls to be determined by the Board after consultation with our management. Based on his responsibilities within the Company, the Board determined that Mr. Jia is an “officer” of the Company within the meaning of Section 16 of the Exchange Act and an “executive officer” of the Company under Rule 3b-7 under the Exchange Act.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determined that our co-Chief Operating Decision Makers (“co-CODMs”) are both our Global CEO and our Chief Product and User Ecosystem Officer. We have determined that we operate in one operating segment and one reportable segment, as the co-CODMs review financial information presented on a consolidated basis for purposes of making operating decisions, allocating resources, and evaluating financial performance. Substantially all of our consolidated operating activities, including our long-lived assets, are located within the United States. Given our early-revenue operating stage, we currently have no concentration exposure to products, services or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48285"/>
                <wp:effectExtent l="0" t="0" r="0" b="0"/>
                <wp:wrapNone/>
                <wp:docPr id="52" name="Frame5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Recent Developments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these additional milestones and events took place: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As of April 1, 2024, we completed our voluntary recall in the United States through an OTA software update.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We announced, on April 9, 2024, the establishment of a Middle Eastern sales entity in Dubai, U.A.E.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On April 22, 2024, we announced Werner Wilhelm as Executive Launch Director.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On May 29, 2024, we announced plans to share the details of the Bridge Strategy in the following months.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In June 2024, we determined that the previously announced future FF 91 Alliance Edition users, Rem D Koolhaas and Emma Hernan, would not complete the acquisition of their respective FF cars, due to personal reasons.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period subsequent to June 30, 2024, these additional milestones and events took place: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On July 20, 2024, we held an interactive investor Community Day at our Los Angeles headquarters.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In July 2024, we unveiled its innovative Bridge Strategy, making a return to a two-brand approach.</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Governance Developments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On June 9, 2024, Li Han resigned as a director of the Company for personal reasons. Ms. Han also served as a member of the Nominating and Corporate Governance Committee.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On July 31, 2024, we announced the passage of each of the proposals presented at the annual meeting of stockholders, including the re-election of all members of the Board.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On April 18, 2024, Nasdaq notified us that since we had not yet filed our Form 10-K for the year ended December 31, 2023, we no longer complied with Listing Rule 5250(c)(1). Pursuant to Listing Rule 5810(c)(2)(A), this deficiency was a basis for delisting (in addition to our failure to maintain a minimum bid price of at least $1.00 per share for the prior 30-consecutive-trading-day period from November 9, 2023 to December 27, 2023, as previously disclosed). We requested and were granted a hearing from the Nasdaq Hearings Panel. On June 26, 2024, Nasdaq notified us that the Nasdaq Hearings Panel had granted our request for continued listing on Nasdaq subject to our compliance with the periodic reporting requirement by July 31, 2024, and the minimum bid price requirement by August 31, 2024. We met the periodic reporting compliance requirement by filing our Q1 2024 Form 10-Q on July 30,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Components of FF’s Results of Operations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Key Factors Affecting Operating Results </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Our performance and future success depend on several factors that present significant opportunities but also pose risks and challenges including those discussed below and in the section titled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the December 31, 2023 Form 10-K and March 31, 2024 Form 10-Q.</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Production and Operations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incur significant operating costs that will impact our future profitability, including R&amp;D expenses as we introduce new models and improve existing models; capital expenditures for the expansion of our manufacturing capacities; additional operating costs and expenses for production ramp-up; raw material procurement costs; general and administrative expenses as we scale our operations; interest expense from debt financing activities; and selling and distribution expenses as we build our brand and market our vehicles. We may incur significant costs in connection with our services as we deliver at scale the FF 91 Futurist, including servicing and warranty costs. Our ability to become profitable in the future will depend on our ability to successfully market our vehicles and control our costs.</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Through June 30, 2024, we have sold a total of four and leased six vehicles. As a result, we will require substantial additional capital to develop products and fund operations for the foreseeable future. Until we can generate sufficient revenue from product sales, we will fund our ongoing operations through a combination of various funding and financing alternatives, including equipment financing of the FF ieFactory California, secured syndicated debt financing, convertible notes, working capital loans, and equity offerings, among other options. The particular funding mechanisms, terms, timing, and amounts are dependent on our assessment of opportunities available in the marketplace and the circumstances of the business at the relevant time. Any delays in the successful completion of our FF ieFactory California will impact our ability to generate revenue. For additional discussion of the substantial doubt about our ability to continue as a going concern, see Note 2, </w:t>
      </w:r>
      <w:r>
        <w:rPr>
          <w:rFonts w:ascii="Times New Roman;sans-serif" w:hAnsi="Times New Roman;sans-serif"/>
          <w:b w:val="false"/>
          <w:i/>
          <w:color w:val="000000"/>
          <w:sz w:val="20"/>
        </w:rPr>
        <w:t xml:space="preserve">Liquidity and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48285"/>
                <wp:effectExtent l="0" t="0" r="0" b="0"/>
                <wp:wrapNone/>
                <wp:docPr id="53" name="Frame5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jc w:val="both"/>
        <w:rPr/>
      </w:pPr>
      <w:r>
        <w:rPr>
          <w:rFonts w:ascii="Times New Roman;sans-serif" w:hAnsi="Times New Roman;sans-serif"/>
          <w:b w:val="false"/>
          <w:i/>
          <w:color w:val="000000"/>
          <w:sz w:val="20"/>
        </w:rPr>
        <w:t>Resources and Going Concern</w:t>
      </w:r>
      <w:r>
        <w:rPr>
          <w:color w:val="000000"/>
        </w:rPr>
        <w:t xml:space="preserve"> </w:t>
      </w:r>
      <w:r>
        <w:rPr>
          <w:rFonts w:ascii="Times New Roman;sans-serif" w:hAnsi="Times New Roman;sans-serif"/>
          <w:b w:val="false"/>
          <w:color w:val="000000"/>
          <w:sz w:val="20"/>
        </w:rPr>
        <w:t>in the notes to the Unaudited Condensed Consolidated Financial Statements and for further details on liquidity, see the “Liquidity and Capital Resources” section below.</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began the production of our FF 91 Futurist in March 2023 and started making deliveries to customers in August 2023. We sold and leased zero vehicles during the three months ended June 30, 2024.</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Automotive Sales Revenue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Automotive sales revenue includes revenues related to deliveries of new vehicles, and specific other features and services including home charger, charger installation, 24/7 roadside assistance, OTA software updates, internet connectivity and destination fees.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revenue on automotive sales upon delivery to the customer, which is when control of a vehicle transfers. Payments are typically received at the point control transfers or in accordance with payment terms customary to the business and as indicated in the sales contract. OTA software updates are provisioned upon transfer of control of a vehicle and recognized over time on a straight-line basis as we have a stand-ready obligation to deliver such services to the customer. For obligations related to automotive sales, we estimate standalone selling price by considering costs used to develop and deliver the good or service, third-party pricing of similar options and other information that may be available. The transaction price is allocated among the performance obligations in proportion to the standalone selling price of our performance obligations.Vehicle contracts do not contain a significant financing component.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promises to the customer that are considered immaterial are combined with the vehicle performance obligation and recognized when the product has been transferred. We accrue costs to transfer these immaterial goods and services regardless of whether they have been transferred.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customers with a residual value guarantee which may or may not be exercised in the future.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Co-creation Arrangements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Futurist Product Officers (“FPO”) Co-Creation Delivery program that began in August 2023, we have entered into co-creation agreements with certain customers. The arrangement leverages some of our sales and leasing customers to provide valuable driving data, insights, marketing and brand awareness of the FF 91 vehicle. For the services performed, we compensate the respective customers through a monthly consulting fee payment or a discount on their monthly lease payment. Management examined in detail the services provided by each respective customer in accordance with the co-creation agreement, established various data points, and rationally assigned a dollar amount that was deemed representative of the fair value of the services. Co-creation payments that exceed the fair value of the distinct services performed by the customer are considered consideration paid to the customer and were treated as a reduction in revenue.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and may continue to enter into co-creator consulting agreements with our customers under which customers share feedback, driving data, ideas, and experiences with our engineers, social media posts and other promotions in exchange for specified fees. We consider these arrangements consideration payable to a customer. The consideration paid to the customer relates to marketing and R&amp;D services that are distinct and could be purchased by us from a separate third party. We perform an analysis in which we maximize the use of observable market inputs to ascribe a fair value to these services and record the fair value of these services to sales and marketing expense or R&amp;D expense, as applicable. Any consideration payable to a customer that is above the fair value of the distinct services being provided is treated as a reduction of revenue.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Automotive Leasing Revenue</w:t>
      </w:r>
    </w:p>
    <w:p>
      <w:pPr>
        <w:pStyle w:val="TextBody"/>
        <w:bidi w:val="0"/>
        <w:spacing w:lineRule="auto" w:line="288" w:before="1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Operating Leasing Program</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outstanding leases under our vehicle operating leasing program in the United States. Qualifying customers are permitted to lease a vehicle for up to 36 months. At the end of the lease term, customers are generally required to return the vehicles to us. We account for these leasing transactions as operating leases. We record leasing revenues to automotive leasing revenue on a straight-line basis over the contractual term, and we record the depreciation of these vehicles to cost of automotive leasing revenue. Our policy is to exclude taxes collected from a customer from the transaction price of automotive contracts.</w:t>
      </w:r>
    </w:p>
    <w:p>
      <w:pPr>
        <w:pStyle w:val="TextBody"/>
        <w:bidi w:val="0"/>
        <w:spacing w:lineRule="auto" w:line="288" w:before="16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Sales-Type Leasing Program</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outstanding leases accounted for as sales-type leases under Accounting Standards Codification (“ASC”) 842, Leases (“ASC 842”). Customers have the right to purchase the vehicle at the end of the lease term, which is usually 36 months. A customer qualifies under this program if the purchase option is reasonably certain to be exercised, and we therefore expect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48285"/>
                <wp:effectExtent l="0" t="0" r="0" b="0"/>
                <wp:wrapNone/>
                <wp:docPr id="54" name="Frame5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customer to take title to the vehicle at the end of the lease term after making all contractual payments. We recognize all revenue and costs associated with the sales-type lease as automotive leasing revenue and automotive leasing cost of revenue, respectively, upon delivery of the vehicle to the customer when collectability of lease payments is probable at lease commencement. If collectability of lease payments is not probable at commencement, we recognize the lease payments as deposit liability and do not derecognize the leased vehicle until such point that collectability of lease payments becomes probable.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Customer Deposits and Deferred Revenue</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customers may reserve a vehicle and preorder certain services by making a customer deposit, which is fully refundable at any time. Refundable deposits, for vehicle reservations and services, received from customers prior to an executed vehicle purchase agreement are recorded as customer deposits within Accrued expenses and other current liabilities on our Consolidated Balance Sheet.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When vehicle purchase agreements are executed, the consideration for the vehicle and any accompanying products and services must be paid in advance prior to the transfer of products or services by us. Such advance payments are considered non-refundable, and we defer revenue related to any products or services that are not yet transferred.</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revenue is equivalent to the total transaction price allocated to the performance obligations that are unsatisfied, or partially unsatisfied, as of the balance sheet date. </w:t>
      </w:r>
    </w:p>
    <w:p>
      <w:pPr>
        <w:pStyle w:val="TextBody"/>
        <w:bidi w:val="0"/>
        <w:spacing w:lineRule="auto" w:line="288" w:before="160" w:after="283"/>
        <w:jc w:val="both"/>
        <w:rPr>
          <w:rFonts w:ascii="Times New Roman;sans-serif" w:hAnsi="Times New Roman;sans-serif"/>
          <w:b w:val="false"/>
          <w:i/>
          <w:color w:val="000000"/>
          <w:sz w:val="19"/>
        </w:rPr>
      </w:pPr>
      <w:r>
        <w:rPr>
          <w:rFonts w:ascii="Times New Roman;sans-serif" w:hAnsi="Times New Roman;sans-serif"/>
          <w:b w:val="false"/>
          <w:i/>
          <w:color w:val="000000"/>
          <w:sz w:val="19"/>
        </w:rPr>
        <w:t>Warranties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a manufacturer’s warranty on all vehicles sold. The warranty covers the rectification of reported defects via repair, replacement, or adjustment of faulty parts or components. The warranty does not cover any item where failure is due to normal wear and tear. This assurance-type warranty does not create a performance obligation separate from the vehicle. Management tracks warranty claims by vehicle ID, owner, and date. As we continue to manufacture and sell more vehicles, we will reassess and evaluate our warranty claims for purposes of our warranty accrual.</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Automotive Sales Revenue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includes direct and indirect materials, labor costs, manufacturing overhead, including depreciation costs of tooling and machinery, shipping and logistic costs, vehicle connectivity costs, and reserves for estimated warranty expenses. Cost of automotive sales revenues also includes adjustments to warranty expense.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services and other revenue includes costs associated with providing non-warranty after-sales services, costs for retail merchandise, and costs to provide vehicle insurance. Cost of services and other revenue also includes direct parts and material.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Automotive Leasing Program</w:t>
      </w:r>
    </w:p>
    <w:p>
      <w:pPr>
        <w:pStyle w:val="TextBody"/>
        <w:bidi w:val="0"/>
        <w:spacing w:lineRule="auto" w:line="288" w:before="1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automotive leasing revenue includes the depreciation of operating lease vehicles, cost of goods sold associated with direct sales-type leases and warranty expense related to leased vehicles. </w:t>
      </w:r>
    </w:p>
    <w:p>
      <w:pPr>
        <w:pStyle w:val="TextBody"/>
        <w:bidi w:val="0"/>
        <w:spacing w:lineRule="auto" w:line="288" w:before="240" w:after="160"/>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(“R&amp;D”) activities represent a significant part of our business. Our R&amp;D efforts focus on the design and development of our electric vehicles and continuing to prepare our prototype electric vehicles to exceed industry standards for compliance, innovation, and performance. R&amp;D expenses consist of personnel-related costs (including salaries, bonuses, benefits, and stock-based compensation) for our employees focused on R&amp;D activities, other related costs, depreciation, R&amp;D services provided by co-creators, and an allocation of overhead. We expect R&amp;D expenses to decrease in the near future as we substantially completed R&amp;D activities related to the FF 91 in late 2023.</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consist primarily of personnel-related costs (including salaries, bonuses, benefits, and stock-based compensation) for our employees focused on sales and marketing, costs associated with sales and marketing activities, marketing services provided by co-creators, and an allocation of overhead. Marketing activities are those related to introducing our brand and our electric vehicle prototypes to the market. We expect selling and marketing expenses to continue to increase as we bring our electric vehicles to market and seek to generate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48285"/>
                <wp:effectExtent l="0" t="0" r="0" b="0"/>
                <wp:wrapNone/>
                <wp:docPr id="55" name="Frame5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consist primarily of personnel-related costs (including salaries, bonuses, benefits, and stock-based compensation) for our employees associated with administrative services such as legal, human resources, information technology, accounting and finance, other related costs, and legal loss contingency expenses, which are our estimates of future legal settlements. These expenses also include certain third-party consulting services, certain facilities costs, and any corporate overhead costs not allocated to other expense categories. We expect our general and administrative expenses to increase as we continue to grow our business.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Loss on Disposal of Property, Plant and Equipment</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Loss on disposal of property, plant and equipment relates to the abandonment of certain FF 91 Futurist program construction in progress assets, primarily vendor tooling, machinery, and equipment, due to the redesign of the related FF 91 components and implementation of our cost reduction program. Charges associated with disposals are recognized within operating expenses in the Unaudited Condensed Consolidated Statements of Operations and Comprehensive Loss.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Earnout Liability</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Legacy FF stockholders, as of the July 21, 2021 closing date of the Business Combination (as defined in Note 10, </w:t>
      </w:r>
      <w:r>
        <w:rPr>
          <w:rFonts w:ascii="Times New Roman;sans-serif" w:hAnsi="Times New Roman;sans-serif"/>
          <w:b w:val="false"/>
          <w:i/>
          <w:color w:val="000000"/>
          <w:sz w:val="20"/>
        </w:rPr>
        <w:t xml:space="preserve">Commitments and Contingencies </w:t>
      </w:r>
      <w:r>
        <w:rPr>
          <w:rFonts w:ascii="Times New Roman;sans-serif" w:hAnsi="Times New Roman;sans-serif"/>
          <w:b w:val="false"/>
          <w:color w:val="000000"/>
          <w:sz w:val="20"/>
        </w:rPr>
        <w:t xml:space="preserve">in the notes to the Unaudited Condensed Consolidated Financial Statements) until its fifth anniversary, are entitled to contingent consideration of up to 104,167 additional shares of Class A Common Stock in the aggregate in two equal tranches upon the occurrence of each earnout triggering event (“Earnout Shares”). We recognized the Earnout Shares at fair value upon the closing of the Business Combination and classified them in Stockholders’ Equity since the Earnout Shares were determined to be indexed to our own stock and meet the requirements for equity classification in accordance with ASC 815-40, </w:t>
      </w:r>
      <w:r>
        <w:rPr>
          <w:rFonts w:ascii="Times New Roman;sans-serif" w:hAnsi="Times New Roman;sans-serif"/>
          <w:b w:val="false"/>
          <w:i/>
          <w:color w:val="000000"/>
          <w:sz w:val="20"/>
        </w:rPr>
        <w:t>Derivatives and Hedging - Contracts in Entity’s Own Equity</w:t>
      </w:r>
      <w:r>
        <w:rPr>
          <w:rFonts w:ascii="Times New Roman;sans-serif" w:hAnsi="Times New Roman;sans-serif"/>
          <w:b w:val="false"/>
          <w:color w:val="000000"/>
          <w:sz w:val="20"/>
        </w:rPr>
        <w:t xml:space="preserve">. From time to time subsequent to the closing of the Business Combination, the Earnout Shares may be classified as derivative liabilities under ASC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due to us having insufficient authorized shares to fully settle the equity-linked financial instruments in shares. The Earnout Shares reclassified as derivative instruments are recognized at fair value with changes in fair value recognized in earnings until such time as the conditions giving rise to such derivative liability classification are settled or we have sufficient authorized, unissued shares to settle such contracts with shares.</w:t>
      </w:r>
    </w:p>
    <w:p>
      <w:pPr>
        <w:pStyle w:val="TextBody"/>
        <w:bidi w:val="0"/>
        <w:spacing w:lineRule="auto" w:line="288" w:before="160" w:after="283"/>
        <w:jc w:val="both"/>
        <w:rPr/>
      </w:pPr>
      <w:r>
        <w:rPr>
          <w:rFonts w:ascii="Times New Roman;sans-serif" w:hAnsi="Times New Roman;sans-serif"/>
          <w:b/>
          <w:i/>
          <w:color w:val="000000"/>
          <w:sz w:val="20"/>
        </w:rPr>
        <w:t>Non-operating</w:t>
      </w:r>
      <w:r>
        <w:rPr>
          <w:color w:val="000000"/>
        </w:rPr>
        <w:t xml:space="preserve"> </w:t>
      </w:r>
      <w:r>
        <w:rPr>
          <w:rFonts w:ascii="Times New Roman;sans-serif" w:hAnsi="Times New Roman;sans-serif"/>
          <w:b/>
          <w:i/>
          <w:color w:val="000000"/>
          <w:sz w:val="20"/>
        </w:rPr>
        <w:t>Expenses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(Related Party and Third Party) Notes Payable and Warrant Liabilities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Change in fair value measurements consists of the losses and gains as a result of fair value measurements of certain notes payable and warrant liabilities that we record at fair value.</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Loss on Settlement of (Related Party and Third Party) Notes Payable</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Loss</w:t>
      </w:r>
      <w:r>
        <w:rPr>
          <w:color w:val="000000"/>
          <w:shd w:fill="FFFFFF" w:val="clear"/>
        </w:rPr>
        <w:t xml:space="preserve"> </w:t>
      </w:r>
      <w:r>
        <w:rPr>
          <w:rFonts w:ascii="Times New Roman;sans-serif" w:hAnsi="Times New Roman;sans-serif"/>
          <w:b w:val="false"/>
          <w:color w:val="000000"/>
          <w:sz w:val="20"/>
          <w:shd w:fill="FFFFFF" w:val="clear"/>
        </w:rPr>
        <w:t xml:space="preserve">on settlement of notes payable consists of losses resulting from the settlement of notes payable as part of our ongoing financing activities and losses incurred on modifications of our notes payable that qualify as an extinguishment pursuant to </w:t>
      </w:r>
      <w:r>
        <w:rPr>
          <w:rFonts w:ascii="Times New Roman;sans-serif" w:hAnsi="Times New Roman;sans-serif"/>
          <w:b w:val="false"/>
          <w:color w:val="000000"/>
          <w:sz w:val="20"/>
        </w:rPr>
        <w:t xml:space="preserve">ASC 470-50, </w:t>
      </w:r>
      <w:r>
        <w:rPr>
          <w:rFonts w:ascii="Times New Roman;sans-serif" w:hAnsi="Times New Roman;sans-serif"/>
          <w:b w:val="false"/>
          <w:i/>
          <w:color w:val="000000"/>
          <w:sz w:val="20"/>
        </w:rPr>
        <w:t>Debt–Modifications and Extinguishments</w:t>
      </w:r>
      <w:r>
        <w:rPr>
          <w:rFonts w:ascii="Times New Roman;sans-serif" w:hAnsi="Times New Roman;sans-serif"/>
          <w:b w:val="false"/>
          <w:color w:val="000000"/>
          <w:sz w:val="20"/>
          <w:shd w:fill="FFFFFF" w:val="clear"/>
        </w:rPr>
        <w:t>.</w:t>
      </w:r>
      <w:r>
        <w:rPr>
          <w:color w:val="000000"/>
        </w:rPr>
        <w:t>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Related Party Interest Expense</w:t>
      </w:r>
    </w:p>
    <w:p>
      <w:pPr>
        <w:pStyle w:val="TextBody"/>
        <w:bidi w:val="0"/>
        <w:spacing w:lineRule="auto" w:line="288" w:before="160" w:after="283"/>
        <w:ind w:left="0" w:right="0" w:firstLine="540"/>
        <w:jc w:val="both"/>
        <w:rPr>
          <w:color w:val="000000"/>
        </w:rPr>
      </w:pPr>
      <w:r>
        <w:rPr>
          <w:color w:val="000000"/>
        </w:rPr>
        <w:t> </w:t>
      </w:r>
      <w:r>
        <w:rPr>
          <w:rFonts w:ascii="Times New Roman;sans-serif" w:hAnsi="Times New Roman;sans-serif"/>
          <w:b w:val="false"/>
          <w:color w:val="000000"/>
          <w:sz w:val="20"/>
        </w:rPr>
        <w:t>Related party interest expense consists of interest expense on notes payable with related parties.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primarily consists of interest on outstanding notes payable not marked to fair value, capital leases, certain supplier payables, and vendor payables in trust.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Expense, net</w:t>
      </w:r>
    </w:p>
    <w:p>
      <w:pPr>
        <w:pStyle w:val="TextBody"/>
        <w:bidi w:val="0"/>
        <w:spacing w:lineRule="auto" w:line="288" w:before="160" w:after="283"/>
        <w:ind w:left="0" w:right="0" w:firstLine="540"/>
        <w:jc w:val="both"/>
        <w:rPr>
          <w:color w:val="000000"/>
        </w:rPr>
      </w:pPr>
      <w:r>
        <w:rPr>
          <w:color w:val="000000"/>
        </w:rPr>
        <w:t> </w:t>
      </w:r>
      <w:r>
        <w:rPr>
          <w:rFonts w:ascii="Times New Roman;sans-serif" w:hAnsi="Times New Roman;sans-serif"/>
          <w:b w:val="false"/>
          <w:color w:val="000000"/>
          <w:sz w:val="20"/>
        </w:rPr>
        <w:t>Other expense, net consists of foreign currency transaction gains and losses and other expenses such as bank fees and late charges. Foreign currency transaction gains and losses are generated by revaluation of debt and the settlements of invoices denominated in currencies other than the functional currency. We expect other expense to fluctuate as we continue to transact internationally.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48285"/>
                <wp:effectExtent l="0" t="0" r="0" b="0"/>
                <wp:wrapNone/>
                <wp:docPr id="56" name="Frame5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Comparison of results of operations for the three months ended June 30, 2024 versus the three months ended June 30, 2023:</w:t>
      </w:r>
    </w:p>
    <w:tbl>
      <w:tblPr>
        <w:tblW w:w="9908" w:type="dxa"/>
        <w:jc w:val="left"/>
        <w:tblInd w:w="0" w:type="dxa"/>
        <w:tblLayout w:type="fixed"/>
        <w:tblCellMar>
          <w:top w:w="28" w:type="dxa"/>
          <w:left w:w="28" w:type="dxa"/>
          <w:bottom w:w="28" w:type="dxa"/>
          <w:right w:w="28" w:type="dxa"/>
        </w:tblCellMar>
      </w:tblPr>
      <w:tblGrid>
        <w:gridCol w:w="2565"/>
        <w:gridCol w:w="2253"/>
        <w:gridCol w:w="2276"/>
        <w:gridCol w:w="211"/>
        <w:gridCol w:w="901"/>
        <w:gridCol w:w="109"/>
        <w:gridCol w:w="109"/>
        <w:gridCol w:w="109"/>
        <w:gridCol w:w="109"/>
        <w:gridCol w:w="211"/>
        <w:gridCol w:w="901"/>
        <w:gridCol w:w="154"/>
      </w:tblGrid>
      <w:tr>
        <w:trPr/>
        <w:tc>
          <w:tcPr>
            <w:tcW w:w="2565"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r>
      <w:tr>
        <w:trPr/>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Operations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 of revenues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impairment loss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on disposal on property, plant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earnout liability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notes payable and warrant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related party notes payable and related party warrant liabilities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notes payable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related party notes payable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interest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(124,928)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tbl>
      <w:tblPr>
        <w:tblW w:w="5572" w:type="dxa"/>
        <w:jc w:val="left"/>
        <w:tblInd w:w="0" w:type="dxa"/>
        <w:tblLayout w:type="fixed"/>
        <w:tblCellMar>
          <w:top w:w="28" w:type="dxa"/>
          <w:left w:w="28" w:type="dxa"/>
          <w:bottom w:w="28" w:type="dxa"/>
          <w:right w:w="28" w:type="dxa"/>
        </w:tblCellMar>
      </w:tblPr>
      <w:tblGrid>
        <w:gridCol w:w="407"/>
        <w:gridCol w:w="358"/>
        <w:gridCol w:w="359"/>
        <w:gridCol w:w="280"/>
        <w:gridCol w:w="619"/>
        <w:gridCol w:w="144"/>
        <w:gridCol w:w="144"/>
        <w:gridCol w:w="144"/>
        <w:gridCol w:w="144"/>
        <w:gridCol w:w="280"/>
        <w:gridCol w:w="540"/>
        <w:gridCol w:w="144"/>
        <w:gridCol w:w="109"/>
        <w:gridCol w:w="109"/>
        <w:gridCol w:w="109"/>
        <w:gridCol w:w="211"/>
        <w:gridCol w:w="466"/>
        <w:gridCol w:w="109"/>
        <w:gridCol w:w="109"/>
        <w:gridCol w:w="109"/>
        <w:gridCol w:w="109"/>
        <w:gridCol w:w="166"/>
        <w:gridCol w:w="166"/>
        <w:gridCol w:w="237"/>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76" w:before="1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Automotive sales revenue was $0.3 million for the three months ended June 30, 2024. We started vehicle delivery to its customers during the third quarter of 2023. We began delivering vehicles in the third quarter of 2023. </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Revenues</w:t>
      </w:r>
    </w:p>
    <w:tbl>
      <w:tblPr>
        <w:tblW w:w="6387" w:type="dxa"/>
        <w:jc w:val="left"/>
        <w:tblInd w:w="0" w:type="dxa"/>
        <w:tblLayout w:type="fixed"/>
        <w:tblCellMar>
          <w:top w:w="28" w:type="dxa"/>
          <w:left w:w="28" w:type="dxa"/>
          <w:bottom w:w="28" w:type="dxa"/>
          <w:right w:w="28" w:type="dxa"/>
        </w:tblCellMar>
      </w:tblPr>
      <w:tblGrid>
        <w:gridCol w:w="532"/>
        <w:gridCol w:w="468"/>
        <w:gridCol w:w="469"/>
        <w:gridCol w:w="224"/>
        <w:gridCol w:w="765"/>
        <w:gridCol w:w="115"/>
        <w:gridCol w:w="115"/>
        <w:gridCol w:w="115"/>
        <w:gridCol w:w="115"/>
        <w:gridCol w:w="224"/>
        <w:gridCol w:w="653"/>
        <w:gridCol w:w="115"/>
        <w:gridCol w:w="109"/>
        <w:gridCol w:w="109"/>
        <w:gridCol w:w="109"/>
        <w:gridCol w:w="211"/>
        <w:gridCol w:w="721"/>
        <w:gridCol w:w="109"/>
        <w:gridCol w:w="109"/>
        <w:gridCol w:w="109"/>
        <w:gridCol w:w="109"/>
        <w:gridCol w:w="233"/>
        <w:gridCol w:w="233"/>
        <w:gridCol w:w="316"/>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76" w:before="1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before="180" w:after="283"/>
        <w:jc w:val="left"/>
        <w:rPr/>
      </w:pPr>
      <w:r>
        <w:rPr/>
      </w:r>
    </w:p>
    <w:p>
      <w:pPr>
        <w:pStyle w:val="TextBody"/>
        <w:bidi w:val="0"/>
        <w:spacing w:lineRule="auto" w:line="268" w:before="0" w:after="0"/>
        <w:ind w:left="0" w:right="0" w:firstLine="450"/>
        <w:jc w:val="both"/>
        <w:rPr/>
      </w:pPr>
      <w:r>
        <w:rPr>
          <w:rFonts w:ascii="Times New Roman;sans-serif" w:hAnsi="Times New Roman;sans-serif"/>
          <w:b w:val="false"/>
          <w:color w:val="000000"/>
          <w:sz w:val="20"/>
        </w:rPr>
        <w:t xml:space="preserve">Cost of revenues was $21.0 million for the three months ended June 30, 2024. </w:t>
      </w:r>
      <w:r>
        <w:rPr>
          <w:rFonts w:ascii="Times New Roman;sans-serif" w:hAnsi="Times New Roman;sans-serif"/>
          <w:b w:val="false"/>
          <w:color w:val="000000"/>
          <w:sz w:val="20"/>
          <w:shd w:fill="FFFFFF" w:val="clear"/>
        </w:rPr>
        <w:t>On</w:t>
      </w:r>
      <w:r>
        <w:rPr>
          <w:color w:val="000000"/>
          <w:shd w:fill="FFFFFF" w:val="clear"/>
        </w:rPr>
        <w:t xml:space="preserve"> </w:t>
      </w:r>
      <w:r>
        <w:rPr>
          <w:rFonts w:ascii="Times New Roman;sans-serif" w:hAnsi="Times New Roman;sans-serif"/>
          <w:b w:val="false"/>
          <w:color w:val="000000"/>
          <w:sz w:val="20"/>
          <w:shd w:fill="FFFFFF" w:val="clear"/>
        </w:rPr>
        <w:t>March 29, 2023, we announced the start of production of our first electric vehicle, the FF 91 Futurist and, on April 14, 2023, our first production FF 91 Futurist vehicle came off the line. We began delivering vehicles in the third quarter of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48285"/>
                <wp:effectExtent l="0" t="0" r="0" b="0"/>
                <wp:wrapNone/>
                <wp:docPr id="57" name="Frame5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(R&amp;D)</w:t>
      </w:r>
    </w:p>
    <w:tbl>
      <w:tblPr>
        <w:tblW w:w="7272" w:type="dxa"/>
        <w:jc w:val="left"/>
        <w:tblInd w:w="0" w:type="dxa"/>
        <w:tblLayout w:type="fixed"/>
        <w:tblCellMar>
          <w:top w:w="28" w:type="dxa"/>
          <w:left w:w="28" w:type="dxa"/>
          <w:bottom w:w="28" w:type="dxa"/>
          <w:right w:w="28" w:type="dxa"/>
        </w:tblCellMar>
      </w:tblPr>
      <w:tblGrid>
        <w:gridCol w:w="835"/>
        <w:gridCol w:w="734"/>
        <w:gridCol w:w="740"/>
        <w:gridCol w:w="224"/>
        <w:gridCol w:w="653"/>
        <w:gridCol w:w="115"/>
        <w:gridCol w:w="115"/>
        <w:gridCol w:w="115"/>
        <w:gridCol w:w="115"/>
        <w:gridCol w:w="224"/>
        <w:gridCol w:w="765"/>
        <w:gridCol w:w="115"/>
        <w:gridCol w:w="109"/>
        <w:gridCol w:w="109"/>
        <w:gridCol w:w="109"/>
        <w:gridCol w:w="211"/>
        <w:gridCol w:w="796"/>
        <w:gridCol w:w="109"/>
        <w:gridCol w:w="109"/>
        <w:gridCol w:w="109"/>
        <w:gridCol w:w="109"/>
        <w:gridCol w:w="218"/>
        <w:gridCol w:w="218"/>
        <w:gridCol w:w="316"/>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pPr>
      <w:r>
        <w:rPr>
          <w:rFonts w:ascii="Times New Roman;sans-serif" w:hAnsi="Times New Roman;sans-serif"/>
          <w:b w:val="false"/>
          <w:color w:val="000000"/>
          <w:sz w:val="20"/>
          <w:shd w:fill="FFFFFF" w:val="clear"/>
        </w:rPr>
        <w:t xml:space="preserve">The decrease in R&amp;D expense was </w:t>
      </w:r>
      <w:r>
        <w:rPr>
          <w:rFonts w:ascii="Times New Roman;sans-serif" w:hAnsi="Times New Roman;sans-serif"/>
          <w:b w:val="false"/>
          <w:color w:val="000000"/>
          <w:sz w:val="20"/>
        </w:rPr>
        <w:t>primarily due to a decrease in personnel and compensation expenses of $21.2 million, a decrease in stock-based compensation of $1.0 million due to a decrease in headcount as part of cost saving measures implemented by us in light of its financial position, as well as the allocation of certain personnel from the R&amp;D department to production, and a decrease in professional services expenses of $0.8 million.</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tbl>
      <w:tblPr>
        <w:tblW w:w="6614" w:type="dxa"/>
        <w:jc w:val="left"/>
        <w:tblInd w:w="0" w:type="dxa"/>
        <w:tblLayout w:type="fixed"/>
        <w:tblCellMar>
          <w:top w:w="28" w:type="dxa"/>
          <w:left w:w="28" w:type="dxa"/>
          <w:bottom w:w="28" w:type="dxa"/>
          <w:right w:w="28" w:type="dxa"/>
        </w:tblCellMar>
      </w:tblPr>
      <w:tblGrid>
        <w:gridCol w:w="635"/>
        <w:gridCol w:w="559"/>
        <w:gridCol w:w="560"/>
        <w:gridCol w:w="234"/>
        <w:gridCol w:w="685"/>
        <w:gridCol w:w="121"/>
        <w:gridCol w:w="121"/>
        <w:gridCol w:w="121"/>
        <w:gridCol w:w="121"/>
        <w:gridCol w:w="234"/>
        <w:gridCol w:w="685"/>
        <w:gridCol w:w="121"/>
        <w:gridCol w:w="109"/>
        <w:gridCol w:w="109"/>
        <w:gridCol w:w="109"/>
        <w:gridCol w:w="211"/>
        <w:gridCol w:w="691"/>
        <w:gridCol w:w="109"/>
        <w:gridCol w:w="109"/>
        <w:gridCol w:w="109"/>
        <w:gridCol w:w="109"/>
        <w:gridCol w:w="218"/>
        <w:gridCol w:w="218"/>
        <w:gridCol w:w="316"/>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pPr>
      <w:r>
        <w:rPr>
          <w:rFonts w:ascii="Times New Roman;sans-serif" w:hAnsi="Times New Roman;sans-serif"/>
          <w:b w:val="false"/>
          <w:color w:val="000000"/>
          <w:sz w:val="20"/>
          <w:shd w:fill="FFFFFF" w:val="clear"/>
        </w:rPr>
        <w:t xml:space="preserve">The decrease in sales and marketing expense was </w:t>
      </w:r>
      <w:r>
        <w:rPr>
          <w:rFonts w:ascii="Times New Roman;sans-serif" w:hAnsi="Times New Roman;sans-serif"/>
          <w:b w:val="false"/>
          <w:color w:val="000000"/>
          <w:sz w:val="20"/>
        </w:rPr>
        <w:t>due to a decrease in compensation expenses of $3.3 million, a decrease in professional services expenses of $1.1 million, a decrease in marketing expenses of $0.7 million, a decrease in stock-based compensation expense of $0.1 million, and a decrease in other miscellaneous expenses of $0.5 million.</w:t>
      </w:r>
    </w:p>
    <w:p>
      <w:pPr>
        <w:pStyle w:val="TextBody"/>
        <w:bidi w:val="0"/>
        <w:spacing w:lineRule="auto" w:line="276"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tbl>
      <w:tblPr>
        <w:tblW w:w="6763" w:type="dxa"/>
        <w:jc w:val="left"/>
        <w:tblInd w:w="0" w:type="dxa"/>
        <w:tblLayout w:type="fixed"/>
        <w:tblCellMar>
          <w:top w:w="28" w:type="dxa"/>
          <w:left w:w="28" w:type="dxa"/>
          <w:bottom w:w="28" w:type="dxa"/>
          <w:right w:w="28" w:type="dxa"/>
        </w:tblCellMar>
      </w:tblPr>
      <w:tblGrid>
        <w:gridCol w:w="835"/>
        <w:gridCol w:w="735"/>
        <w:gridCol w:w="739"/>
        <w:gridCol w:w="214"/>
        <w:gridCol w:w="732"/>
        <w:gridCol w:w="110"/>
        <w:gridCol w:w="110"/>
        <w:gridCol w:w="110"/>
        <w:gridCol w:w="110"/>
        <w:gridCol w:w="214"/>
        <w:gridCol w:w="732"/>
        <w:gridCol w:w="110"/>
        <w:gridCol w:w="109"/>
        <w:gridCol w:w="109"/>
        <w:gridCol w:w="109"/>
        <w:gridCol w:w="211"/>
        <w:gridCol w:w="466"/>
        <w:gridCol w:w="109"/>
        <w:gridCol w:w="109"/>
        <w:gridCol w:w="109"/>
        <w:gridCol w:w="109"/>
        <w:gridCol w:w="128"/>
        <w:gridCol w:w="128"/>
        <w:gridCol w:w="316"/>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general and administrative expense was primarily due to an increase in information technology expense of $0.4 million, partially offset by a decrease in stock-based compensation expense of $0.1 million. </w:t>
      </w:r>
    </w:p>
    <w:p>
      <w:pPr>
        <w:pStyle w:val="TextBody"/>
        <w:bidi w:val="0"/>
        <w:spacing w:lineRule="auto" w:line="276"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Lease impairment loss</w:t>
      </w:r>
    </w:p>
    <w:tbl>
      <w:tblPr>
        <w:tblW w:w="6522" w:type="dxa"/>
        <w:jc w:val="left"/>
        <w:tblInd w:w="0" w:type="dxa"/>
        <w:tblLayout w:type="fixed"/>
        <w:tblCellMar>
          <w:top w:w="28" w:type="dxa"/>
          <w:left w:w="28" w:type="dxa"/>
          <w:bottom w:w="28" w:type="dxa"/>
          <w:right w:w="28" w:type="dxa"/>
        </w:tblCellMar>
      </w:tblPr>
      <w:tblGrid>
        <w:gridCol w:w="695"/>
        <w:gridCol w:w="611"/>
        <w:gridCol w:w="613"/>
        <w:gridCol w:w="259"/>
        <w:gridCol w:w="757"/>
        <w:gridCol w:w="134"/>
        <w:gridCol w:w="134"/>
        <w:gridCol w:w="134"/>
        <w:gridCol w:w="134"/>
        <w:gridCol w:w="259"/>
        <w:gridCol w:w="499"/>
        <w:gridCol w:w="134"/>
        <w:gridCol w:w="109"/>
        <w:gridCol w:w="109"/>
        <w:gridCol w:w="109"/>
        <w:gridCol w:w="211"/>
        <w:gridCol w:w="616"/>
        <w:gridCol w:w="109"/>
        <w:gridCol w:w="109"/>
        <w:gridCol w:w="109"/>
        <w:gridCol w:w="109"/>
        <w:gridCol w:w="166"/>
        <w:gridCol w:w="166"/>
        <w:gridCol w:w="237"/>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impairment loss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June 30, 2024, the we moved out of a leased store facility and a leased research facility while working with the landlords to negotiate the related lease terminations, resulting in a lease ROU asset impairment loss of $7.5 million for the loss of use of these two leased facilities. We also terminated one of the operating leases in China, resulting in a net lease ROU asset impairment loss of $0.1 million during the three months ended June 30, 2024. </w:t>
      </w:r>
    </w:p>
    <w:p>
      <w:pPr>
        <w:pStyle w:val="TextBody"/>
        <w:bidi w:val="0"/>
        <w:spacing w:lineRule="auto" w:line="276"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(Gain)/Loss on Disposal on Property, Plant and Equipment</w:t>
      </w:r>
    </w:p>
    <w:tbl>
      <w:tblPr>
        <w:tblW w:w="9214" w:type="dxa"/>
        <w:jc w:val="left"/>
        <w:tblInd w:w="0" w:type="dxa"/>
        <w:tblLayout w:type="fixed"/>
        <w:tblCellMar>
          <w:top w:w="28" w:type="dxa"/>
          <w:left w:w="28" w:type="dxa"/>
          <w:bottom w:w="28" w:type="dxa"/>
          <w:right w:w="28" w:type="dxa"/>
        </w:tblCellMar>
      </w:tblPr>
      <w:tblGrid>
        <w:gridCol w:w="1738"/>
        <w:gridCol w:w="1529"/>
        <w:gridCol w:w="1533"/>
        <w:gridCol w:w="297"/>
        <w:gridCol w:w="509"/>
        <w:gridCol w:w="153"/>
        <w:gridCol w:w="153"/>
        <w:gridCol w:w="153"/>
        <w:gridCol w:w="153"/>
        <w:gridCol w:w="297"/>
        <w:gridCol w:w="572"/>
        <w:gridCol w:w="153"/>
        <w:gridCol w:w="109"/>
        <w:gridCol w:w="109"/>
        <w:gridCol w:w="109"/>
        <w:gridCol w:w="232"/>
        <w:gridCol w:w="398"/>
        <w:gridCol w:w="121"/>
        <w:gridCol w:w="109"/>
        <w:gridCol w:w="109"/>
        <w:gridCol w:w="109"/>
        <w:gridCol w:w="166"/>
        <w:gridCol w:w="166"/>
        <w:gridCol w:w="237"/>
      </w:tblGrid>
      <w:tr>
        <w:trPr/>
        <w:tc>
          <w:tcPr>
            <w:tcW w:w="1738"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on disposal on property, plant and equipment</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76" w:before="180" w:after="180"/>
        <w:jc w:val="both"/>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an immaterial Loss on disposal of property, plant and equipment for the three months ended June 30, 2024. There were no such transactions for the three months ended June 30,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48285"/>
                <wp:effectExtent l="0" t="0" r="0" b="0"/>
                <wp:wrapNone/>
                <wp:docPr id="58" name="Frame5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Earnout Liability</w:t>
      </w:r>
    </w:p>
    <w:tbl>
      <w:tblPr>
        <w:tblW w:w="7795" w:type="dxa"/>
        <w:jc w:val="left"/>
        <w:tblInd w:w="0" w:type="dxa"/>
        <w:tblLayout w:type="fixed"/>
        <w:tblCellMar>
          <w:top w:w="28" w:type="dxa"/>
          <w:left w:w="28" w:type="dxa"/>
          <w:bottom w:w="28" w:type="dxa"/>
          <w:right w:w="28" w:type="dxa"/>
        </w:tblCellMar>
      </w:tblPr>
      <w:tblGrid>
        <w:gridCol w:w="1211"/>
        <w:gridCol w:w="1065"/>
        <w:gridCol w:w="1068"/>
        <w:gridCol w:w="269"/>
        <w:gridCol w:w="518"/>
        <w:gridCol w:w="139"/>
        <w:gridCol w:w="139"/>
        <w:gridCol w:w="139"/>
        <w:gridCol w:w="139"/>
        <w:gridCol w:w="269"/>
        <w:gridCol w:w="691"/>
        <w:gridCol w:w="139"/>
        <w:gridCol w:w="109"/>
        <w:gridCol w:w="109"/>
        <w:gridCol w:w="109"/>
        <w:gridCol w:w="211"/>
        <w:gridCol w:w="466"/>
        <w:gridCol w:w="109"/>
        <w:gridCol w:w="109"/>
        <w:gridCol w:w="109"/>
        <w:gridCol w:w="109"/>
        <w:gridCol w:w="166"/>
        <w:gridCol w:w="166"/>
        <w:gridCol w:w="237"/>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earnout liability</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76" w:before="1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lineRule="auto" w:line="288" w:before="180" w:after="180"/>
        <w:ind w:left="0" w:right="0" w:firstLine="504"/>
        <w:jc w:val="both"/>
        <w:rPr/>
      </w:pPr>
      <w:r>
        <w:rPr>
          <w:rFonts w:ascii="Times New Roman;sans-serif" w:hAnsi="Times New Roman;sans-serif"/>
          <w:b w:val="false"/>
          <w:color w:val="000000"/>
          <w:sz w:val="20"/>
        </w:rPr>
        <w:t xml:space="preserve">As of April 21, 2023, we reclassified the earnout obligation from equity classification to liability classification as a result of the us having insufficient authorized shares to share-settle the earnout, which was previously determined to be equity classified under ASC 815-40, </w:t>
      </w:r>
      <w:r>
        <w:rPr>
          <w:rFonts w:ascii="Times New Roman;sans-serif" w:hAnsi="Times New Roman;sans-serif"/>
          <w:b w:val="false"/>
          <w:i/>
          <w:color w:val="000000"/>
          <w:sz w:val="20"/>
        </w:rPr>
        <w:t>Derivatives and Hedging - Contracts in Entity’s Own Equity</w:t>
      </w:r>
      <w:r>
        <w:rPr>
          <w:rFonts w:ascii="Times New Roman;sans-serif" w:hAnsi="Times New Roman;sans-serif"/>
          <w:b w:val="false"/>
          <w:color w:val="000000"/>
          <w:sz w:val="20"/>
        </w:rPr>
        <w:t xml:space="preserve">. As a result of the reclassification, we reclassified $2.1 million out of Additional paid-in capital into the Earnout liability. The $0.7 million decrease in the Earnout liability from April 21, 2023 to June 30, 2023 was recognized as a gain in the Change in fair value of earnout liability during the three months ended June 30, 2023. There was no comparable transaction during the three months ended June 30, 2024. </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Notes Payable and Warrant Liabilities</w:t>
      </w:r>
    </w:p>
    <w:tbl>
      <w:tblPr>
        <w:tblW w:w="10034" w:type="dxa"/>
        <w:jc w:val="left"/>
        <w:tblInd w:w="0" w:type="dxa"/>
        <w:tblLayout w:type="fixed"/>
        <w:tblCellMar>
          <w:top w:w="28" w:type="dxa"/>
          <w:left w:w="28" w:type="dxa"/>
          <w:bottom w:w="28" w:type="dxa"/>
          <w:right w:w="28" w:type="dxa"/>
        </w:tblCellMar>
      </w:tblPr>
      <w:tblGrid>
        <w:gridCol w:w="1798"/>
        <w:gridCol w:w="1581"/>
        <w:gridCol w:w="1586"/>
        <w:gridCol w:w="216"/>
        <w:gridCol w:w="710"/>
        <w:gridCol w:w="112"/>
        <w:gridCol w:w="112"/>
        <w:gridCol w:w="112"/>
        <w:gridCol w:w="112"/>
        <w:gridCol w:w="216"/>
        <w:gridCol w:w="741"/>
        <w:gridCol w:w="112"/>
        <w:gridCol w:w="109"/>
        <w:gridCol w:w="109"/>
        <w:gridCol w:w="109"/>
        <w:gridCol w:w="211"/>
        <w:gridCol w:w="796"/>
        <w:gridCol w:w="109"/>
        <w:gridCol w:w="109"/>
        <w:gridCol w:w="109"/>
        <w:gridCol w:w="109"/>
        <w:gridCol w:w="269"/>
        <w:gridCol w:w="271"/>
        <w:gridCol w:w="316"/>
      </w:tblGrid>
      <w:tr>
        <w:trPr/>
        <w:tc>
          <w:tcPr>
            <w:tcW w:w="1798"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notes payable and warrant liabilities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the fair value of our outstanding notes and warrants were revalued at higher fair values than in the preceding three month period. The increase in the fair value of the notes and warrants during the period was primarily driven by improvements in our stock price, which also contributed to an improvement in our volatility assumption. During the three months ended June 30, 2023, the fair value of our notes and warrants decreased substantially due to pricing inputs that use the market price of our Common Stock and debt discount rate, which experienced a significant decline during the period.</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Related Party Notes Payable and Related Party Warrant Liabilities</w:t>
      </w:r>
    </w:p>
    <w:tbl>
      <w:tblPr>
        <w:tblW w:w="10205" w:type="dxa"/>
        <w:jc w:val="left"/>
        <w:tblInd w:w="0" w:type="dxa"/>
        <w:tblLayout w:type="fixed"/>
        <w:tblCellMar>
          <w:top w:w="28" w:type="dxa"/>
          <w:left w:w="28" w:type="dxa"/>
          <w:bottom w:w="28" w:type="dxa"/>
          <w:right w:w="28" w:type="dxa"/>
        </w:tblCellMar>
      </w:tblPr>
      <w:tblGrid>
        <w:gridCol w:w="2022"/>
        <w:gridCol w:w="1762"/>
        <w:gridCol w:w="1767"/>
        <w:gridCol w:w="248"/>
        <w:gridCol w:w="622"/>
        <w:gridCol w:w="128"/>
        <w:gridCol w:w="128"/>
        <w:gridCol w:w="128"/>
        <w:gridCol w:w="128"/>
        <w:gridCol w:w="248"/>
        <w:gridCol w:w="549"/>
        <w:gridCol w:w="128"/>
        <w:gridCol w:w="109"/>
        <w:gridCol w:w="109"/>
        <w:gridCol w:w="109"/>
        <w:gridCol w:w="211"/>
        <w:gridCol w:w="526"/>
        <w:gridCol w:w="109"/>
        <w:gridCol w:w="109"/>
        <w:gridCol w:w="109"/>
        <w:gridCol w:w="109"/>
        <w:gridCol w:w="261"/>
        <w:gridCol w:w="263"/>
        <w:gridCol w:w="323"/>
      </w:tblGrid>
      <w:tr>
        <w:trPr/>
        <w:tc>
          <w:tcPr>
            <w:tcW w:w="2022"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5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5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related party notes payable and related party warrant liabilities</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76" w:before="18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the fair value of our outstanding related party notes and warrants were revalued at higher fair values than in the preceding three month period. The increase in the fair value of the related party notes and warrants during the period was primarily driven by improvements in our stock price, which also contributed to an improvement in our volatility assumption. During the three months ended June 30, 2023, the fair value of our related party notes and warrants decreased substantially due to pricing inputs that use the market price of our Common Stock and debt discount rate, which experienced a significant decline during the period.</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Loss on Settlement of Notes Payable</w:t>
      </w:r>
    </w:p>
    <w:tbl>
      <w:tblPr>
        <w:tblW w:w="8231" w:type="dxa"/>
        <w:jc w:val="left"/>
        <w:tblInd w:w="0" w:type="dxa"/>
        <w:tblLayout w:type="fixed"/>
        <w:tblCellMar>
          <w:top w:w="28" w:type="dxa"/>
          <w:left w:w="28" w:type="dxa"/>
          <w:bottom w:w="28" w:type="dxa"/>
          <w:right w:w="28" w:type="dxa"/>
        </w:tblCellMar>
      </w:tblPr>
      <w:tblGrid>
        <w:gridCol w:w="1092"/>
        <w:gridCol w:w="960"/>
        <w:gridCol w:w="963"/>
        <w:gridCol w:w="211"/>
        <w:gridCol w:w="796"/>
        <w:gridCol w:w="109"/>
        <w:gridCol w:w="109"/>
        <w:gridCol w:w="109"/>
        <w:gridCol w:w="109"/>
        <w:gridCol w:w="211"/>
        <w:gridCol w:w="901"/>
        <w:gridCol w:w="109"/>
        <w:gridCol w:w="109"/>
        <w:gridCol w:w="109"/>
        <w:gridCol w:w="109"/>
        <w:gridCol w:w="211"/>
        <w:gridCol w:w="826"/>
        <w:gridCol w:w="109"/>
        <w:gridCol w:w="109"/>
        <w:gridCol w:w="109"/>
        <w:gridCol w:w="109"/>
        <w:gridCol w:w="218"/>
        <w:gridCol w:w="218"/>
        <w:gridCol w:w="316"/>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notes payable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pPr>
      <w:r>
        <w:rPr>
          <w:rFonts w:ascii="Times New Roman;sans-serif" w:hAnsi="Times New Roman;sans-serif"/>
          <w:b w:val="false"/>
          <w:color w:val="000000"/>
          <w:sz w:val="20"/>
        </w:rPr>
        <w:t xml:space="preserve">The </w:t>
      </w:r>
      <w:r>
        <w:rPr>
          <w:rFonts w:ascii="Times New Roman;sans-serif" w:hAnsi="Times New Roman;sans-serif"/>
          <w:b w:val="false"/>
          <w:color w:val="000000"/>
          <w:sz w:val="20"/>
          <w:shd w:fill="FFFFFF" w:val="clear"/>
        </w:rPr>
        <w:t>decrease</w:t>
      </w:r>
      <w:r>
        <w:rPr>
          <w:color w:val="000000"/>
        </w:rPr>
        <w:t xml:space="preserve"> </w:t>
      </w:r>
      <w:r>
        <w:rPr>
          <w:rFonts w:ascii="Times New Roman;sans-serif" w:hAnsi="Times New Roman;sans-serif"/>
          <w:b w:val="false"/>
          <w:color w:val="000000"/>
          <w:sz w:val="20"/>
        </w:rPr>
        <w:t>in the Loss on settlement of notes payable during the three months ended June 30, 2024 was driven by a reduced conversion volume during the period. In addition, during the three months ended June 30, 2023, we recognized an $11.4 million Loss on settlement of notes payable from amendments to our Secured SPA Notes in May 2023 accounted for as extinguishments. During the three months ended June 30, 2024, note holders converted $15.4 million of notes payable compared with $94.4 million in the comparable prior year period. The impact of the volume difference is offset by a larger loss on settlement per dollar of principal during the three months ended June 30, 2024. The increase in the loss on settlement per dollar of principal was driven by the trailing-twelve-month trend of declines in the fair value of our notes payable driven by the change in our stock price over the period and improvements in the conversion terms of the notes from June 30, 2023 to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48285"/>
                <wp:effectExtent l="0" t="0" r="0" b="0"/>
                <wp:wrapNone/>
                <wp:docPr id="59" name="Frame5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Loss on Related Party Notes Payable</w:t>
      </w:r>
    </w:p>
    <w:tbl>
      <w:tblPr>
        <w:tblW w:w="7588" w:type="dxa"/>
        <w:jc w:val="left"/>
        <w:tblInd w:w="0" w:type="dxa"/>
        <w:tblLayout w:type="fixed"/>
        <w:tblCellMar>
          <w:top w:w="28" w:type="dxa"/>
          <w:left w:w="28" w:type="dxa"/>
          <w:bottom w:w="28" w:type="dxa"/>
          <w:right w:w="28" w:type="dxa"/>
        </w:tblCellMar>
      </w:tblPr>
      <w:tblGrid>
        <w:gridCol w:w="1081"/>
        <w:gridCol w:w="951"/>
        <w:gridCol w:w="953"/>
        <w:gridCol w:w="250"/>
        <w:gridCol w:w="481"/>
        <w:gridCol w:w="129"/>
        <w:gridCol w:w="129"/>
        <w:gridCol w:w="129"/>
        <w:gridCol w:w="129"/>
        <w:gridCol w:w="250"/>
        <w:gridCol w:w="818"/>
        <w:gridCol w:w="129"/>
        <w:gridCol w:w="109"/>
        <w:gridCol w:w="109"/>
        <w:gridCol w:w="109"/>
        <w:gridCol w:w="211"/>
        <w:gridCol w:w="616"/>
        <w:gridCol w:w="109"/>
        <w:gridCol w:w="109"/>
        <w:gridCol w:w="109"/>
        <w:gridCol w:w="109"/>
        <w:gridCol w:w="166"/>
        <w:gridCol w:w="166"/>
        <w:gridCol w:w="237"/>
      </w:tblGrid>
      <w:tr>
        <w:trPr/>
        <w:tc>
          <w:tcPr>
            <w:tcW w:w="108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Loss on related party notes payable</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(6,492)</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76" w:before="1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settlements of related party notes payable during the three months ended June 30, 2024. During the three months ended June 30, 2023, the related party converted Unsecured SPA Notes with principal balances of $12.0 million in exchange for 290,549 shares of our Class A Common Stock. We recognized a Loss on settlement of related party notes payable for the difference between the fair value of the shares issued and the fair value of the debt instrument.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tbl>
      <w:tblPr>
        <w:tblW w:w="6388" w:type="dxa"/>
        <w:jc w:val="left"/>
        <w:tblInd w:w="0" w:type="dxa"/>
        <w:tblLayout w:type="fixed"/>
        <w:tblCellMar>
          <w:top w:w="28" w:type="dxa"/>
          <w:left w:w="28" w:type="dxa"/>
          <w:bottom w:w="28" w:type="dxa"/>
          <w:right w:w="28" w:type="dxa"/>
        </w:tblCellMar>
      </w:tblPr>
      <w:tblGrid>
        <w:gridCol w:w="516"/>
        <w:gridCol w:w="454"/>
        <w:gridCol w:w="455"/>
        <w:gridCol w:w="234"/>
        <w:gridCol w:w="768"/>
        <w:gridCol w:w="121"/>
        <w:gridCol w:w="121"/>
        <w:gridCol w:w="121"/>
        <w:gridCol w:w="121"/>
        <w:gridCol w:w="234"/>
        <w:gridCol w:w="601"/>
        <w:gridCol w:w="121"/>
        <w:gridCol w:w="109"/>
        <w:gridCol w:w="109"/>
        <w:gridCol w:w="109"/>
        <w:gridCol w:w="211"/>
        <w:gridCol w:w="691"/>
        <w:gridCol w:w="109"/>
        <w:gridCol w:w="109"/>
        <w:gridCol w:w="109"/>
        <w:gridCol w:w="109"/>
        <w:gridCol w:w="269"/>
        <w:gridCol w:w="271"/>
        <w:gridCol w:w="316"/>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expense was primarily due to the financial obligation on sale and leaseback transaction that did not exist during the three months ended June 30, 2023.</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Related Party Interest Expense</w:t>
      </w:r>
    </w:p>
    <w:tbl>
      <w:tblPr>
        <w:tblW w:w="7635" w:type="dxa"/>
        <w:jc w:val="left"/>
        <w:tblInd w:w="0" w:type="dxa"/>
        <w:tblLayout w:type="fixed"/>
        <w:tblCellMar>
          <w:top w:w="28" w:type="dxa"/>
          <w:left w:w="28" w:type="dxa"/>
          <w:bottom w:w="28" w:type="dxa"/>
          <w:right w:w="28" w:type="dxa"/>
        </w:tblCellMar>
      </w:tblPr>
      <w:tblGrid>
        <w:gridCol w:w="929"/>
        <w:gridCol w:w="817"/>
        <w:gridCol w:w="819"/>
        <w:gridCol w:w="246"/>
        <w:gridCol w:w="807"/>
        <w:gridCol w:w="127"/>
        <w:gridCol w:w="127"/>
        <w:gridCol w:w="127"/>
        <w:gridCol w:w="127"/>
        <w:gridCol w:w="246"/>
        <w:gridCol w:w="509"/>
        <w:gridCol w:w="127"/>
        <w:gridCol w:w="109"/>
        <w:gridCol w:w="109"/>
        <w:gridCol w:w="109"/>
        <w:gridCol w:w="211"/>
        <w:gridCol w:w="691"/>
        <w:gridCol w:w="109"/>
        <w:gridCol w:w="109"/>
        <w:gridCol w:w="109"/>
        <w:gridCol w:w="109"/>
        <w:gridCol w:w="323"/>
        <w:gridCol w:w="323"/>
        <w:gridCol w:w="316"/>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interest expense</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pPr>
      <w:r>
        <w:rPr>
          <w:rFonts w:ascii="Times New Roman;sans-serif" w:hAnsi="Times New Roman;sans-serif"/>
          <w:b w:val="false"/>
          <w:color w:val="000000"/>
          <w:sz w:val="20"/>
        </w:rPr>
        <w:t xml:space="preserve">The increase in Related party interest expense was due to our default on the Chongquing Leshi Small Loan Co., Ltd. note, which resulted in a substantial increase in our interest rate along with additional interest expense and penalties. As discussed in Note 8, </w:t>
      </w:r>
      <w:r>
        <w:rPr>
          <w:rFonts w:ascii="Times New Roman;sans-serif" w:hAnsi="Times New Roman;sans-serif"/>
          <w:b w:val="false"/>
          <w:i/>
          <w:color w:val="000000"/>
          <w:sz w:val="20"/>
        </w:rPr>
        <w:t xml:space="preserve">Related Party Transactions </w:t>
      </w:r>
      <w:r>
        <w:rPr>
          <w:rFonts w:ascii="Times New Roman;sans-serif" w:hAnsi="Times New Roman;sans-serif"/>
          <w:b w:val="false"/>
          <w:color w:val="000000"/>
          <w:sz w:val="20"/>
        </w:rPr>
        <w:t>in the notes to the Unaudited Condensed Consolidated Financial Statements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we had previously negotiated with a related party to partially forgive debt and interest on its related note, in exchange for the promise to make payments on a scheduled basis. The interest related to this note was reinstated during the first quarter of 2024 due to our default on the underlying note.</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Expense, net</w:t>
      </w:r>
    </w:p>
    <w:tbl>
      <w:tblPr>
        <w:tblW w:w="6328" w:type="dxa"/>
        <w:jc w:val="left"/>
        <w:tblInd w:w="0" w:type="dxa"/>
        <w:tblLayout w:type="fixed"/>
        <w:tblCellMar>
          <w:top w:w="28" w:type="dxa"/>
          <w:left w:w="28" w:type="dxa"/>
          <w:bottom w:w="28" w:type="dxa"/>
          <w:right w:w="28" w:type="dxa"/>
        </w:tblCellMar>
      </w:tblPr>
      <w:tblGrid>
        <w:gridCol w:w="586"/>
        <w:gridCol w:w="516"/>
        <w:gridCol w:w="517"/>
        <w:gridCol w:w="234"/>
        <w:gridCol w:w="601"/>
        <w:gridCol w:w="121"/>
        <w:gridCol w:w="121"/>
        <w:gridCol w:w="121"/>
        <w:gridCol w:w="121"/>
        <w:gridCol w:w="234"/>
        <w:gridCol w:w="768"/>
        <w:gridCol w:w="121"/>
        <w:gridCol w:w="109"/>
        <w:gridCol w:w="109"/>
        <w:gridCol w:w="109"/>
        <w:gridCol w:w="211"/>
        <w:gridCol w:w="616"/>
        <w:gridCol w:w="109"/>
        <w:gridCol w:w="109"/>
        <w:gridCol w:w="109"/>
        <w:gridCol w:w="109"/>
        <w:gridCol w:w="180"/>
        <w:gridCol w:w="181"/>
        <w:gridCol w:w="316"/>
      </w:tblGrid>
      <w:tr>
        <w:trPr/>
        <w:tc>
          <w:tcPr>
            <w:tcW w:w="5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Other expense, net was primarily due to a decrease in foreign currency transaction losses resulting from the revaluation of transactions denominated in currencies other than U.S. Dollars that are remeasured at the end of each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48285"/>
                <wp:effectExtent l="0" t="0" r="0" b="0"/>
                <wp:wrapNone/>
                <wp:docPr id="60" name="Frame6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Comparison of results of operations for the six months ended June 30, 2024 versus the six months ended June 30, 2023:</w:t>
      </w:r>
    </w:p>
    <w:tbl>
      <w:tblPr>
        <w:tblW w:w="9908" w:type="dxa"/>
        <w:jc w:val="left"/>
        <w:tblInd w:w="0" w:type="dxa"/>
        <w:tblLayout w:type="fixed"/>
        <w:tblCellMar>
          <w:top w:w="28" w:type="dxa"/>
          <w:left w:w="28" w:type="dxa"/>
          <w:bottom w:w="28" w:type="dxa"/>
          <w:right w:w="28" w:type="dxa"/>
        </w:tblCellMar>
      </w:tblPr>
      <w:tblGrid>
        <w:gridCol w:w="2565"/>
        <w:gridCol w:w="2253"/>
        <w:gridCol w:w="2276"/>
        <w:gridCol w:w="211"/>
        <w:gridCol w:w="901"/>
        <w:gridCol w:w="109"/>
        <w:gridCol w:w="109"/>
        <w:gridCol w:w="109"/>
        <w:gridCol w:w="109"/>
        <w:gridCol w:w="211"/>
        <w:gridCol w:w="901"/>
        <w:gridCol w:w="154"/>
      </w:tblGrid>
      <w:tr>
        <w:trPr/>
        <w:tc>
          <w:tcPr>
            <w:tcW w:w="2565"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Operations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 of revenues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impairment loss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on disposal on property, plant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earnout liability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(151,827)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notes payable and warrant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related party notes payable and related party warrant liabilities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notes payable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related party notes payable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interest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(269,873)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(269,901)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Revenues</w:t>
      </w:r>
    </w:p>
    <w:tbl>
      <w:tblPr>
        <w:tblW w:w="5364" w:type="dxa"/>
        <w:jc w:val="left"/>
        <w:tblInd w:w="0" w:type="dxa"/>
        <w:tblLayout w:type="fixed"/>
        <w:tblCellMar>
          <w:top w:w="28" w:type="dxa"/>
          <w:left w:w="28" w:type="dxa"/>
          <w:bottom w:w="28" w:type="dxa"/>
          <w:right w:w="28" w:type="dxa"/>
        </w:tblCellMar>
      </w:tblPr>
      <w:tblGrid>
        <w:gridCol w:w="407"/>
        <w:gridCol w:w="358"/>
        <w:gridCol w:w="359"/>
        <w:gridCol w:w="256"/>
        <w:gridCol w:w="566"/>
        <w:gridCol w:w="132"/>
        <w:gridCol w:w="132"/>
        <w:gridCol w:w="132"/>
        <w:gridCol w:w="132"/>
        <w:gridCol w:w="256"/>
        <w:gridCol w:w="493"/>
        <w:gridCol w:w="132"/>
        <w:gridCol w:w="109"/>
        <w:gridCol w:w="109"/>
        <w:gridCol w:w="109"/>
        <w:gridCol w:w="211"/>
        <w:gridCol w:w="466"/>
        <w:gridCol w:w="109"/>
        <w:gridCol w:w="109"/>
        <w:gridCol w:w="109"/>
        <w:gridCol w:w="109"/>
        <w:gridCol w:w="166"/>
        <w:gridCol w:w="166"/>
        <w:gridCol w:w="237"/>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88" w:before="1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Automotive sales revenue was $0.3 million for the six months ended June 30, 2024. On March 29, 2023, we announced the start of production of our first electric vehicle, the FF 91 Futurist and, on April 14, 2023, our first production FF 91 Futurist vehicle came off the line. We started vehicle delivery to its customers during the third quarter of 2023.</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Revenues</w:t>
      </w:r>
    </w:p>
    <w:tbl>
      <w:tblPr>
        <w:tblW w:w="6250" w:type="dxa"/>
        <w:jc w:val="left"/>
        <w:tblInd w:w="0" w:type="dxa"/>
        <w:tblLayout w:type="fixed"/>
        <w:tblCellMar>
          <w:top w:w="28" w:type="dxa"/>
          <w:left w:w="28" w:type="dxa"/>
          <w:bottom w:w="28" w:type="dxa"/>
          <w:right w:w="28" w:type="dxa"/>
        </w:tblCellMar>
      </w:tblPr>
      <w:tblGrid>
        <w:gridCol w:w="532"/>
        <w:gridCol w:w="468"/>
        <w:gridCol w:w="46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33"/>
        <w:gridCol w:w="233"/>
        <w:gridCol w:w="316"/>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revenues was $41.7 million for the six months ended June 30, 2024. We began production of vehicles during the second quarter of 2023 and began delivering vehicles in the third quarter of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48285"/>
                <wp:effectExtent l="0" t="0" r="0" b="0"/>
                <wp:wrapNone/>
                <wp:docPr id="61" name="Frame6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(R&amp;D)</w:t>
      </w:r>
    </w:p>
    <w:tbl>
      <w:tblPr>
        <w:tblW w:w="7240" w:type="dxa"/>
        <w:jc w:val="left"/>
        <w:tblInd w:w="0" w:type="dxa"/>
        <w:tblLayout w:type="fixed"/>
        <w:tblCellMar>
          <w:top w:w="28" w:type="dxa"/>
          <w:left w:w="28" w:type="dxa"/>
          <w:bottom w:w="28" w:type="dxa"/>
          <w:right w:w="28" w:type="dxa"/>
        </w:tblCellMar>
      </w:tblPr>
      <w:tblGrid>
        <w:gridCol w:w="835"/>
        <w:gridCol w:w="734"/>
        <w:gridCol w:w="740"/>
        <w:gridCol w:w="211"/>
        <w:gridCol w:w="721"/>
        <w:gridCol w:w="109"/>
        <w:gridCol w:w="109"/>
        <w:gridCol w:w="109"/>
        <w:gridCol w:w="109"/>
        <w:gridCol w:w="211"/>
        <w:gridCol w:w="721"/>
        <w:gridCol w:w="109"/>
        <w:gridCol w:w="109"/>
        <w:gridCol w:w="109"/>
        <w:gridCol w:w="109"/>
        <w:gridCol w:w="211"/>
        <w:gridCol w:w="796"/>
        <w:gridCol w:w="109"/>
        <w:gridCol w:w="109"/>
        <w:gridCol w:w="109"/>
        <w:gridCol w:w="109"/>
        <w:gridCol w:w="218"/>
        <w:gridCol w:w="218"/>
        <w:gridCol w:w="316"/>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R&amp;D expense is primarily due to the reduction in ED&amp;T, General expenses and Information technology of $21.1 million, $4.0 million, and $2.0 million, respectively, as we substantially completed R&amp;D activities related to the FF91 in late 2023 and moved into production. In addition, there was a decrease in personnel and compensation expenses of $35.8 million due to a decrease in headcount resulting from both the substantial completion of R&amp;D and cost saving measures implemented by us in light of our financial position, as well as a decrease in stock-based compensation expense of $7.0 million resulting from the same reduction in headcount and revaluation of stock-based compensation resulting from the transition of stock-based compensation from liability to equity classification.</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tbl>
      <w:tblPr>
        <w:tblW w:w="6475" w:type="dxa"/>
        <w:jc w:val="left"/>
        <w:tblInd w:w="0" w:type="dxa"/>
        <w:tblLayout w:type="fixed"/>
        <w:tblCellMar>
          <w:top w:w="28" w:type="dxa"/>
          <w:left w:w="28" w:type="dxa"/>
          <w:bottom w:w="28" w:type="dxa"/>
          <w:right w:w="28" w:type="dxa"/>
        </w:tblCellMar>
      </w:tblPr>
      <w:tblGrid>
        <w:gridCol w:w="635"/>
        <w:gridCol w:w="559"/>
        <w:gridCol w:w="560"/>
        <w:gridCol w:w="211"/>
        <w:gridCol w:w="616"/>
        <w:gridCol w:w="109"/>
        <w:gridCol w:w="109"/>
        <w:gridCol w:w="109"/>
        <w:gridCol w:w="109"/>
        <w:gridCol w:w="211"/>
        <w:gridCol w:w="721"/>
        <w:gridCol w:w="109"/>
        <w:gridCol w:w="109"/>
        <w:gridCol w:w="109"/>
        <w:gridCol w:w="109"/>
        <w:gridCol w:w="211"/>
        <w:gridCol w:w="691"/>
        <w:gridCol w:w="109"/>
        <w:gridCol w:w="109"/>
        <w:gridCol w:w="109"/>
        <w:gridCol w:w="109"/>
        <w:gridCol w:w="218"/>
        <w:gridCol w:w="218"/>
        <w:gridCol w:w="316"/>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504"/>
        <w:jc w:val="both"/>
        <w:rPr/>
      </w:pPr>
      <w:r>
        <w:rPr>
          <w:rFonts w:ascii="Times New Roman;sans-serif" w:hAnsi="Times New Roman;sans-serif"/>
          <w:b w:val="false"/>
          <w:color w:val="000000"/>
          <w:sz w:val="20"/>
          <w:shd w:fill="FFFFFF" w:val="clear"/>
        </w:rPr>
        <w:t>The decrease in sales and mark</w:t>
      </w:r>
      <w:r>
        <w:rPr>
          <w:rFonts w:ascii="Times New Roman;sans-serif" w:hAnsi="Times New Roman;sans-serif"/>
          <w:b w:val="false"/>
          <w:color w:val="000000"/>
          <w:sz w:val="20"/>
        </w:rPr>
        <w:t xml:space="preserve">eting expense is primarily due to a decrease in personnel and compensation expenses of $5.0 million due to a decrease in headcount as part of cost saving measures implemented by us in light of our financial position and a decrease of $0.6 million in stock-based compensation expense driven by reductions in headcount and the revaluation of stock-based compensation resulting from the transition of stock-based compensation from liability to equity classification. In addition, there was a decrease in marketing expenses and professional services expenses of $0.9 million and $0.8 million, respectively. </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tbl>
      <w:tblPr>
        <w:tblW w:w="7240" w:type="dxa"/>
        <w:jc w:val="left"/>
        <w:tblInd w:w="0" w:type="dxa"/>
        <w:tblLayout w:type="fixed"/>
        <w:tblCellMar>
          <w:top w:w="28" w:type="dxa"/>
          <w:left w:w="28" w:type="dxa"/>
          <w:bottom w:w="28" w:type="dxa"/>
          <w:right w:w="28" w:type="dxa"/>
        </w:tblCellMar>
      </w:tblPr>
      <w:tblGrid>
        <w:gridCol w:w="835"/>
        <w:gridCol w:w="735"/>
        <w:gridCol w:w="739"/>
        <w:gridCol w:w="211"/>
        <w:gridCol w:w="721"/>
        <w:gridCol w:w="109"/>
        <w:gridCol w:w="109"/>
        <w:gridCol w:w="109"/>
        <w:gridCol w:w="109"/>
        <w:gridCol w:w="211"/>
        <w:gridCol w:w="721"/>
        <w:gridCol w:w="109"/>
        <w:gridCol w:w="109"/>
        <w:gridCol w:w="109"/>
        <w:gridCol w:w="109"/>
        <w:gridCol w:w="211"/>
        <w:gridCol w:w="796"/>
        <w:gridCol w:w="109"/>
        <w:gridCol w:w="109"/>
        <w:gridCol w:w="109"/>
        <w:gridCol w:w="109"/>
        <w:gridCol w:w="218"/>
        <w:gridCol w:w="218"/>
        <w:gridCol w:w="316"/>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504"/>
        <w:jc w:val="both"/>
        <w:rPr/>
      </w:pPr>
      <w:r>
        <w:rPr>
          <w:rFonts w:ascii="Times New Roman;sans-serif" w:hAnsi="Times New Roman;sans-serif"/>
          <w:b w:val="false"/>
          <w:color w:val="000000"/>
          <w:sz w:val="20"/>
          <w:shd w:fill="FFFFFF" w:val="clear"/>
        </w:rPr>
        <w:t>The decrease in gener</w:t>
      </w:r>
      <w:r>
        <w:rPr>
          <w:rFonts w:ascii="Times New Roman;sans-serif" w:hAnsi="Times New Roman;sans-serif"/>
          <w:b w:val="false"/>
          <w:color w:val="000000"/>
          <w:sz w:val="20"/>
        </w:rPr>
        <w:t xml:space="preserve">al and administrative expense was primarily due to the decrease in professional services expense of $8.3 million, personnel and compensation expense of $2.9 million, and stock-based compensation expense of $1.5 million, due to a decrease in headcount as part of cost saving measures implemented by us in light of our financial position. </w:t>
      </w:r>
    </w:p>
    <w:p>
      <w:pPr>
        <w:pStyle w:val="TextBody"/>
        <w:bidi w:val="0"/>
        <w:spacing w:lineRule="auto" w:line="276"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Lease impairment loss</w:t>
      </w:r>
    </w:p>
    <w:tbl>
      <w:tblPr>
        <w:tblW w:w="6714" w:type="dxa"/>
        <w:jc w:val="left"/>
        <w:tblInd w:w="0" w:type="dxa"/>
        <w:tblLayout w:type="fixed"/>
        <w:tblCellMar>
          <w:top w:w="28" w:type="dxa"/>
          <w:left w:w="28" w:type="dxa"/>
          <w:bottom w:w="28" w:type="dxa"/>
          <w:right w:w="28" w:type="dxa"/>
        </w:tblCellMar>
      </w:tblPr>
      <w:tblGrid>
        <w:gridCol w:w="695"/>
        <w:gridCol w:w="611"/>
        <w:gridCol w:w="613"/>
        <w:gridCol w:w="280"/>
        <w:gridCol w:w="817"/>
        <w:gridCol w:w="144"/>
        <w:gridCol w:w="144"/>
        <w:gridCol w:w="144"/>
        <w:gridCol w:w="144"/>
        <w:gridCol w:w="280"/>
        <w:gridCol w:w="539"/>
        <w:gridCol w:w="144"/>
        <w:gridCol w:w="109"/>
        <w:gridCol w:w="109"/>
        <w:gridCol w:w="109"/>
        <w:gridCol w:w="211"/>
        <w:gridCol w:w="616"/>
        <w:gridCol w:w="109"/>
        <w:gridCol w:w="109"/>
        <w:gridCol w:w="109"/>
        <w:gridCol w:w="109"/>
        <w:gridCol w:w="166"/>
        <w:gridCol w:w="166"/>
        <w:gridCol w:w="237"/>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impairment loss</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2024, we moved out of a leased store facility and a leased research facility while working with the landlords to negotiate the related lease terminations, resulting in a lease ROU asset impairment loss of $7.5 million for the loss of use of these two leased facilities. We also terminated one of the operating leases in China, resulting in a net lease ROU asset impairment loss of $0.1 million during the six months ended June 30, 2024. </w:t>
      </w:r>
    </w:p>
    <w:p>
      <w:pPr>
        <w:pStyle w:val="TextBody"/>
        <w:bidi w:val="0"/>
        <w:spacing w:lineRule="auto" w:line="288" w:before="24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(Gain)/Loss on Disposal of Property, Plant and Equipment</w:t>
      </w:r>
    </w:p>
    <w:tbl>
      <w:tblPr>
        <w:tblW w:w="9551" w:type="dxa"/>
        <w:jc w:val="left"/>
        <w:tblInd w:w="0" w:type="dxa"/>
        <w:tblLayout w:type="fixed"/>
        <w:tblCellMar>
          <w:top w:w="28" w:type="dxa"/>
          <w:left w:w="28" w:type="dxa"/>
          <w:bottom w:w="28" w:type="dxa"/>
          <w:right w:w="28" w:type="dxa"/>
        </w:tblCellMar>
      </w:tblPr>
      <w:tblGrid>
        <w:gridCol w:w="1738"/>
        <w:gridCol w:w="1529"/>
        <w:gridCol w:w="1533"/>
        <w:gridCol w:w="233"/>
        <w:gridCol w:w="482"/>
        <w:gridCol w:w="120"/>
        <w:gridCol w:w="120"/>
        <w:gridCol w:w="120"/>
        <w:gridCol w:w="120"/>
        <w:gridCol w:w="233"/>
        <w:gridCol w:w="682"/>
        <w:gridCol w:w="120"/>
        <w:gridCol w:w="109"/>
        <w:gridCol w:w="109"/>
        <w:gridCol w:w="109"/>
        <w:gridCol w:w="211"/>
        <w:gridCol w:w="691"/>
        <w:gridCol w:w="109"/>
        <w:gridCol w:w="109"/>
        <w:gridCol w:w="109"/>
        <w:gridCol w:w="109"/>
        <w:gridCol w:w="269"/>
        <w:gridCol w:w="271"/>
        <w:gridCol w:w="316"/>
      </w:tblGrid>
      <w:tr>
        <w:trPr/>
        <w:tc>
          <w:tcPr>
            <w:tcW w:w="1738"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on disposal on property, plant and equipment</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loss on disposal of property, plant and equipment was primarily due to the non-recurring write-off of $3.7 million during the six months ended June 30, 2023 of certain construction in process assets that are not expected to be used as part of start of production.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48285"/>
                <wp:effectExtent l="0" t="0" r="0" b="0"/>
                <wp:wrapNone/>
                <wp:docPr id="62" name="Frame6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Earnout Liability</w:t>
      </w:r>
    </w:p>
    <w:tbl>
      <w:tblPr>
        <w:tblW w:w="8097" w:type="dxa"/>
        <w:jc w:val="left"/>
        <w:tblInd w:w="0" w:type="dxa"/>
        <w:tblLayout w:type="fixed"/>
        <w:tblCellMar>
          <w:top w:w="28" w:type="dxa"/>
          <w:left w:w="28" w:type="dxa"/>
          <w:bottom w:w="28" w:type="dxa"/>
          <w:right w:w="28" w:type="dxa"/>
        </w:tblCellMar>
      </w:tblPr>
      <w:tblGrid>
        <w:gridCol w:w="1211"/>
        <w:gridCol w:w="1065"/>
        <w:gridCol w:w="1068"/>
        <w:gridCol w:w="237"/>
        <w:gridCol w:w="456"/>
        <w:gridCol w:w="122"/>
        <w:gridCol w:w="122"/>
        <w:gridCol w:w="122"/>
        <w:gridCol w:w="122"/>
        <w:gridCol w:w="237"/>
        <w:gridCol w:w="692"/>
        <w:gridCol w:w="122"/>
        <w:gridCol w:w="109"/>
        <w:gridCol w:w="109"/>
        <w:gridCol w:w="109"/>
        <w:gridCol w:w="211"/>
        <w:gridCol w:w="691"/>
        <w:gridCol w:w="109"/>
        <w:gridCol w:w="109"/>
        <w:gridCol w:w="109"/>
        <w:gridCol w:w="109"/>
        <w:gridCol w:w="269"/>
        <w:gridCol w:w="271"/>
        <w:gridCol w:w="316"/>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earnout liability</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720"/>
        <w:jc w:val="both"/>
        <w:rPr/>
      </w:pPr>
      <w:r>
        <w:rPr>
          <w:rFonts w:ascii="Times New Roman;sans-serif" w:hAnsi="Times New Roman;sans-serif"/>
          <w:b w:val="false"/>
          <w:color w:val="000000"/>
          <w:sz w:val="20"/>
        </w:rPr>
        <w:t xml:space="preserve">As of December 31, 2022, we had reclassified our earnout obligation from equity classification to liability classification as a result of us having insufficient authorized shares to share-settle the earnout, which was previously determined to be equity classified under ASC 815-40, </w:t>
      </w:r>
      <w:r>
        <w:rPr>
          <w:rFonts w:ascii="Times New Roman;sans-serif" w:hAnsi="Times New Roman;sans-serif"/>
          <w:b w:val="false"/>
          <w:i/>
          <w:color w:val="000000"/>
          <w:sz w:val="20"/>
        </w:rPr>
        <w:t>Derivatives and Hedging - Contracts in Entity’s Own Equity</w:t>
      </w:r>
      <w:r>
        <w:rPr>
          <w:rFonts w:ascii="Times New Roman;sans-serif" w:hAnsi="Times New Roman;sans-serif"/>
          <w:b w:val="false"/>
          <w:color w:val="000000"/>
          <w:sz w:val="20"/>
        </w:rPr>
        <w:t>. On February 28, 2023, upon stockholder approval to increase our authorized shares, we had sufficient authorized shares to fully settle all outstanding equity-linked financial instruments. Accordingly, we reclassified the fair value of the Earnout liability of $5.0 million into Additional paid-in capital. The $2.8 million increase in the Earnout liability from December 31, 2022 to February 28, 2023 was recognized as an expense in the Change in fair value of earnout liability during the six months ended June 30, 2023.</w:t>
      </w:r>
    </w:p>
    <w:p>
      <w:pPr>
        <w:pStyle w:val="TextBody"/>
        <w:bidi w:val="0"/>
        <w:spacing w:lineRule="auto" w:line="288" w:before="180" w:after="180"/>
        <w:ind w:left="0" w:right="0" w:firstLine="720"/>
        <w:jc w:val="both"/>
        <w:rPr/>
      </w:pPr>
      <w:r>
        <w:rPr>
          <w:rFonts w:ascii="Times New Roman;sans-serif" w:hAnsi="Times New Roman;sans-serif"/>
          <w:b w:val="false"/>
          <w:color w:val="000000"/>
          <w:sz w:val="20"/>
        </w:rPr>
        <w:t xml:space="preserve">In addition, as of April 21, 2023, we again reclassified our earnout obligation from equity classification to liability classification as a result of us having insufficient authorized shares to share-settle the earnout, which was previously determined to be equity classified under ASC 815-40, </w:t>
      </w:r>
      <w:r>
        <w:rPr>
          <w:rFonts w:ascii="Times New Roman;sans-serif" w:hAnsi="Times New Roman;sans-serif"/>
          <w:b w:val="false"/>
          <w:i/>
          <w:color w:val="000000"/>
          <w:sz w:val="20"/>
        </w:rPr>
        <w:t>Derivatives and Hedging - Contracts in Entity’s Own Equity</w:t>
      </w:r>
      <w:r>
        <w:rPr>
          <w:rFonts w:ascii="Times New Roman;sans-serif" w:hAnsi="Times New Roman;sans-serif"/>
          <w:b w:val="false"/>
          <w:color w:val="000000"/>
          <w:sz w:val="20"/>
        </w:rPr>
        <w:t>. As a result of the reclassification, we reclassified $2.1 million out of Additional paid-in capital into the Earnout liability. The $0.7 million decrease in the Earnout liability from April 21, 2023 to June 30, 2023 was recognized as a gain in the Change in fair value of earnout liability during the six months ended June 30, 2024. There was no comparable transaction during the six months ended June 30, 2024.</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Notes Payable and Warrant Liabilities</w:t>
      </w:r>
    </w:p>
    <w:tbl>
      <w:tblPr>
        <w:tblW w:w="9896" w:type="dxa"/>
        <w:jc w:val="left"/>
        <w:tblInd w:w="0" w:type="dxa"/>
        <w:tblLayout w:type="fixed"/>
        <w:tblCellMar>
          <w:top w:w="28" w:type="dxa"/>
          <w:left w:w="28" w:type="dxa"/>
          <w:bottom w:w="28" w:type="dxa"/>
          <w:right w:w="28" w:type="dxa"/>
        </w:tblCellMar>
      </w:tblPr>
      <w:tblGrid>
        <w:gridCol w:w="1798"/>
        <w:gridCol w:w="1581"/>
        <w:gridCol w:w="1586"/>
        <w:gridCol w:w="211"/>
        <w:gridCol w:w="721"/>
        <w:gridCol w:w="109"/>
        <w:gridCol w:w="109"/>
        <w:gridCol w:w="109"/>
        <w:gridCol w:w="109"/>
        <w:gridCol w:w="211"/>
        <w:gridCol w:w="721"/>
        <w:gridCol w:w="109"/>
        <w:gridCol w:w="109"/>
        <w:gridCol w:w="109"/>
        <w:gridCol w:w="109"/>
        <w:gridCol w:w="211"/>
        <w:gridCol w:w="796"/>
        <w:gridCol w:w="109"/>
        <w:gridCol w:w="109"/>
        <w:gridCol w:w="109"/>
        <w:gridCol w:w="109"/>
        <w:gridCol w:w="218"/>
        <w:gridCol w:w="218"/>
        <w:gridCol w:w="316"/>
      </w:tblGrid>
      <w:tr>
        <w:trPr/>
        <w:tc>
          <w:tcPr>
            <w:tcW w:w="1798"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notes payable and warrant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and 2023, the fair value of our outstanding notes and warrants were revalued at lower values than in the preceding six month periods. Our outstanding notes and warrants were remeasured at predominantly lower fair values due to pricing inputs that use the market price of our Common Stock and debt discount rate, which have experienced a decline.</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2023, the fair value of our notes and warrants decreased substantially due to pricing inputs that use the market price of our Common Stock and debt discount rate, which experienced a significant decline during the period. The change in fair value during the six months ended June 30, 2024 is smaller than during the six months ended June 30, 2023 predominantly due to improvements in our conversion terms and a smaller decline in our stock price during the period.</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Related Party Notes Payable and Related Party Warrant Liabilities</w:t>
      </w:r>
    </w:p>
    <w:tbl>
      <w:tblPr>
        <w:tblW w:w="10205" w:type="dxa"/>
        <w:jc w:val="left"/>
        <w:tblInd w:w="0" w:type="dxa"/>
        <w:tblLayout w:type="fixed"/>
        <w:tblCellMar>
          <w:top w:w="28" w:type="dxa"/>
          <w:left w:w="28" w:type="dxa"/>
          <w:bottom w:w="28" w:type="dxa"/>
          <w:right w:w="28" w:type="dxa"/>
        </w:tblCellMar>
      </w:tblPr>
      <w:tblGrid>
        <w:gridCol w:w="2074"/>
        <w:gridCol w:w="1810"/>
        <w:gridCol w:w="1815"/>
        <w:gridCol w:w="232"/>
        <w:gridCol w:w="582"/>
        <w:gridCol w:w="119"/>
        <w:gridCol w:w="119"/>
        <w:gridCol w:w="119"/>
        <w:gridCol w:w="119"/>
        <w:gridCol w:w="232"/>
        <w:gridCol w:w="513"/>
        <w:gridCol w:w="119"/>
        <w:gridCol w:w="109"/>
        <w:gridCol w:w="109"/>
        <w:gridCol w:w="109"/>
        <w:gridCol w:w="211"/>
        <w:gridCol w:w="527"/>
        <w:gridCol w:w="109"/>
        <w:gridCol w:w="109"/>
        <w:gridCol w:w="109"/>
        <w:gridCol w:w="109"/>
        <w:gridCol w:w="262"/>
        <w:gridCol w:w="264"/>
        <w:gridCol w:w="325"/>
      </w:tblGrid>
      <w:tr>
        <w:trPr/>
        <w:tc>
          <w:tcPr>
            <w:tcW w:w="2074"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related party notes payable and related party warrant liabilities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76" w:before="18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the fair value of our outstanding related party notes and warrants were revalued at higher fair values than in the preceding six month period. The increase in the fair value of the related party notes and warrants during the period was primarily driven by improvements in our stock price, which also contributed to an improvement in our volatility assumption. During the six months ended June 30, 2023, the fair value of our related party notes and warrants decreased substantially due to pricing inputs that use the market price of our Common Stock and debt discount rate, which experienced a significant decline during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48285"/>
                <wp:effectExtent l="0" t="0" r="0" b="0"/>
                <wp:wrapNone/>
                <wp:docPr id="63" name="Frame6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Loss on Settlement of Notes Payable</w:t>
      </w:r>
    </w:p>
    <w:tbl>
      <w:tblPr>
        <w:tblW w:w="8231" w:type="dxa"/>
        <w:jc w:val="left"/>
        <w:tblInd w:w="0" w:type="dxa"/>
        <w:tblLayout w:type="fixed"/>
        <w:tblCellMar>
          <w:top w:w="28" w:type="dxa"/>
          <w:left w:w="28" w:type="dxa"/>
          <w:bottom w:w="28" w:type="dxa"/>
          <w:right w:w="28" w:type="dxa"/>
        </w:tblCellMar>
      </w:tblPr>
      <w:tblGrid>
        <w:gridCol w:w="1092"/>
        <w:gridCol w:w="960"/>
        <w:gridCol w:w="963"/>
        <w:gridCol w:w="211"/>
        <w:gridCol w:w="796"/>
        <w:gridCol w:w="109"/>
        <w:gridCol w:w="109"/>
        <w:gridCol w:w="109"/>
        <w:gridCol w:w="109"/>
        <w:gridCol w:w="211"/>
        <w:gridCol w:w="901"/>
        <w:gridCol w:w="109"/>
        <w:gridCol w:w="109"/>
        <w:gridCol w:w="109"/>
        <w:gridCol w:w="109"/>
        <w:gridCol w:w="211"/>
        <w:gridCol w:w="826"/>
        <w:gridCol w:w="109"/>
        <w:gridCol w:w="109"/>
        <w:gridCol w:w="109"/>
        <w:gridCol w:w="109"/>
        <w:gridCol w:w="218"/>
        <w:gridCol w:w="218"/>
        <w:gridCol w:w="316"/>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notes payable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the Loss on settlement of notes payable during the six months ended June 30, 2024 was driven by a lower conversion volume during the period, partially offset by a higher loss on settlement per dollar of principal. During the six months ended June 30, 2024, note holders converted $33.7 million of notes payable compared to $156.0 million in the comparable prior year period.</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Loss on Related Party Notes Payable</w:t>
      </w:r>
    </w:p>
    <w:tbl>
      <w:tblPr>
        <w:tblW w:w="7886" w:type="dxa"/>
        <w:jc w:val="left"/>
        <w:tblInd w:w="0" w:type="dxa"/>
        <w:tblLayout w:type="fixed"/>
        <w:tblCellMar>
          <w:top w:w="28" w:type="dxa"/>
          <w:left w:w="28" w:type="dxa"/>
          <w:bottom w:w="28" w:type="dxa"/>
          <w:right w:w="28" w:type="dxa"/>
        </w:tblCellMar>
      </w:tblPr>
      <w:tblGrid>
        <w:gridCol w:w="1081"/>
        <w:gridCol w:w="951"/>
        <w:gridCol w:w="953"/>
        <w:gridCol w:w="211"/>
        <w:gridCol w:w="796"/>
        <w:gridCol w:w="109"/>
        <w:gridCol w:w="109"/>
        <w:gridCol w:w="109"/>
        <w:gridCol w:w="109"/>
        <w:gridCol w:w="211"/>
        <w:gridCol w:w="691"/>
        <w:gridCol w:w="109"/>
        <w:gridCol w:w="109"/>
        <w:gridCol w:w="109"/>
        <w:gridCol w:w="109"/>
        <w:gridCol w:w="211"/>
        <w:gridCol w:w="691"/>
        <w:gridCol w:w="109"/>
        <w:gridCol w:w="109"/>
        <w:gridCol w:w="109"/>
        <w:gridCol w:w="109"/>
        <w:gridCol w:w="233"/>
        <w:gridCol w:w="233"/>
        <w:gridCol w:w="316"/>
      </w:tblGrid>
      <w:tr>
        <w:trPr/>
        <w:tc>
          <w:tcPr>
            <w:tcW w:w="108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related party notes payable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68" w:before="0" w:after="180"/>
        <w:ind w:left="0" w:right="0" w:firstLine="450"/>
        <w:jc w:val="both"/>
        <w:rPr/>
      </w:pPr>
      <w:r>
        <w:rPr>
          <w:rFonts w:ascii="Times New Roman;sans-serif" w:hAnsi="Times New Roman;sans-serif"/>
          <w:b w:val="false"/>
          <w:color w:val="000000"/>
          <w:sz w:val="20"/>
        </w:rPr>
        <w:t xml:space="preserve">During the six months ended June 30, 2024, related party note holders converted $0.7 million of related party notes payable, which constituted the remaining outstanding balance, in exchange for 1,324,292 shares of our Class A Common Stock and we recognized a Loss on settlement of related party notes payable for the difference between the fair value of the shares issued and the fair value of the debt instrument. In addition, as discussed in Note 8, </w:t>
      </w:r>
      <w:r>
        <w:rPr>
          <w:rFonts w:ascii="Times New Roman;sans-serif" w:hAnsi="Times New Roman;sans-serif"/>
          <w:b w:val="false"/>
          <w:i/>
          <w:color w:val="000000"/>
          <w:sz w:val="20"/>
        </w:rPr>
        <w:t xml:space="preserve">Related Party Transactions </w:t>
      </w:r>
      <w:r>
        <w:rPr>
          <w:rFonts w:ascii="Times New Roman;sans-serif" w:hAnsi="Times New Roman;sans-serif"/>
          <w:b w:val="false"/>
          <w:color w:val="000000"/>
          <w:sz w:val="20"/>
        </w:rPr>
        <w:t>in the notes to the Unaudited Condensed Consolidated Financial Statements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we also recognized a $14.1 million loss on related party notes from the recognition of interest and penalties and the increase of principal due to our breach of the agreement with Chongquing Leshi Small Loan Co., Ltd. There was no comparable related party loss in the comparable prior year period.</w:t>
      </w:r>
    </w:p>
    <w:p>
      <w:pPr>
        <w:pStyle w:val="TextBody"/>
        <w:bidi w:val="0"/>
        <w:spacing w:lineRule="auto" w:line="26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a related party converted Unsecured SPA Notes with principal balances of $12.0 million in exchange for 290,549 shares of our Class A Common Stock. We recognized a Loss on settlement of related party notes payable for the difference between the fair value of the shares issued and the fair value of the debt instrument.</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tbl>
      <w:tblPr>
        <w:tblW w:w="6176" w:type="dxa"/>
        <w:jc w:val="left"/>
        <w:tblInd w:w="0" w:type="dxa"/>
        <w:tblLayout w:type="fixed"/>
        <w:tblCellMar>
          <w:top w:w="28" w:type="dxa"/>
          <w:left w:w="28" w:type="dxa"/>
          <w:bottom w:w="28" w:type="dxa"/>
          <w:right w:w="28" w:type="dxa"/>
        </w:tblCellMar>
      </w:tblPr>
      <w:tblGrid>
        <w:gridCol w:w="516"/>
        <w:gridCol w:w="454"/>
        <w:gridCol w:w="455"/>
        <w:gridCol w:w="214"/>
        <w:gridCol w:w="702"/>
        <w:gridCol w:w="110"/>
        <w:gridCol w:w="110"/>
        <w:gridCol w:w="110"/>
        <w:gridCol w:w="110"/>
        <w:gridCol w:w="214"/>
        <w:gridCol w:w="550"/>
        <w:gridCol w:w="110"/>
        <w:gridCol w:w="109"/>
        <w:gridCol w:w="109"/>
        <w:gridCol w:w="109"/>
        <w:gridCol w:w="211"/>
        <w:gridCol w:w="691"/>
        <w:gridCol w:w="109"/>
        <w:gridCol w:w="109"/>
        <w:gridCol w:w="109"/>
        <w:gridCol w:w="109"/>
        <w:gridCol w:w="269"/>
        <w:gridCol w:w="271"/>
        <w:gridCol w:w="316"/>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expense was primarily due to the financial obligation on sale and leaseback transaction that did not exist during the six months ended June 30, 2023.</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Related Party Interest Expense</w:t>
      </w:r>
    </w:p>
    <w:tbl>
      <w:tblPr>
        <w:tblW w:w="7349" w:type="dxa"/>
        <w:jc w:val="left"/>
        <w:tblInd w:w="0" w:type="dxa"/>
        <w:tblLayout w:type="fixed"/>
        <w:tblCellMar>
          <w:top w:w="28" w:type="dxa"/>
          <w:left w:w="28" w:type="dxa"/>
          <w:bottom w:w="28" w:type="dxa"/>
          <w:right w:w="28" w:type="dxa"/>
        </w:tblCellMar>
      </w:tblPr>
      <w:tblGrid>
        <w:gridCol w:w="929"/>
        <w:gridCol w:w="817"/>
        <w:gridCol w:w="819"/>
        <w:gridCol w:w="225"/>
        <w:gridCol w:w="737"/>
        <w:gridCol w:w="116"/>
        <w:gridCol w:w="116"/>
        <w:gridCol w:w="116"/>
        <w:gridCol w:w="116"/>
        <w:gridCol w:w="225"/>
        <w:gridCol w:w="465"/>
        <w:gridCol w:w="116"/>
        <w:gridCol w:w="109"/>
        <w:gridCol w:w="109"/>
        <w:gridCol w:w="109"/>
        <w:gridCol w:w="211"/>
        <w:gridCol w:w="691"/>
        <w:gridCol w:w="109"/>
        <w:gridCol w:w="109"/>
        <w:gridCol w:w="109"/>
        <w:gridCol w:w="109"/>
        <w:gridCol w:w="285"/>
        <w:gridCol w:w="286"/>
        <w:gridCol w:w="316"/>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interest expense</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The increase in Related party interest expense was due to our default on the Chongquing Leshi Small Loan Co., Ltd note, which resulted in a substantial increase in our interest rate along with additional interest expense and penalties. As discussed in Note 8, </w:t>
      </w:r>
      <w:r>
        <w:rPr>
          <w:rFonts w:ascii="Times New Roman;sans-serif" w:hAnsi="Times New Roman;sans-serif"/>
          <w:b w:val="false"/>
          <w:i/>
          <w:color w:val="000000"/>
          <w:sz w:val="20"/>
        </w:rPr>
        <w:t>Related Party Transactions, w</w:t>
      </w:r>
      <w:r>
        <w:rPr>
          <w:rFonts w:ascii="Times New Roman;sans-serif" w:hAnsi="Times New Roman;sans-serif"/>
          <w:b w:val="false"/>
          <w:color w:val="000000"/>
          <w:sz w:val="20"/>
        </w:rPr>
        <w:t>e had previously negotiated with a related party to partially forgive debt and interest on its related note, in exchange for the promise to make payments on a scheduled basis. The interest related to this note was reinstated for the first quarter of 2024 due to our default on the underlying note.</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(Expense) Income, Net</w:t>
      </w:r>
    </w:p>
    <w:tbl>
      <w:tblPr>
        <w:tblW w:w="6147" w:type="dxa"/>
        <w:jc w:val="left"/>
        <w:tblInd w:w="0" w:type="dxa"/>
        <w:tblLayout w:type="fixed"/>
        <w:tblCellMar>
          <w:top w:w="28" w:type="dxa"/>
          <w:left w:w="28" w:type="dxa"/>
          <w:bottom w:w="28" w:type="dxa"/>
          <w:right w:w="28" w:type="dxa"/>
        </w:tblCellMar>
      </w:tblPr>
      <w:tblGrid>
        <w:gridCol w:w="586"/>
        <w:gridCol w:w="516"/>
        <w:gridCol w:w="517"/>
        <w:gridCol w:w="239"/>
        <w:gridCol w:w="527"/>
        <w:gridCol w:w="123"/>
        <w:gridCol w:w="123"/>
        <w:gridCol w:w="123"/>
        <w:gridCol w:w="123"/>
        <w:gridCol w:w="239"/>
        <w:gridCol w:w="612"/>
        <w:gridCol w:w="123"/>
        <w:gridCol w:w="109"/>
        <w:gridCol w:w="109"/>
        <w:gridCol w:w="109"/>
        <w:gridCol w:w="211"/>
        <w:gridCol w:w="466"/>
        <w:gridCol w:w="109"/>
        <w:gridCol w:w="109"/>
        <w:gridCol w:w="109"/>
        <w:gridCol w:w="109"/>
        <w:gridCol w:w="269"/>
        <w:gridCol w:w="271"/>
        <w:gridCol w:w="316"/>
      </w:tblGrid>
      <w:tr>
        <w:trPr/>
        <w:tc>
          <w:tcPr>
            <w:tcW w:w="5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Other expense, net was primarily due to a decrease in foreign currency transaction losses resulting from the revaluation of transactions denominated in currencies other than U.S. Dollars that are remeasured at the end of each period.</w:t>
      </w:r>
    </w:p>
    <w:p>
      <w:pPr>
        <w:pStyle w:val="TextBody"/>
        <w:bidi w:val="0"/>
        <w:spacing w:before="180" w:after="180"/>
        <w:ind w:left="0" w:right="0" w:firstLine="504"/>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48285"/>
                <wp:effectExtent l="0" t="0" r="0" b="0"/>
                <wp:wrapNone/>
                <wp:docPr id="64" name="Frame6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Liquidity and Capital Resources</w:t>
      </w:r>
    </w:p>
    <w:p>
      <w:pPr>
        <w:pStyle w:val="TextBody"/>
        <w:bidi w:val="0"/>
        <w:spacing w:lineRule="auto" w:line="288" w:before="16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Going Concern</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evaluated whether there are certain conditions and events, considered in the aggregate, that raise substantial doubt about our ability to continue as a going concern within one year after the date that the Unaudited Condensed Consolidated Financial Statements are issued. Based on our recurring losses from operations since inception and continued cash outflows from operating activities (all as described below), we have concluded that there is substantial doubt about our ability to continue as a going concern for a period of one year from the date that the Unaudited Condensed Consolidated Financial Statements included in this Form 10-Q were issued.</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do not include any adjustments that might result from the outcome of this uncertainty. Accordingly, the Unaudited Condensed Consolidated Financial Statements have been prepared on a basis that assumes we will continue as a going concern and that contemplates the realization of assets and satisfaction of liabilities and commitments in the ordinary course of business.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We have and will continue to devote substantial effort and, to the extent available, capital resources, to strategic planning, engineering, design, and development of our electric vehicle platform, development of vehicle models, finalizing the build out of the FF ieFactory California manufacturing facility, and capital raising. We incurred cumulative losses from operations, negative cash flows from operating activities, and have an accumulated deficit of $4,115.4 million, an unrestricted cash balance of $0.8 million and a negative working capital position of $198.7 million, excluding restricted cash, as of June 30, 2024. During 2023, we delivered our first vehicles but expect to continue generating significant operating losses for the foreseeable future. We have funded our operations and capital needs primarily through the issuance of related party notes payable and notes payable (see Note 7, </w:t>
      </w:r>
      <w:r>
        <w:rPr>
          <w:rFonts w:ascii="Times New Roman;sans-serif" w:hAnsi="Times New Roman;sans-serif"/>
          <w:b w:val="false"/>
          <w:i/>
          <w:color w:val="000000"/>
          <w:sz w:val="20"/>
        </w:rPr>
        <w:t>Notes Payable</w:t>
      </w:r>
      <w:r>
        <w:rPr>
          <w:color w:val="000000"/>
        </w:rPr>
        <w:t xml:space="preserve"> </w:t>
      </w:r>
      <w:r>
        <w:rPr>
          <w:rFonts w:ascii="Times New Roman;sans-serif" w:hAnsi="Times New Roman;sans-serif"/>
          <w:b w:val="false"/>
          <w:color w:val="000000"/>
          <w:sz w:val="20"/>
        </w:rPr>
        <w:t xml:space="preserve">and Note 8, </w:t>
      </w:r>
      <w:r>
        <w:rPr>
          <w:rFonts w:ascii="Times New Roman;sans-serif" w:hAnsi="Times New Roman;sans-serif"/>
          <w:b w:val="false"/>
          <w:i/>
          <w:color w:val="000000"/>
          <w:sz w:val="20"/>
        </w:rPr>
        <w:t>Related Party Transactions</w:t>
      </w:r>
      <w:r>
        <w:rPr>
          <w:color w:val="000000"/>
        </w:rPr>
        <w:t xml:space="preserve"> </w:t>
      </w:r>
      <w:r>
        <w:rPr>
          <w:rFonts w:ascii="Times New Roman;sans-serif" w:hAnsi="Times New Roman;sans-serif"/>
          <w:b w:val="false"/>
          <w:color w:val="000000"/>
          <w:sz w:val="20"/>
        </w:rPr>
        <w:t xml:space="preserve">in the notes to the Unaudited Condensed Consolidated Financial Statements), convertible notes, and the sale of common stock.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Pursuant to the Secured SPA, the Unsecured SPA, the Unsecured Streeterville SPA, the FFVV Joinder, and the Senyun Joinder (collectively the “SPA Commitments”) (see Note 7, </w:t>
      </w:r>
      <w:r>
        <w:rPr>
          <w:rFonts w:ascii="Times New Roman;sans-serif" w:hAnsi="Times New Roman;sans-serif"/>
          <w:b w:val="false"/>
          <w:i/>
          <w:color w:val="000000"/>
          <w:sz w:val="20"/>
        </w:rPr>
        <w:t>Notes Payable</w:t>
      </w:r>
      <w:r>
        <w:rPr>
          <w:color w:val="000000"/>
        </w:rPr>
        <w:t xml:space="preserve"> </w:t>
      </w:r>
      <w:r>
        <w:rPr>
          <w:rFonts w:ascii="Times New Roman;sans-serif" w:hAnsi="Times New Roman;sans-serif"/>
          <w:b w:val="false"/>
          <w:color w:val="000000"/>
          <w:sz w:val="20"/>
        </w:rPr>
        <w:t xml:space="preserve">and Note 8, </w:t>
      </w:r>
      <w:r>
        <w:rPr>
          <w:rFonts w:ascii="Times New Roman;sans-serif" w:hAnsi="Times New Roman;sans-serif"/>
          <w:b w:val="false"/>
          <w:i/>
          <w:color w:val="000000"/>
          <w:sz w:val="20"/>
        </w:rPr>
        <w:t xml:space="preserve">Related Party Transactions </w:t>
      </w:r>
      <w:r>
        <w:rPr>
          <w:rFonts w:ascii="Times New Roman;sans-serif" w:hAnsi="Times New Roman;sans-serif"/>
          <w:b w:val="false"/>
          <w:color w:val="000000"/>
          <w:sz w:val="20"/>
        </w:rPr>
        <w:t xml:space="preserve">in the notes to the Unaudited Condensed Consolidated Financial Statements), we obtained commitments from several investors. As of June 30, 2024, the SPA Commitments totaled $554.5 million, of which $343.2 million was funded, $211.3 million remained to be funded, and $78.6 million in principal was outstanding. As of June 30, 2024, Optional Commitments under the SPA Commitments totaled $366.0 million, of which $47.2 million was funded, $318.8 million remained to be funded, and $9.2 million was outstanding. The remaining amounts to be funded as of June 30, 2024, are subject to the achievement of delivery milestones, satisfaction of closing conditions, resolution of disputes with investors, and satisfaction or waiver of other conditions, including for a portion of such financing an effective registration statement for the shares underlying the applicable notes.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unable to satisfy the closing conditions under the SPA Commitments or obtain additional incremental convertible senior secured note purchasers under the SPA Commitments or other debt or equity financing in a timely manner, on acceptable terms, or at all.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11, 2022, we entered into a three-year Standby Equity Purchase Agreement (the “SEPA”) with YA II PN Ltd. (“Yorkville”). Under terms of the SEPA, we may, at our option, issue and sell from time to time up to $200.0 million (which can be increased up to $350.0 million in the aggregate under our option) of Class A Common Stock to an affiliate of Yorkville Advisors, subject to certain limitations. As of June 30, 2024, we had the right to issue and sell up to an additional $192.5 million, or $342.5 million if we exercise our option under the SEPA, of Class A Common Stock under the SEPA.</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on September 26, 2023, we entered into a sales agreement with Stifel, Nicolaus &amp; Company, Incorporated, B. Riley Securities, Inc., A.G.P./Alliance Global Partners, Wedbush Securities Inc. and Maxim Group LLC, as sales agents, to sell shares of Class A Common Stock, from time to time, with aggregate gross sales proceeds of up to $90.0 million pursuant to the Registration Statement as an “at-the-market” offering under the Securities Act (the “ATM Program”). The ATM Program had been the primary source of liquidity for us since September 2023. SEC rules and regulations, because we failed to timely file the Form 10-K and the Quarterly Report Form 10-Q for the quarter ended March 31, 2024, it is not S-3 eligible and cannot access the ATM Program. As such, our current primary source of liquidity is the issuance of various convertible note instruments.</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issue and sell additional shares of common stock or warrants under the SEPA is constrained by the number of authorized shares of our common stock. We must consider shares issuable under convertible debt, warrants or other obligations with equity rights. In addition, equity issuances can potentially trigger provisions under the SPA Commitments that increase the number of shares to be issued upon conversion and reduce the strike price of related warrants. This could result in us having inadequate authorized shares to meet our outstanding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48285"/>
                <wp:effectExtent l="0" t="0" r="0" b="0"/>
                <wp:wrapNone/>
                <wp:docPr id="65" name="Frame6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project that we will require substantial additional funds to continue operations and support production of the FF 91. If we are unable to find additional sources of capital, we will not have sufficient resources to fund our outstanding obligations and continue operations and we will likely have to file for bankruptcy protection and our assets will likely be liquidated. Our equity holders would likely not receive any recovery at all in a bankruptcy scenario.</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explore various funding and financing alternatives to fund our ongoing operations and to ramp up production. The particular funding and financing mechanisms, terms, timing, and amounts depend on our assessment of opportunities available in the marketplace and the circumstances of the business at the relevant time. However, there have been delays in securing additional funding commitments, which have exacerbated supply chain pressures, among other things. If our ongoing capital raising efforts are unsuccessful or significantly delayed, or if we experience prolonged material adverse trends in our business, production will be delayed or decreased, and actual use of cash, production volume and revenue for 2024 will vary from our previously disclosed forecasts, and such variances may be material. While we are actively engaged in negotiations with potential financing sources, we may be unable to raise additional capital on terms acceptable to us or at all. In addition to the risk that our assumptions and analyses may prove incorrect, the projections may underestimate the professional fees and other costs to be incurred related to the pursuit of various financing options currently being considered and ongoing legal risks. Capital needs to fund development of our remaining product portfolio will highly depend on the market success and profitability of the FF 91 and our ability to accurately estimate and control costs. Apart from the FF 91 series, substantial additional capital would be required to fund operations, research, development, and design efforts for future vehicles.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and since June 30, 2024, we were and have been in default on the SPA Commitments and we are presenting the related notes as current. Since April 2023, we had been in default on, and since January 1, 2024, have been in breach of, our debt agreement with Chongqing Leshi Small Loan Co., Ltd., a related party, with an outstanding principal balance of $7.6 million and interest payable of $18.5 million as of June 30, 2024. </w:t>
      </w:r>
    </w:p>
    <w:p>
      <w:pPr>
        <w:pStyle w:val="TextBody"/>
        <w:bidi w:val="0"/>
        <w:spacing w:lineRule="auto" w:line="288" w:before="16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Sources of Liquidity</w:t>
      </w:r>
    </w:p>
    <w:p>
      <w:pPr>
        <w:pStyle w:val="TextBody"/>
        <w:bidi w:val="0"/>
        <w:spacing w:lineRule="auto" w:line="288" w:before="160" w:after="283"/>
        <w:ind w:left="0" w:right="0" w:firstLine="450"/>
        <w:jc w:val="both"/>
        <w:rPr/>
      </w:pPr>
      <w:r>
        <w:rPr>
          <w:rFonts w:ascii="Times New Roman;sans-serif" w:hAnsi="Times New Roman;sans-serif"/>
          <w:b w:val="false"/>
          <w:color w:val="000000"/>
          <w:sz w:val="20"/>
        </w:rPr>
        <w:t xml:space="preserve">As of June 30, 2024, we maintained unrestricted cash on hand totaling $0.8 million, which was held for working capital and general corporate purposes. We also have access to various sources of additional capital, including the SEPA, the ATM Program, the SPA Commitments and other unsecured convertible notes. Our current primary source of liquidity the issuance of various convertible note instruments. Our ability to access these sources of capital and further information on amounts available is discussed in Note 2, </w:t>
      </w:r>
      <w:r>
        <w:rPr>
          <w:rFonts w:ascii="Times New Roman;sans-serif" w:hAnsi="Times New Roman;sans-serif"/>
          <w:b w:val="false"/>
          <w:i/>
          <w:color w:val="000000"/>
          <w:sz w:val="20"/>
        </w:rPr>
        <w:t>Liquidity and Capital Resources and Going Concern</w:t>
      </w:r>
      <w:r>
        <w:rPr>
          <w:color w:val="000000"/>
        </w:rPr>
        <w:t xml:space="preserve"> </w:t>
      </w:r>
      <w:r>
        <w:rPr>
          <w:rFonts w:ascii="Times New Roman;sans-serif" w:hAnsi="Times New Roman;sans-serif"/>
          <w:b w:val="false"/>
          <w:color w:val="000000"/>
          <w:sz w:val="20"/>
        </w:rPr>
        <w:t>in the notes to the Unaudited Condensed Consolidated Financial Statements.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Significant Related Party Notes Payable and Notes Payable Facilities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We have been significantly funded by notes payable from related parties and third parties. The related parties include employees as well as affiliates of employees and affiliates and other companies controlled or previously controlled by our founder and Chief Product and User Ecosystem Officer. For more information on the outstanding related party notes payable and notes payable as well as the related schedules of maturities, see Note 7, </w:t>
      </w:r>
      <w:r>
        <w:rPr>
          <w:rFonts w:ascii="Times New Roman;sans-serif" w:hAnsi="Times New Roman;sans-serif"/>
          <w:b w:val="false"/>
          <w:i/>
          <w:color w:val="000000"/>
          <w:sz w:val="20"/>
        </w:rPr>
        <w:t>Notes Payable</w:t>
      </w:r>
      <w:r>
        <w:rPr>
          <w:rFonts w:ascii="Times New Roman;sans-serif" w:hAnsi="Times New Roman;sans-serif"/>
          <w:b w:val="false"/>
          <w:color w:val="000000"/>
          <w:sz w:val="20"/>
        </w:rPr>
        <w:t xml:space="preserve">, and Note 8, </w:t>
      </w:r>
      <w:r>
        <w:rPr>
          <w:rFonts w:ascii="Times New Roman;sans-serif" w:hAnsi="Times New Roman;sans-serif"/>
          <w:b w:val="false"/>
          <w:i/>
          <w:color w:val="000000"/>
          <w:sz w:val="20"/>
        </w:rPr>
        <w:t>Related Party Transactions</w:t>
      </w:r>
      <w:r>
        <w:rPr>
          <w:rFonts w:ascii="Times New Roman;sans-serif" w:hAnsi="Times New Roman;sans-serif"/>
          <w:b w:val="false"/>
          <w:color w:val="000000"/>
          <w:sz w:val="20"/>
        </w:rPr>
        <w:t>, of the notes to the Unaudited Condensed Consolidated Financial Statements.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Related party notes payable consists of the following as of June 30, 2024:</w:t>
      </w:r>
    </w:p>
    <w:tbl>
      <w:tblPr>
        <w:tblW w:w="8688" w:type="dxa"/>
        <w:jc w:val="center"/>
        <w:tblInd w:w="0" w:type="dxa"/>
        <w:tblLayout w:type="fixed"/>
        <w:tblCellMar>
          <w:top w:w="28" w:type="dxa"/>
          <w:left w:w="28" w:type="dxa"/>
          <w:bottom w:w="28" w:type="dxa"/>
          <w:right w:w="28" w:type="dxa"/>
        </w:tblCellMar>
      </w:tblPr>
      <w:tblGrid>
        <w:gridCol w:w="1423"/>
        <w:gridCol w:w="1251"/>
        <w:gridCol w:w="1256"/>
        <w:gridCol w:w="109"/>
        <w:gridCol w:w="109"/>
        <w:gridCol w:w="109"/>
        <w:gridCol w:w="424"/>
        <w:gridCol w:w="424"/>
        <w:gridCol w:w="426"/>
        <w:gridCol w:w="109"/>
        <w:gridCol w:w="109"/>
        <w:gridCol w:w="109"/>
        <w:gridCol w:w="434"/>
        <w:gridCol w:w="434"/>
        <w:gridCol w:w="436"/>
        <w:gridCol w:w="109"/>
        <w:gridCol w:w="109"/>
        <w:gridCol w:w="109"/>
        <w:gridCol w:w="211"/>
        <w:gridCol w:w="616"/>
        <w:gridCol w:w="109"/>
        <w:gridCol w:w="109"/>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Maturity</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Interest</w:t>
              <w:br/>
              <w:t>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 Unsecured Convertible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 China various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on Demand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 Convertible FFGP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 FFGP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- 5.27%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Related party notes payable,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Related party notes payable, less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48285"/>
                <wp:effectExtent l="0" t="0" r="0" b="0"/>
                <wp:wrapNone/>
                <wp:docPr id="66" name="Frame6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notes payable agreements with third parties, which consist of the following as of June 30, 2024:</w:t>
      </w:r>
    </w:p>
    <w:tbl>
      <w:tblPr>
        <w:tblW w:w="11277" w:type="dxa"/>
        <w:jc w:val="center"/>
        <w:tblInd w:w="0" w:type="dxa"/>
        <w:tblLayout w:type="fixed"/>
        <w:tblCellMar>
          <w:top w:w="28" w:type="dxa"/>
          <w:left w:w="28" w:type="dxa"/>
          <w:bottom w:w="28" w:type="dxa"/>
          <w:right w:w="28" w:type="dxa"/>
        </w:tblCellMar>
      </w:tblPr>
      <w:tblGrid>
        <w:gridCol w:w="907"/>
        <w:gridCol w:w="615"/>
        <w:gridCol w:w="264"/>
        <w:gridCol w:w="109"/>
        <w:gridCol w:w="109"/>
        <w:gridCol w:w="109"/>
        <w:gridCol w:w="385"/>
        <w:gridCol w:w="385"/>
        <w:gridCol w:w="386"/>
        <w:gridCol w:w="109"/>
        <w:gridCol w:w="109"/>
        <w:gridCol w:w="109"/>
        <w:gridCol w:w="275"/>
        <w:gridCol w:w="275"/>
        <w:gridCol w:w="276"/>
        <w:gridCol w:w="109"/>
        <w:gridCol w:w="109"/>
        <w:gridCol w:w="109"/>
        <w:gridCol w:w="211"/>
        <w:gridCol w:w="826"/>
        <w:gridCol w:w="109"/>
        <w:gridCol w:w="109"/>
        <w:gridCol w:w="109"/>
        <w:gridCol w:w="109"/>
        <w:gridCol w:w="211"/>
        <w:gridCol w:w="736"/>
        <w:gridCol w:w="109"/>
        <w:gridCol w:w="109"/>
        <w:gridCol w:w="109"/>
        <w:gridCol w:w="109"/>
        <w:gridCol w:w="211"/>
        <w:gridCol w:w="631"/>
        <w:gridCol w:w="109"/>
        <w:gridCol w:w="109"/>
        <w:gridCol w:w="109"/>
        <w:gridCol w:w="109"/>
        <w:gridCol w:w="211"/>
        <w:gridCol w:w="721"/>
        <w:gridCol w:w="109"/>
        <w:gridCol w:w="109"/>
        <w:gridCol w:w="109"/>
        <w:gridCol w:w="109"/>
        <w:gridCol w:w="109"/>
        <w:gridCol w:w="109"/>
        <w:gridCol w:w="109"/>
        <w:gridCol w:w="109"/>
        <w:gridCol w:w="109"/>
        <w:gridCol w:w="109"/>
        <w:gridCol w:w="109"/>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Contractual</w:t>
              <w:br/>
              <w:t xml:space="preserve">Interest </w:t>
              <w:br/>
              <w:t>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Unpaid Principal</w:t>
              <w:b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Fair Value</w:t>
              <w:br/>
              <w:t>Measurement</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Original Issue Discount and Proceeds Allocated to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SPA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Unsecured SPA Notes</w:t>
            </w:r>
            <w:r>
              <w:rPr>
                <w:rFonts w:ascii="Times New Roman;sans-serif" w:hAnsi="Times New Roman;sans-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 dates in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 dates in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China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Due on Demand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Related party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Notes payable,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payable,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 includes amounts attributed to the Unsecured Streeterville SPA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notes are classified as current as of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i/>
          <w:color w:val="000000"/>
          <w:sz w:val="20"/>
        </w:rPr>
      </w:pPr>
      <w:r>
        <w:rPr>
          <w:rFonts w:ascii="Times New Roman;sans-serif" w:hAnsi="Times New Roman;sans-serif"/>
          <w:b/>
          <w:i/>
          <w:color w:val="000000"/>
          <w:sz w:val="20"/>
        </w:rPr>
        <w:t>Cash Flow Analysis</w:t>
      </w:r>
    </w:p>
    <w:p>
      <w:pPr>
        <w:pStyle w:val="TextBody"/>
        <w:bidi w:val="0"/>
        <w:spacing w:lineRule="auto" w:line="288" w:before="18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Presented below is a summary of FF’s cash flows for the periods indicated:</w:t>
      </w:r>
    </w:p>
    <w:tbl>
      <w:tblPr>
        <w:tblW w:w="7599" w:type="dxa"/>
        <w:jc w:val="left"/>
        <w:tblInd w:w="0" w:type="dxa"/>
        <w:tblLayout w:type="fixed"/>
        <w:tblCellMar>
          <w:top w:w="28" w:type="dxa"/>
          <w:left w:w="28" w:type="dxa"/>
          <w:bottom w:w="28" w:type="dxa"/>
          <w:right w:w="28" w:type="dxa"/>
        </w:tblCellMar>
      </w:tblPr>
      <w:tblGrid>
        <w:gridCol w:w="1771"/>
        <w:gridCol w:w="1557"/>
        <w:gridCol w:w="1562"/>
        <w:gridCol w:w="211"/>
        <w:gridCol w:w="796"/>
        <w:gridCol w:w="109"/>
        <w:gridCol w:w="109"/>
        <w:gridCol w:w="109"/>
        <w:gridCol w:w="109"/>
        <w:gridCol w:w="211"/>
        <w:gridCol w:w="901"/>
        <w:gridCol w:w="154"/>
      </w:tblGrid>
      <w:tr>
        <w:trPr/>
        <w:tc>
          <w:tcPr>
            <w:tcW w:w="1771"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restricted cash</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jc w:val="both"/>
        <w:rPr>
          <w:rFonts w:ascii="Times New Roman;sans-serif" w:hAnsi="Times New Roman;sans-serif"/>
          <w:b/>
          <w:color w:val="000000"/>
          <w:sz w:val="20"/>
        </w:rPr>
      </w:pPr>
      <w:r>
        <w:rPr>
          <w:rFonts w:ascii="Times New Roman;sans-serif" w:hAnsi="Times New Roman;sans-serif"/>
          <w:b/>
          <w:color w:val="000000"/>
          <w:sz w:val="20"/>
        </w:rPr>
        <w:t>Operating Activities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experience negative cash flows from operations as we design and develop our vehicles and build our infrastructure both in the United States and China. Our cash flows from operating activities are significantly affected by our cash investments to support the growth of our business in areas such as R&amp;D associated with our electric vehicles, corporate planning, and general and administrative functions. Our operating cash flows are also affected by our working capital needs to support growth and fluctuations in personnel-related expenditures, accounts payable, accrued interest, other current liabilities, deposits, and other current assets.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was $29.1 million for the six months ended June 30, 2024 as compared to $160.7 million for the six months ended June 30, 2023. Cash used in operating activities was primarily made up of Net loss, depreciation expense, impairment on leases, changes in fair value of and settlements on notes and related party notes payable and changes in working capital. The change in net cash used in operating activities was primarily driven by decreases to net loss, to losses on settlement notes payable, and to changes in fair value of notes payable and warrant liabilities, and by increases in depreciation expense, loss on impairment on leases, and loss on related party notes payable, and a decrease in cash outflows from operating activities, partially offset by reductions in settlements on notes payable, changes in the fair value of related party notes and a reduction in stock-based compensation expense.</w:t>
      </w:r>
    </w:p>
    <w:p>
      <w:pPr>
        <w:pStyle w:val="TextBody"/>
        <w:bidi w:val="0"/>
        <w:spacing w:lineRule="auto" w:line="288" w:before="240" w:after="160"/>
        <w:jc w:val="both"/>
        <w:rPr>
          <w:rFonts w:ascii="Times New Roman;sans-serif" w:hAnsi="Times New Roman;sans-serif"/>
          <w:b/>
          <w:color w:val="000000"/>
          <w:sz w:val="20"/>
        </w:rPr>
      </w:pPr>
      <w:r>
        <w:rPr>
          <w:rFonts w:ascii="Times New Roman;sans-serif" w:hAnsi="Times New Roman;sans-serif"/>
          <w:b/>
          <w:color w:val="000000"/>
          <w:sz w:val="20"/>
        </w:rPr>
        <w:t>Investing Activities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$0.3 million and $25.9 million for the six months ended June 30, 2024 and 2023, respectively, and was related to the significant decrease in the acquisition of fixed assets due to the reduction of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48285"/>
                <wp:effectExtent l="0" t="0" r="0" b="0"/>
                <wp:wrapNone/>
                <wp:docPr id="67" name="Frame6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240" w:after="160"/>
        <w:jc w:val="both"/>
        <w:rPr>
          <w:rFonts w:ascii="Times New Roman;sans-serif" w:hAnsi="Times New Roman;sans-serif"/>
          <w:b/>
          <w:color w:val="000000"/>
          <w:sz w:val="20"/>
        </w:rPr>
      </w:pPr>
      <w:r>
        <w:rPr>
          <w:rFonts w:ascii="Times New Roman;sans-serif" w:hAnsi="Times New Roman;sans-serif"/>
          <w:b/>
          <w:color w:val="000000"/>
          <w:sz w:val="20"/>
        </w:rPr>
        <w:t>Financing Activities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was $26.7 million and $181.8 million for the six months ended June 30, 2024 and 2023, respectively.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during the six months ended June 30, 2024 primarily consisted of $23.9 million in proceeds from notes payable, net of original issue discount, and $3.0 million in proceeds from related party notes payable.</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during the six months ended June 30, 2023 primarily consisted of $160.8 million in proceeds from notes payable, net of original issue discount, and $4.1 million in proceeds from the exercise of warrants, offset by $1.8 million of notes payable transaction costs.</w:t>
      </w:r>
    </w:p>
    <w:p>
      <w:pPr>
        <w:pStyle w:val="TextBody"/>
        <w:bidi w:val="0"/>
        <w:spacing w:lineRule="auto" w:line="288" w:before="240" w:after="160"/>
        <w:jc w:val="both"/>
        <w:rPr>
          <w:rFonts w:ascii="Times New Roman;sans-serif" w:hAnsi="Times New Roman;sans-serif"/>
          <w:b/>
          <w:color w:val="000000"/>
          <w:sz w:val="20"/>
        </w:rPr>
      </w:pPr>
      <w:r>
        <w:rPr>
          <w:rFonts w:ascii="Times New Roman;sans-serif" w:hAnsi="Times New Roman;sans-serif"/>
          <w:b/>
          <w:color w:val="000000"/>
          <w:sz w:val="20"/>
        </w:rPr>
        <w:t>Effect of Exchange Rate Changes on Cash and Restricted Cash</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effects of exchange rate changes on cash and restricted cash was immaterial for the six months ended June 30, 2024 and $5.6 million for the six months ended June 30, 2023. The effects of exchange rate changes on cash and restricted cash result from fluctuations in the translation of assets and liabilities denominated in foreign currencies, primarily Chinese Renminbi. Fluctuations in exchange rates against the U.S. Dollar may positively or negatively affect our operating results. </w:t>
      </w:r>
    </w:p>
    <w:p>
      <w:pPr>
        <w:pStyle w:val="TextBody"/>
        <w:bidi w:val="0"/>
        <w:spacing w:lineRule="auto" w:line="268" w:before="240" w:after="160"/>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We did not have any material relationships with unconsolidated entities or financial partnerships, such as entities often referred to as structured finance or special purpose entities, that would have been established for the purpose of facilitating off-balance sheet arrangements or other contractually narrow or limited purposes. Thus, we did not have any off-balance sheet arrangements as of June 30, 2024 and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Unaudited Condensed Consolidated Financial Statements requires management to make estimates and assumptions that affect the reported amounts of assets and liabilities, disclosures of contingent liabilities, and the reported amounts of expenses during the reporting period. Management has based its estimates on historical experience and on various other assumptions that are believed to be reasonable under the circumstances, the results of which form the basis for making judgments about the carrying values that are not readily apparent from other sources.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Actual results may differ from these estimates under different assumptions or conditions. Changes in the accounting estimates are reasonably likely to occur from period to period. Accordingly, actual results could differ significantly from the estimates made by our management. To the extent that there are material differences between these estimates and actual results, future financial statement presentation, financial condition, results of operations, and cash flows will be affected. Given the global economic climate, estimates are subject to additional volatility.</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Critical accounting estimates are defined as estimates made in accordance with GAAP that involve a significant level of estimation uncertainty and have had or are reasonably likely to have a material impact on our financial condition or results of operations. For a description of our critical accounting estimates, refer to the section titled “Critical Accounting Estimates” in Management’s Discussion and Analysis of Financial Condition and Results of Operations, set forth in Part II, Item 7, of the Form 10-K. </w:t>
      </w:r>
      <w:r>
        <w:rPr>
          <w:rFonts w:ascii="Times New Roman;sans-serif" w:hAnsi="Times New Roman;sans-serif"/>
          <w:b w:val="false"/>
          <w:color w:val="000000"/>
          <w:sz w:val="20"/>
          <w:shd w:fill="FFFFFF" w:val="clear"/>
        </w:rPr>
        <w:t xml:space="preserve">As of the date of this report, there have been no changes to our critical accounting estimates described in the Form 10-K that have had a material impact on our </w:t>
      </w:r>
      <w:r>
        <w:rPr>
          <w:rFonts w:ascii="Times New Roman;sans-serif" w:hAnsi="Times New Roman;sans-serif"/>
          <w:b w:val="false"/>
          <w:color w:val="000000"/>
          <w:sz w:val="20"/>
        </w:rPr>
        <w:t>Unaudited Condensed Consolidated Financial Statements</w:t>
      </w:r>
      <w:r>
        <w:rPr>
          <w:color w:val="000000"/>
          <w:shd w:fill="FFFFFF" w:val="clear"/>
        </w:rPr>
        <w:t xml:space="preserve"> </w:t>
      </w:r>
      <w:r>
        <w:rPr>
          <w:rFonts w:ascii="Times New Roman;sans-serif" w:hAnsi="Times New Roman;sans-serif"/>
          <w:b w:val="false"/>
          <w:color w:val="000000"/>
          <w:sz w:val="20"/>
          <w:shd w:fill="FFFFFF" w:val="clear"/>
        </w:rPr>
        <w:t>and related footnotes.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See the section titled “</w:t>
      </w:r>
      <w:r>
        <w:rPr>
          <w:rFonts w:ascii="Times New Roman;sans-serif" w:hAnsi="Times New Roman;sans-serif"/>
          <w:b w:val="false"/>
          <w:i/>
          <w:color w:val="000000"/>
          <w:sz w:val="20"/>
        </w:rPr>
        <w:t>Recent Accounting Pronouncements</w:t>
      </w:r>
      <w:r>
        <w:rPr>
          <w:color w:val="000000"/>
        </w:rPr>
        <w:t xml:space="preserve">” </w:t>
      </w:r>
      <w:r>
        <w:rPr>
          <w:rFonts w:ascii="Times New Roman;sans-serif" w:hAnsi="Times New Roman;sans-serif"/>
          <w:b w:val="false"/>
          <w:color w:val="000000"/>
          <w:sz w:val="20"/>
        </w:rPr>
        <w:t xml:space="preserve">in Note 1, </w:t>
      </w:r>
      <w:r>
        <w:rPr>
          <w:rFonts w:ascii="Times New Roman;sans-serif" w:hAnsi="Times New Roman;sans-serif"/>
          <w:b w:val="false"/>
          <w:i/>
          <w:color w:val="000000"/>
          <w:sz w:val="20"/>
        </w:rPr>
        <w:t>Nature of Business and Organization and Basis of Presentation</w:t>
      </w:r>
      <w:r>
        <w:rPr>
          <w:color w:val="000000"/>
        </w:rPr>
        <w:t xml:space="preserve"> </w:t>
      </w:r>
      <w:r>
        <w:rPr>
          <w:rFonts w:ascii="Times New Roman;sans-serif" w:hAnsi="Times New Roman;sans-serif"/>
          <w:b w:val="false"/>
          <w:color w:val="000000"/>
          <w:sz w:val="20"/>
        </w:rPr>
        <w:t>in our Unaudited Condensed Consolidated Financial Statements included elsewhere in this Form 10-Q for a discussion about recent accounting pronouncements that are determined to be applicable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Item 305(e) of Regulation S-K, FF is not required to provide the information required by this Item as it is a “smaller reporting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48285"/>
                <wp:effectExtent l="0" t="0" r="0" b="0"/>
                <wp:wrapNone/>
                <wp:docPr id="68" name="Frame6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60" w:after="180"/>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FF’s disclosure controls and procedures are designed to ensure that information required to be disclosed by the issuer in the reports that FF files or submits under the Exchange Act, is recorded, processed, summarized, and reported within the time periods specified in the SEC’s rules and forms, and that such information is accumulated and communicated to management, including its Global Chief Executive Officer and its Interim Chief Financial Officer, as appropriate to allow timely decisions regarding required disclosure.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Based on an evaluation of FF’s disclosure controls and procedures (as defined in Rules 13a-15(e) and 15d-15(e) of the Exchange Act), FF’s Global Chief Executive Officer and Interim Chief Financial Officer (its principal executive officer and principal financial and accounting officer, respectively) have concluded that FF’s disclosure controls and procedures were not effective as of June 30, 2024, due to the material weaknesses in our internal control over financial reporting described below.</w:t>
      </w:r>
    </w:p>
    <w:p>
      <w:pPr>
        <w:pStyle w:val="TextBody"/>
        <w:bidi w:val="0"/>
        <w:spacing w:lineRule="auto" w:line="288" w:before="160" w:after="180"/>
        <w:jc w:val="both"/>
        <w:rPr>
          <w:rFonts w:ascii="Times New Roman;sans-serif" w:hAnsi="Times New Roman;sans-serif"/>
          <w:b/>
          <w:i/>
          <w:color w:val="000000"/>
          <w:sz w:val="20"/>
        </w:rPr>
      </w:pPr>
      <w:r>
        <w:rPr>
          <w:rFonts w:ascii="Times New Roman;sans-serif" w:hAnsi="Times New Roman;sans-serif"/>
          <w:b/>
          <w:i/>
          <w:color w:val="000000"/>
          <w:sz w:val="20"/>
        </w:rPr>
        <w:t>Material Weaknesses in Internal Control Over Financial Reporting</w:t>
      </w:r>
    </w:p>
    <w:p>
      <w:pPr>
        <w:pStyle w:val="TextBody"/>
        <w:bidi w:val="0"/>
        <w:spacing w:lineRule="auto" w:line="288" w:before="160" w:after="180"/>
        <w:ind w:left="0" w:right="0" w:firstLine="540"/>
        <w:jc w:val="both"/>
        <w:rPr/>
      </w:pPr>
      <w:r>
        <w:rPr>
          <w:rFonts w:ascii="Times New Roman;sans-serif" w:hAnsi="Times New Roman;sans-serif"/>
          <w:b w:val="false"/>
          <w:color w:val="000000"/>
          <w:sz w:val="20"/>
        </w:rPr>
        <w:t xml:space="preserve">FF’s management is responsible for establishing and maintaining adequate internal control over financial reporting, as such term is defined under Rule 13a-15(f) of the Exchange Act. Under the supervision and with the participation of the Company’s management, including FF’s Global CEO and Interim Chief Financial Officer, we conducted an evaluation of the effectiveness of the Company’s internal control over financial reporting based on the framework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Based on this evaluation, due to the material weaknesses described below, we concluded that the system of internal control over financial reporting was not effective.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identified material weaknesses in FF’s internal control over financial reporting. A material weakness is a deficiency, or combination of deficiencies, in internal control over financial reporting such that there is a reasonable possibility that a material misstatement of its annual or interim consolidated financial statements will not be prevented or detected on a timely basis. The material weaknesses are as follows: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FF did not design and maintain an effective control environment commensurate with its financial reporting requirements. Specifically, FF lacked a sufficient number of professionals with an appropriate level of accounting knowledge, training and experience to appropriately analyze, record and disclose accounting matters timely and accurately. Additionally, management did not establish formal reporting lines in pursuit of its objectives. Further, the lack of a sufficient number of professionals resulted in an inability to consistently establish appropriate authorities and responsibilities in pursuit of its financial reporting objectives, as demonstrated by, among other things, insufficient segregation of duties in its finance and accounting functions.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FF did not design and maintain effective controls in response to the risks of material misstatement. Specifically, changes to existing controls or the implementation of new controls were not sufficient to respond to changes to the risks of material misstatement to financial reporting, due to growth in the business.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FF did not design and maintain effective controls for communicating and sharing information between the legal, capital markets, and accounting and finance departments. Specifically, the accounting and finance departments were not consistently provided the complete and adequate support, documentation, and information including the nature of relationships with certain counterparties to record transactions within the financial statements timely, completely and accurately.</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FF did not design and maintain effective controls to address the identification of and accounting for certain non-routine, unusual or complex transactions, including the proper application of generally accepted accounting principles to such transactions. Specifically, FF did not design and maintain controls to timely identify and account for convertible notes under the fair value option, warrant liabilities, embedded derivatives related to convertible notes, impute interest on related party notes payable with interest rates below market rates, account for failed sale leaseback transactions, and account for warrant instruments.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FF did not design and maintain formal accounting policies, procedures and controls to achieve complete, accurate and timely financial accounting, reporting and disclosures, including controls over the period-end financial reporting process addressing areas including financial statement and footnote presentation and disclosures, account reconciliations and journal entries, including segregation of duties, assessing the reliability of reports and spreadsheets used in controls, and the timely identification and accounting for cut-off of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48285"/>
                <wp:effectExtent l="0" t="0" r="0" b="0"/>
                <wp:wrapNone/>
                <wp:docPr id="69" name="Frame6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FF did not design and maintain effective controls over information technology (“IT”) general controls for information systems that are relevant to the preparation of its financial statements, specifically, with respect to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and (iii) computer operations controls to ensure that critical batch jobs are monitored and data backups are authorized and monitored. These IT deficiencies did not result in a material misstatement to the consolidated financial statements, however, the deficiencies, when aggregated, could result in material misstatements potentially impacting all financial statement accounts and disclosures.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FF did not maintain an effective control environment or demonstrate a commitment to maintain integrity and ethical values. Specifically, members management failed to reinforce the need for compliance and internal control awareness with certain of FF’s governance, accounting and finance policies and procedures. This resulted in inaccurate and incomplete disclosures of certain relationships, arrangements, and transactions.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FF did not design and maintain effective controls related to the identification and disclosure of certain arrangements and transactions with related parties.</w:t>
      </w:r>
    </w:p>
    <w:p>
      <w:pPr>
        <w:pStyle w:val="TextBody"/>
        <w:bidi w:val="0"/>
        <w:spacing w:lineRule="auto" w:line="288" w:before="160" w:after="283"/>
        <w:ind w:left="0" w:right="0" w:firstLine="540"/>
        <w:jc w:val="both"/>
        <w:rPr>
          <w:color w:val="000000"/>
        </w:rPr>
      </w:pPr>
      <w:r>
        <w:rPr>
          <w:color w:val="000000"/>
        </w:rPr>
        <w:t> </w:t>
      </w:r>
      <w:r>
        <w:rPr>
          <w:rFonts w:ascii="Times New Roman;sans-serif" w:hAnsi="Times New Roman;sans-serif"/>
          <w:b w:val="false"/>
          <w:color w:val="000000"/>
          <w:sz w:val="20"/>
        </w:rPr>
        <w:t>Each of the material weaknesses described above could result in a material misstatement to substantially all of the Company’s accounts or disclosures.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Remediation Plan for Material Weaknesses in Internal Control Over Financial Reporting</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actively engaged and committed to taking the steps necessary to remediate the control deficiencies that constituted the material weaknesses. Since identifying the material weaknesses described above, FF made the following enhancements to the Company’s internal control over financial reporting: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FF has added and will continue to add finance and accounting personnel to the organization to strengthen our finance and accounting teams. The additional personnel are expected to provide oversight, structure, reporting lines, and additional review over the Company’s disclosures;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FF has implemented and will continue to develop new accounting policies and procedures, and the Company has installed and continues to configure an IT system relevant to the preparation of the Company’s financial statements to improve communication of key areas across the different departments at FF and to provide adequate structure, accountability, and segregation of duties;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FF has implemented and will continue to develop enhanced controls around FF’s related party transactions, including regular attestations;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FF adopted an Insider Investment Reporting Policy to enhance internal reporting of related party transactions.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remediation activities are continuing during 2024. There have been substantial changes to the composition of the Board as a result of the governance settlement entered into between FF and FF Global, as well as substantial turnover in key management personnel, including accounting, legal and compliance personnel, which could impact our ability to implement the above-described remedial measures. In addition, the Company has engaged various advisory firms to provide consulting services to assist in improving the internal control environment and reviewing the corporate organization on a go-forward basis.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of June 30, 2024, certain departments within the Company report to both Mr. Jia (our founder and Chief Product and User Ecosystem Officer) and Mr. Aydt (our Global Chief Executive Officer), including the Company’s user ecosystem, capital markets, human resources and administration, and FF China (“FFCN”), subject to processes and controls that have been determined and continue to be developed by the Board after consultation with the Company’s management. Further, the Board determined that Mr. Jia is an “officer” of the Company within the meaning of Section 16 of the Exchange Act, and an “executive officer” of the Company under Rule 3b-7 under the Exchange Act. FF has or is planning to put in place processes and controls to mitigate the risks associated with the changes in Mr. Jia’s responsibilities as well as to enhance oversight and corporate governance, including but not limited to:</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Continuing to monitor the segregation of responsibilities and duties in the Company’s user ecosystem, capital markets, human resources and administration, and FFCN;</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Requiring the Board, or a designated committee of the Board, to approve the signing of financing agreements, the hiring, promotion or termination of vice presidents of the Company and above (including additional Section 16 officers), and the adoption of Company-wide compensation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48285"/>
                <wp:effectExtent l="0" t="0" r="0" b="0"/>
                <wp:wrapNone/>
                <wp:docPr id="70" name="Frame7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While the Company has hired a Compliance Officer with the title of a Deputy General Counsel to support its compliance efforts (hired in March 2023), it will continue to review the need to employ a Chief Compliance Officer who will report on a dotted line to the Chair of the Audit Committee; and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Re-engaging external consulting resources review compliance activities and perform work in the capacity of an internal audit function, who will report on a dotted line to the Chair of the Audit Committee.</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above actions and in view of the governance changes that the Company implemented pursuant to the Heads of Agreement and Amended Shareholder Agreement (each as described in Part III, Item 13, Certain Relationships and Related Transactions, and Director Independence, in the Form 10-K) and otherwise, FF expects to engage in additional activities, including, but not limited to: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Continuing to hire key finance and accounting personnel as FF scales and until FF has sufficient technical accounting resources, combined with engaging external consultants to provide support and to assist in the evaluation of more complex applications of generally accepted accounting principles and to assist with documenting and assessing our accounting policies and procedures;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Designing and implementing controls in response to the risks of material misstatement to identify and evaluate changes in FF’s business and the impact on internal controls;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Designing and implementing controls for communicating and sharing information between legal, capital markets, and accounting to facilitate transactions being recorded timely and accurately;</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Designing and implementing formal processes, accounting policies, procedures, and controls supporting certain business processes and our financial close process, including creating standard balance sheet reconciliation templates and journal entry controls assessing the reliability of reports and spreadsheets used in controls; and the timely identification and accounting for cut-off of expenditures;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Designing and implementing controls to address the identification of and accounting for certain non-routine, unusual or complex transactions;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Designing and implementing controls related to the identification and disclosure of certain arrangements and transactions with related parties;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Continuing to implement additional IT systems relevant to the preparation of FF’s financial statements and controls over financial reporting to improve communication of key areas across the different departments at the Company and to provide adequate structure, accountability, and segregation of duties;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Designing and implementing IT general controls, including controls over change management, the review and update of user access controls and controls over critical batch jobs and data backups.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While FF has made progress, the material weaknesses will not be considered remediated until the Company completes the design and implementation of the enhanced controls, the controls operate for a sufficient period of time, and FF has concluded, through testing, that these controls are effective. FF believes that the remediation plan will be sufficient to remediate the identified material weakness and strengthen internal control over financial reporting.</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the Company continues to evaluate and work to improve internal control over financial reporting, FF may determine that additional measures or modifications to the remediation plan are necessary.</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is working to remediate the material weaknesses as efficiently and effectively as possible and expects full remediation could potentially go beyond December 31, 2024. At this time, the Company cannot provide an estimate of costs expected to be incurred in connection with implementing this remediation plan; however, these remediation measures will be time consuming, will result in FF incurring significant costs, and will place significant demands on the Company’s financial and operational resources.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FF believes these efforts will remediate the material weaknesses, the Company may not be able to complete its evaluation, testing or any required remediation in a timely fashion, or at all. FF cannot assure that the measures that have been taken to date and may be taken in the future will be sufficient to remediate the control deficiencies that led to the material weaknesses in internal control over financial reporting or that they will prevent or avoid potential future material weaknesses. The effectiveness of FF’s internal control over financial reporting is subject to various inherent limitations, including cost limitations, judgments used in decision making, assumptions about the likelihood of future events, the possibility of human error and the risk of fraud. Further loss and/or turnover in key management personnel, particularly accounting, finance and legal personnel, may negatively impact FF’s ability to implement its remediation plan. If FF is unable to remediate its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48285"/>
                <wp:effectExtent l="0" t="0" r="0" b="0"/>
                <wp:wrapNone/>
                <wp:docPr id="71" name="Frame7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weaknesses, FF’s ability to record, process and report financial information accurately, and to prepare financial statements within the time periods specified by the forms of the SEC, could be adversely affected which, in turn, may adversely affect the Company’s reputation and business and the market price of the Class A Common Stock. Any such failures could result in litigation or regulatory actions by the SEC or other regulatory authorities, loss of investor confidence, delisting of FF’s securities and harm to FF’s reputation and financial condition, or diversion of financial and management resources from the operation of FF’s business.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6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internal control over financial reporting during the three months ended June 30, 2024, that have materially affected, or are reasonably likely to materially affect, FF’s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48285"/>
                <wp:effectExtent l="0" t="0" r="0" b="0"/>
                <wp:wrapNone/>
                <wp:docPr id="72" name="Frame7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jc w:val="left"/>
        <w:rPr/>
      </w:pPr>
      <w:r>
        <w:rPr>
          <w:rFonts w:ascii="Times New Roman;sans-serif" w:hAnsi="Times New Roman;sans-serif"/>
          <w:b/>
          <w:color w:val="000000"/>
          <w:sz w:val="20"/>
        </w:rPr>
        <w:t>PART</w:t>
      </w:r>
      <w:r>
        <w:rPr>
          <w:color w:val="000000"/>
          <w:shd w:fill="FFFFFF" w:val="clear"/>
        </w:rPr>
        <w:t> </w:t>
      </w:r>
      <w:r>
        <w:rPr>
          <w:rFonts w:ascii="Times New Roman;sans-serif" w:hAnsi="Times New Roman;sans-serif"/>
          <w:b/>
          <w:color w:val="000000"/>
          <w:sz w:val="20"/>
          <w:shd w:fill="FFFFFF" w:val="clear"/>
        </w:rPr>
        <w:t>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From time to time, FF may become involved in legal proceedings arising in the ordinary course of business. We are currently a party to various legal or governmental proceedings, the outcome of which, although currently uncertain, if determined adversely to us, could individually or in the aggregate have a material adverse effect on our business, financial condition, and results of operations. See the section titled “Legal Proceedings” in Note 10,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to the Unaudited Condensed Consolidated Financial Statements included in this Form 10-Q for further discussion of our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from the risk factors previously described under Item 1A of the December 31, 2023 Form 10-K and the March 31, 2024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PURCHASES OF EQUITY SECURITIES</w:t>
      </w:r>
    </w:p>
    <w:p>
      <w:pPr>
        <w:pStyle w:val="TextBody"/>
        <w:bidi w:val="0"/>
        <w:spacing w:lineRule="auto" w:line="268" w:before="0" w:after="0"/>
        <w:ind w:left="0" w:right="0" w:firstLine="540"/>
        <w:jc w:val="both"/>
        <w:rPr/>
      </w:pPr>
      <w:r>
        <w:rPr>
          <w:rFonts w:ascii="Times New Roman;sans-serif" w:hAnsi="Times New Roman;sans-serif"/>
          <w:b w:val="false"/>
          <w:color w:val="000000"/>
          <w:sz w:val="20"/>
        </w:rPr>
        <w:t xml:space="preserve">Pursuant to the Secured SPA, Unsecured SPA, Unsecured Streeterville SPA, and all other eligible unsecured notes (together referred to as the “Notes”), each as amended or supplemented, the Company sold approximately $21.60 million in principal amount of convertible notes to investors since March 31, 2024. On August 2, 2024, Senyun International Ltd. (“Senyun”) exercised its right to convert the outstanding balance of its unsecured notes into Unsecured Convertible Notes pursuant to terms contained in the Securities Purchase Agreement between the Company and Senyun dated as of May 8, 2023. Senyun converted its outstanding balance and accrued interest into $21.1 million of Unsecured Convertible Notes. Under the Secured SPA, Unsecured SPA and Unsecured Streeterville SPA, investors can purchase an additional $506.8 million in aggregate principal amount of convertible notes. The Notes were issued, to the extent issued, or will be issued, to the extent unissued, pursuant to the exemption from registration requirements of the Securities Act, provided by Section 4(a)(2) thereof. See Note 7, </w:t>
      </w:r>
      <w:r>
        <w:rPr>
          <w:rFonts w:ascii="Times New Roman;sans-serif" w:hAnsi="Times New Roman;sans-serif"/>
          <w:b w:val="false"/>
          <w:i/>
          <w:color w:val="000000"/>
          <w:sz w:val="20"/>
        </w:rPr>
        <w:t>Notes Payable</w:t>
      </w:r>
      <w:r>
        <w:rPr>
          <w:color w:val="000000"/>
        </w:rPr>
        <w:t xml:space="preserve"> </w:t>
      </w:r>
      <w:r>
        <w:rPr>
          <w:rFonts w:ascii="Times New Roman;sans-serif" w:hAnsi="Times New Roman;sans-serif"/>
          <w:b w:val="false"/>
          <w:color w:val="000000"/>
          <w:sz w:val="20"/>
        </w:rPr>
        <w:t>in the notes to the Unaudited Condensed Consolidated Financial Statements for additional information regarding the Notes.</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SPA Notes, upon the funding, may be converted into shares of Class A Common Stock on a cashless basis at any time, at the request of the holders subject to the availability of registered shares or the note holder satisfying the holding period pursuant to Rule 144 of the Securities Act. As of August 9, 2024, the principal conversion price of the Notes under Secured SPA, Unsecured SPA and Unsecured Streeterville SPA was $0.7332 per share and the interest make whole conversion price was $10.896 per share. The principal conversion price is subject to a full ratchet anti-dilution price protection if the Company has a subsequent equity sale below $0.7332 per share. On August 2, 2024, the Company entered into a Waiver Agreement with certain investors, which allowed the investors to, upon the delivery of a conversion notice, adjust the principal conversion price and the interest conversion price to the lower of (i) the existing principal conversion price and (ii) 90% of prior day VWAP of the Company’s Common Stock. For every $1.0 million of notes converted, the Company would issue 25,555,555, 12,777,777, 5,111,111, 2,555,555, 1,568,466, 1,568,466, and 1,568,466 shares at a hypothetical per share price of common stock of $0.05, $0.10, $0.25, $0.50, $1.00, $2.50, and $5.00, respectively. </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shares to be issued upon conversion of the principal amounts under the convertible notes to each of the holders will be issued pursuant to the exemption from the registration requirements of the Securities Act provided by Section 3(a)(9)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60" w:after="283"/>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60" w:after="283"/>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48285"/>
                <wp:effectExtent l="0" t="0" r="0" b="0"/>
                <wp:wrapNone/>
                <wp:docPr id="73" name="Frame7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No director or Section 16 officer of the Company entered into, modified or terminated a Rule 10b5-1 trading arrangement or any non-Rule 105b-1 trading arrangement during the three months ended June 30, 2024.</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Settlement Agreement</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in July 2023, Palantir Technologies, Inc. (“Palantir”) filed a demand for arbitration against the Company related to the July 12, 2021 Master Subscription Agreement (“MSA”), and in March 2024, the Company and Palantir entered into a settlement and release agreement (the “Settlement and Release Agreement”) pursuant to which, among other things, the Company agreed to pay Palantir $5.0 million in four quarterly installments in 2024 (the “Fees”).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August 9, 2024, the Company and Palantir entered into an amendment to the Settlement and Release Agreement pursuant to which, in lieu of paying the remaining $4.8 million in cash, the Company agreed to issue Palantir $2.4 million of Common Stock by August 9, 2024, and $2.4 million in Common Stock by October 1, 2024. The Company further agreed to register the shares under the Securities Act for resale by Palantir.</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amendment to the Settlement and Release Agreement is qualified in its entirety by reference to the amendment to the Settlement and Release Agreement, a copy of which will be filed as an exhibit to the Company's Quarterly Report on Form 10-Q for the quarter ending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48285"/>
                <wp:effectExtent l="0" t="0" r="0" b="0"/>
                <wp:wrapNone/>
                <wp:docPr id="74" name="Frame7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10"/>
        <w:gridCol w:w="272"/>
        <w:gridCol w:w="273"/>
        <w:gridCol w:w="1943"/>
        <w:gridCol w:w="1728"/>
        <w:gridCol w:w="1733"/>
        <w:gridCol w:w="109"/>
        <w:gridCol w:w="109"/>
        <w:gridCol w:w="109"/>
        <w:gridCol w:w="1057"/>
        <w:gridCol w:w="1057"/>
        <w:gridCol w:w="1505"/>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Exhibit No. </w:t>
            </w:r>
          </w:p>
        </w:tc>
        <w:tc>
          <w:tcPr>
            <w:tcW w:w="5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Incorporation by Reference</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5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Third Amended and Restated Certificate of Incorporation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3.1 to the Current Report on Form 8-K/A filed on August 29, 2023. </w:t>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5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Certificate of Amendment to the Third Amended and Restated Certificate of Incorporation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3.1 to the Current Report on Form 8-K filed on February 7, 2024.</w:t>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5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Second Certificate of Amendment to the Third Amended and Restated Certificate of Incorporation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3.1 to the Current Report on Form 8-K filed on February 26, 2024.</w:t>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5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Third Certificate of Amendment to the Third Amended and Restated Certificate of Incorporation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3.1 to the Current Report on Form 8-K filed on August 1, 2024.</w:t>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5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Amended and Restated Bylaws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3.2 to the Current Report on Form 8-K filed on June 16, 2023.</w:t>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5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Faraday Future Intelligent Electric Inc. Amended and Restated 2021 Stock Incentive Plan, effective June 20,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Faraday Future Intelligent Electric Inc. Amended and Restated 2021 Stock Incentive Plan, effective June 20, 2024</w:t>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5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Purchase Agreement, dated June 21, 2024, by and between the Company and Matthias Aydt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the Current Report on Form 8-K filed on June 24, 2024.</w:t>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5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22024-ceo1.htm">
              <w:r>
                <w:rPr>
                  <w:rStyle w:val="InternetLink"/>
                  <w:rFonts w:ascii="Times New Roman;sans-serif" w:hAnsi="Times New Roman;sans-serif"/>
                  <w:b w:val="false"/>
                  <w:color w:val="0000FF"/>
                  <w:sz w:val="20"/>
                  <w:u w:val="single"/>
                </w:rPr>
                <w:t>Certification of Principal Executive Officer Pursuant to Securities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5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22024-cfo1.htm">
              <w:r>
                <w:rPr>
                  <w:rStyle w:val="InternetLink"/>
                  <w:rFonts w:ascii="Times New Roman;sans-serif" w:hAnsi="Times New Roman;sans-serif"/>
                  <w:b w:val="false"/>
                  <w:color w:val="0000FF"/>
                  <w:sz w:val="20"/>
                  <w:u w:val="single"/>
                </w:rPr>
                <w:t>Certification of Principal Financial Officer Pursuant to Securities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5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22024-ceo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5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q22024-cfo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5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Document Set for the Unaudited Condensed Consolidated Financial Statements and accompanying notes to Unaudited Condensed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5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 formatted in Inline XBRL and included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Designates a management compensation plan, contract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160" w:after="283"/>
        <w:ind w:left="0" w:right="0" w:firstLine="504"/>
        <w:jc w:val="left"/>
        <w:rPr/>
      </w:pPr>
      <w:r>
        <w:rPr/>
      </w:r>
    </w:p>
    <w:p>
      <w:pPr>
        <w:pStyle w:val="TextBody"/>
        <w:bidi w:val="0"/>
        <w:spacing w:before="160" w:after="283"/>
        <w:ind w:left="0" w:right="0" w:firstLine="504"/>
        <w:jc w:val="left"/>
        <w:rPr/>
      </w:pPr>
      <w:r>
        <w:rPr/>
      </w:r>
    </w:p>
    <w:p>
      <w:pPr>
        <w:pStyle w:val="TextBody"/>
        <w:bidi w:val="0"/>
        <w:spacing w:before="160" w:after="283"/>
        <w:ind w:left="0" w:right="0" w:firstLine="504"/>
        <w:jc w:val="left"/>
        <w:rPr/>
      </w:pPr>
      <w:r>
        <w:rPr/>
      </w:r>
    </w:p>
    <w:p>
      <w:pPr>
        <w:pStyle w:val="TextBody"/>
        <w:bidi w:val="0"/>
        <w:spacing w:lineRule="auto" w:line="288" w:before="160" w:after="283"/>
        <w:ind w:left="0" w:right="0" w:firstLine="5040"/>
        <w:jc w:val="left"/>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before="160" w:after="283"/>
        <w:ind w:left="0" w:right="0" w:firstLine="504"/>
        <w:jc w:val="left"/>
        <w:rPr/>
      </w:pPr>
      <w:r>
        <w:rPr/>
      </w:r>
    </w:p>
    <w:p>
      <w:pPr>
        <w:pStyle w:val="TextBody"/>
        <w:bidi w:val="0"/>
        <w:spacing w:lineRule="auto" w:line="288" w:before="160" w:after="283"/>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14, 2024</w:t>
      </w:r>
    </w:p>
    <w:tbl>
      <w:tblPr>
        <w:tblW w:w="4410" w:type="dxa"/>
        <w:jc w:val="left"/>
        <w:tblInd w:w="0" w:type="dxa"/>
        <w:tblLayout w:type="fixed"/>
        <w:tblCellMar>
          <w:top w:w="28" w:type="dxa"/>
          <w:left w:w="28" w:type="dxa"/>
          <w:bottom w:w="28" w:type="dxa"/>
          <w:right w:w="28" w:type="dxa"/>
        </w:tblCellMar>
      </w:tblPr>
      <w:tblGrid>
        <w:gridCol w:w="232"/>
        <w:gridCol w:w="205"/>
        <w:gridCol w:w="208"/>
        <w:gridCol w:w="1096"/>
        <w:gridCol w:w="1096"/>
        <w:gridCol w:w="1573"/>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Matthias Aydt</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Matthias Aydt</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Global Chief Executive Officer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Maroko</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Jonathan Maroko</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30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UNDER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60" w:after="283"/>
        <w:jc w:val="center"/>
        <w:rPr/>
      </w:pPr>
      <w:r>
        <w:rPr/>
      </w:r>
    </w:p>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I, Matthias Aydt, certify that:</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Faraday Future Intelligent Electric Inc.;</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60" w:after="283"/>
        <w:jc w:val="left"/>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14, 2024 </w:t>
      </w:r>
    </w:p>
    <w:tbl>
      <w:tblPr>
        <w:tblW w:w="3011" w:type="dxa"/>
        <w:jc w:val="left"/>
        <w:tblInd w:w="0" w:type="dxa"/>
        <w:tblLayout w:type="fixed"/>
        <w:tblCellMar>
          <w:top w:w="28" w:type="dxa"/>
          <w:left w:w="28" w:type="dxa"/>
          <w:bottom w:w="28" w:type="dxa"/>
          <w:right w:w="28" w:type="dxa"/>
        </w:tblCellMar>
      </w:tblPr>
      <w:tblGrid>
        <w:gridCol w:w="124"/>
        <w:gridCol w:w="109"/>
        <w:gridCol w:w="109"/>
        <w:gridCol w:w="777"/>
        <w:gridCol w:w="777"/>
        <w:gridCol w:w="11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Matthias Aydt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Matthias Aydt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Global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60" w:after="283"/>
        <w:jc w:val="left"/>
        <w:rPr/>
      </w:pPr>
      <w:r>
        <w:rPr/>
      </w:r>
    </w:p>
    <w:p>
      <w:pPr>
        <w:pStyle w:val="TextBody"/>
        <w:bidi w:val="0"/>
        <w:spacing w:before="6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30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UNDER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I, Jonathan Maroko, certify that:</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Faraday Future Intelligent Electric Inc.;</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60" w:after="283"/>
        <w:jc w:val="left"/>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14, 2024 </w:t>
      </w:r>
    </w:p>
    <w:tbl>
      <w:tblPr>
        <w:tblW w:w="4212" w:type="dxa"/>
        <w:jc w:val="left"/>
        <w:tblInd w:w="0" w:type="dxa"/>
        <w:tblLayout w:type="fixed"/>
        <w:tblCellMar>
          <w:top w:w="28" w:type="dxa"/>
          <w:left w:w="28" w:type="dxa"/>
          <w:bottom w:w="28" w:type="dxa"/>
          <w:right w:w="28" w:type="dxa"/>
        </w:tblCellMar>
      </w:tblPr>
      <w:tblGrid>
        <w:gridCol w:w="124"/>
        <w:gridCol w:w="109"/>
        <w:gridCol w:w="109"/>
        <w:gridCol w:w="1133"/>
        <w:gridCol w:w="1133"/>
        <w:gridCol w:w="16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Maroko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Jonathan Maroko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Interim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r>
    </w:tbl>
    <w:p>
      <w:pPr>
        <w:pStyle w:val="TextBody"/>
        <w:bidi w:val="0"/>
        <w:spacing w:before="60" w:after="283"/>
        <w:jc w:val="left"/>
        <w:rPr/>
      </w:pPr>
      <w:r>
        <w:rPr/>
      </w:r>
    </w:p>
    <w:p>
      <w:pPr>
        <w:pStyle w:val="TextBody"/>
        <w:bidi w:val="0"/>
        <w:spacing w:before="6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68" w:before="6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60" w:after="36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60" w:after="30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10-Qof Faraday Future Intelligent Electric Inc. (the “Company”) for the quarterly period ended June 30, 2024, as filed with the Securities and Exchange Commission on the date hereof (the “Report”), I, Matthias Aydt, Global Chief Executive Officer of the Company, certify, pursuant to 18 U.S.C. Section 1350, as adopted pursuant to Section 906 of the Sarbanes-Oxley Act of 2002, to my knowledge, that:</w:t>
      </w:r>
    </w:p>
    <w:p>
      <w:pPr>
        <w:pStyle w:val="TextBody"/>
        <w:bidi w:val="0"/>
        <w:spacing w:lineRule="auto" w:line="288" w:before="18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15(d) of the Securities Exchange Act of 1934, as amended; and </w:t>
      </w:r>
    </w:p>
    <w:p>
      <w:pPr>
        <w:pStyle w:val="TextBody"/>
        <w:bidi w:val="0"/>
        <w:spacing w:lineRule="auto" w:line="288" w:before="6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40" w:after="36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18 U.S.C. Section 1350 and is not being filed as part of the Report.</w:t>
      </w:r>
    </w:p>
    <w:p>
      <w:pPr>
        <w:pStyle w:val="TextBody"/>
        <w:bidi w:val="0"/>
        <w:spacing w:lineRule="auto" w:line="288" w:before="60" w:after="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14, 2024 </w:t>
      </w:r>
    </w:p>
    <w:tbl>
      <w:tblPr>
        <w:tblW w:w="3011" w:type="dxa"/>
        <w:jc w:val="left"/>
        <w:tblInd w:w="0" w:type="dxa"/>
        <w:tblLayout w:type="fixed"/>
        <w:tblCellMar>
          <w:top w:w="28" w:type="dxa"/>
          <w:left w:w="28" w:type="dxa"/>
          <w:bottom w:w="28" w:type="dxa"/>
          <w:right w:w="28" w:type="dxa"/>
        </w:tblCellMar>
      </w:tblPr>
      <w:tblGrid>
        <w:gridCol w:w="124"/>
        <w:gridCol w:w="109"/>
        <w:gridCol w:w="109"/>
        <w:gridCol w:w="777"/>
        <w:gridCol w:w="777"/>
        <w:gridCol w:w="11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Matthias Aydt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Matthias Aydt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Global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60" w:after="283"/>
        <w:jc w:val="left"/>
        <w:rPr/>
      </w:pPr>
      <w:r>
        <w:rPr/>
      </w:r>
    </w:p>
    <w:p>
      <w:pPr>
        <w:pStyle w:val="TextBody"/>
        <w:bidi w:val="0"/>
        <w:spacing w:before="6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68" w:before="6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60" w:after="36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60" w:after="30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Faraday Future Intelligent Electric Inc. (the “Company”) for the quarterly period ended June 30, 2024, as filed with the Securities and Exchange Commission on the date hereof (the “Report”), I, Jonathan Maroko, Interim Chief Financial Officer of the Company, certify, pursuant to 18 U.S.C. Section 1350, as adopted pursuant to Section 906 of the Sarbanes-Oxley Act of 2002, to my knowledge, that:</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15(d) of the Securities Exchange Act of 1934, as amended; and </w:t>
      </w:r>
    </w:p>
    <w:p>
      <w:pPr>
        <w:pStyle w:val="TextBody"/>
        <w:bidi w:val="0"/>
        <w:spacing w:lineRule="auto" w:line="288" w:before="6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40" w:after="36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18 U.S.C. Section 1350 and is not being filed as part of the Report.</w:t>
      </w:r>
    </w:p>
    <w:p>
      <w:pPr>
        <w:pStyle w:val="TextBody"/>
        <w:bidi w:val="0"/>
        <w:spacing w:lineRule="auto" w:line="288" w:before="60" w:after="36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14, 2024</w:t>
      </w:r>
    </w:p>
    <w:tbl>
      <w:tblPr>
        <w:tblW w:w="4212" w:type="dxa"/>
        <w:jc w:val="left"/>
        <w:tblInd w:w="0" w:type="dxa"/>
        <w:tblLayout w:type="fixed"/>
        <w:tblCellMar>
          <w:top w:w="28" w:type="dxa"/>
          <w:left w:w="28" w:type="dxa"/>
          <w:bottom w:w="28" w:type="dxa"/>
          <w:right w:w="28" w:type="dxa"/>
        </w:tblCellMar>
      </w:tblPr>
      <w:tblGrid>
        <w:gridCol w:w="124"/>
        <w:gridCol w:w="109"/>
        <w:gridCol w:w="109"/>
        <w:gridCol w:w="1133"/>
        <w:gridCol w:w="1133"/>
        <w:gridCol w:w="16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Maroko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Jonathan Maroko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Interim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r>
    </w:tbl>
    <w:p>
      <w:pPr>
        <w:pStyle w:val="TextBody"/>
        <w:bidi w:val="0"/>
        <w:spacing w:before="6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5521/000121390023071438/ea184366ex3-1_faraday.htm" TargetMode="External"/><Relationship Id="rId3" Type="http://schemas.openxmlformats.org/officeDocument/2006/relationships/hyperlink" Target="https://www.sec.gov/Archives/edgar/data/1805521/000121390024010694/ea192788ex3-1_faraday.htm" TargetMode="External"/><Relationship Id="rId4" Type="http://schemas.openxmlformats.org/officeDocument/2006/relationships/hyperlink" Target="https://www.sec.gov/Archives/edgar/data/1805521/000121390024016665/ea0200677ex3-1_faraday.htm" TargetMode="External"/><Relationship Id="rId5" Type="http://schemas.openxmlformats.org/officeDocument/2006/relationships/hyperlink" Target="https://www.sec.gov/Archives/edgar/data/1805521/000121390024064185/ea021039501ex3-1_faraday.htm" TargetMode="External"/><Relationship Id="rId6" Type="http://schemas.openxmlformats.org/officeDocument/2006/relationships/hyperlink" Target="https://www.sec.gov/Archives/edgar/data/1805521/000121390023049711/ea180273ex3-2_faraday.htm" TargetMode="External"/><Relationship Id="rId7" Type="http://schemas.openxmlformats.org/officeDocument/2006/relationships/hyperlink" Target="https://www.sec.gov/Archives/edgar/data/1805521/000121390024064185/ea021039501ex10-1_faraday.htm" TargetMode="External"/><Relationship Id="rId8" Type="http://schemas.openxmlformats.org/officeDocument/2006/relationships/hyperlink" Target="https://www.sec.gov/Archives/edgar/data/1805521/000121390024055365/ea020835201ex10-1_faraday.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45230</Words>
  <Characters>249187</Characters>
  <CharactersWithSpaces>292449</CharactersWithSpaces>
  <Paragraphs>3360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