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8195"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2286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179705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t>UNITED STATES</w:t>
      </w:r>
    </w:p>
    <w:p>
      <w:pPr>
        <w:spacing w:after="0" w:line="24"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SECURITIES AND EXCHANGE COMMISSION</w:t>
      </w:r>
    </w:p>
    <w:p>
      <w:pPr>
        <w:spacing w:after="0" w:line="7"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Washington, D.C. 20549</w:t>
      </w:r>
    </w:p>
    <w:p>
      <w:pPr>
        <w:spacing w:after="0" w:line="182" w:lineRule="exact"/>
        <w:rPr>
          <w:sz w:val="24"/>
          <w:szCs w:val="24"/>
          <w:color w:val="auto"/>
        </w:rPr>
      </w:pPr>
    </w:p>
    <w:tbl>
      <w:tblPr>
        <w:tblLayout w:type="fixed"/>
        <w:tblInd w:w="4" w:type="dxa"/>
        <w:tblCellMar>
          <w:top w:w="0" w:type="dxa"/>
          <w:left w:w="0" w:type="dxa"/>
          <w:bottom w:w="0" w:type="dxa"/>
          <w:right w:w="0" w:type="dxa"/>
        </w:tblCellMar>
      </w:tblPr>
      <w:tr>
        <w:trPr>
          <w:trHeight w:val="208"/>
        </w:trPr>
        <w:tc>
          <w:tcPr>
            <w:tcW w:w="3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gridSpan w:val="4"/>
          </w:tcPr>
          <w:p>
            <w:pPr>
              <w:jc w:val="center"/>
              <w:ind w:right="360"/>
              <w:spacing w:after="0"/>
              <w:rPr>
                <w:sz w:val="20"/>
                <w:szCs w:val="20"/>
                <w:color w:val="auto"/>
              </w:rPr>
            </w:pPr>
            <w:r>
              <w:rPr>
                <w:rFonts w:ascii="Arial" w:cs="Arial" w:eastAsia="Arial" w:hAnsi="Arial"/>
                <w:sz w:val="16"/>
                <w:szCs w:val="16"/>
                <w:b w:val="1"/>
                <w:bCs w:val="1"/>
                <w:color w:val="auto"/>
              </w:rPr>
              <w:t>FORM 8-K</w:t>
            </w:r>
          </w:p>
        </w:tc>
        <w:tc>
          <w:tcPr>
            <w:tcW w:w="3600" w:type="dxa"/>
            <w:vAlign w:val="bottom"/>
          </w:tcPr>
          <w:p>
            <w:pPr>
              <w:spacing w:after="0"/>
              <w:rPr>
                <w:sz w:val="18"/>
                <w:szCs w:val="18"/>
                <w:color w:val="auto"/>
              </w:rPr>
            </w:pPr>
          </w:p>
        </w:tc>
      </w:tr>
      <w:tr>
        <w:trPr>
          <w:trHeight w:val="366"/>
        </w:trPr>
        <w:tc>
          <w:tcPr>
            <w:tcW w:w="3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00" w:type="dxa"/>
            <w:vAlign w:val="bottom"/>
            <w:gridSpan w:val="4"/>
          </w:tcPr>
          <w:p>
            <w:pPr>
              <w:jc w:val="center"/>
              <w:ind w:right="380"/>
              <w:spacing w:after="0"/>
              <w:rPr>
                <w:sz w:val="20"/>
                <w:szCs w:val="20"/>
                <w:color w:val="auto"/>
              </w:rPr>
            </w:pPr>
            <w:r>
              <w:rPr>
                <w:rFonts w:ascii="Arial" w:cs="Arial" w:eastAsia="Arial" w:hAnsi="Arial"/>
                <w:sz w:val="16"/>
                <w:szCs w:val="16"/>
                <w:b w:val="1"/>
                <w:bCs w:val="1"/>
                <w:color w:val="auto"/>
                <w:w w:val="99"/>
              </w:rPr>
              <w:t>CURRENT REPORT</w:t>
            </w:r>
          </w:p>
        </w:tc>
        <w:tc>
          <w:tcPr>
            <w:tcW w:w="3600" w:type="dxa"/>
            <w:vAlign w:val="bottom"/>
          </w:tcPr>
          <w:p>
            <w:pPr>
              <w:spacing w:after="0"/>
              <w:rPr>
                <w:sz w:val="24"/>
                <w:szCs w:val="24"/>
                <w:color w:val="auto"/>
              </w:rPr>
            </w:pPr>
          </w:p>
        </w:tc>
      </w:tr>
      <w:tr>
        <w:trPr>
          <w:trHeight w:val="191"/>
        </w:trPr>
        <w:tc>
          <w:tcPr>
            <w:tcW w:w="3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2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7"/>
              </w:rPr>
              <w:t>PURSUANT TO SECTION 13 OR 15(d) OF THE</w:t>
            </w:r>
          </w:p>
        </w:tc>
        <w:tc>
          <w:tcPr>
            <w:tcW w:w="3600" w:type="dxa"/>
            <w:vAlign w:val="bottom"/>
          </w:tcPr>
          <w:p>
            <w:pPr>
              <w:spacing w:after="0"/>
              <w:rPr>
                <w:sz w:val="16"/>
                <w:szCs w:val="16"/>
                <w:color w:val="auto"/>
              </w:rPr>
            </w:pPr>
          </w:p>
        </w:tc>
      </w:tr>
      <w:tr>
        <w:trPr>
          <w:trHeight w:val="208"/>
        </w:trPr>
        <w:tc>
          <w:tcPr>
            <w:tcW w:w="3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gridSpan w:val="4"/>
          </w:tcPr>
          <w:p>
            <w:pPr>
              <w:jc w:val="center"/>
              <w:ind w:right="380"/>
              <w:spacing w:after="0"/>
              <w:rPr>
                <w:sz w:val="20"/>
                <w:szCs w:val="20"/>
                <w:color w:val="auto"/>
              </w:rPr>
            </w:pPr>
            <w:r>
              <w:rPr>
                <w:rFonts w:ascii="Arial" w:cs="Arial" w:eastAsia="Arial" w:hAnsi="Arial"/>
                <w:sz w:val="16"/>
                <w:szCs w:val="16"/>
                <w:b w:val="1"/>
                <w:bCs w:val="1"/>
                <w:color w:val="auto"/>
                <w:w w:val="98"/>
              </w:rPr>
              <w:t>SECURITIES EXCHANGE ACT OF 1934</w:t>
            </w:r>
          </w:p>
        </w:tc>
        <w:tc>
          <w:tcPr>
            <w:tcW w:w="3600" w:type="dxa"/>
            <w:vAlign w:val="bottom"/>
          </w:tcPr>
          <w:p>
            <w:pPr>
              <w:spacing w:after="0"/>
              <w:rPr>
                <w:sz w:val="18"/>
                <w:szCs w:val="18"/>
                <w:color w:val="auto"/>
              </w:rPr>
            </w:pPr>
          </w:p>
        </w:tc>
      </w:tr>
      <w:tr>
        <w:trPr>
          <w:trHeight w:val="382"/>
        </w:trPr>
        <w:tc>
          <w:tcPr>
            <w:tcW w:w="3460" w:type="dxa"/>
            <w:vAlign w:val="bottom"/>
          </w:tcPr>
          <w:p>
            <w:pPr>
              <w:spacing w:after="0"/>
              <w:rPr>
                <w:sz w:val="24"/>
                <w:szCs w:val="24"/>
                <w:color w:val="auto"/>
              </w:rPr>
            </w:pPr>
          </w:p>
        </w:tc>
        <w:tc>
          <w:tcPr>
            <w:tcW w:w="4200" w:type="dxa"/>
            <w:vAlign w:val="bottom"/>
            <w:gridSpan w:val="6"/>
          </w:tcPr>
          <w:p>
            <w:pPr>
              <w:jc w:val="center"/>
              <w:ind w:left="40"/>
              <w:spacing w:after="0"/>
              <w:rPr>
                <w:sz w:val="20"/>
                <w:szCs w:val="20"/>
                <w:color w:val="auto"/>
              </w:rPr>
            </w:pPr>
            <w:r>
              <w:rPr>
                <w:rFonts w:ascii="Arial" w:cs="Arial" w:eastAsia="Arial" w:hAnsi="Arial"/>
                <w:sz w:val="16"/>
                <w:szCs w:val="16"/>
                <w:color w:val="auto"/>
                <w:w w:val="90"/>
              </w:rPr>
              <w:t>Date of Report (Date of earliest event reported): July 25, 2022</w:t>
            </w:r>
          </w:p>
        </w:tc>
        <w:tc>
          <w:tcPr>
            <w:tcW w:w="3600" w:type="dxa"/>
            <w:vAlign w:val="bottom"/>
          </w:tcPr>
          <w:p>
            <w:pPr>
              <w:spacing w:after="0"/>
              <w:rPr>
                <w:sz w:val="24"/>
                <w:szCs w:val="24"/>
                <w:color w:val="auto"/>
              </w:rPr>
            </w:pPr>
          </w:p>
        </w:tc>
      </w:tr>
      <w:tr>
        <w:trPr>
          <w:trHeight w:val="370"/>
        </w:trPr>
        <w:tc>
          <w:tcPr>
            <w:tcW w:w="3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00" w:type="dxa"/>
            <w:vAlign w:val="bottom"/>
            <w:gridSpan w:val="4"/>
          </w:tcPr>
          <w:p>
            <w:pPr>
              <w:jc w:val="center"/>
              <w:ind w:right="380"/>
              <w:spacing w:after="0"/>
              <w:rPr>
                <w:sz w:val="20"/>
                <w:szCs w:val="20"/>
                <w:color w:val="auto"/>
              </w:rPr>
            </w:pPr>
            <w:r>
              <w:rPr>
                <w:rFonts w:ascii="Arial" w:cs="Arial" w:eastAsia="Arial" w:hAnsi="Arial"/>
                <w:sz w:val="16"/>
                <w:szCs w:val="16"/>
                <w:b w:val="1"/>
                <w:bCs w:val="1"/>
                <w:color w:val="auto"/>
                <w:w w:val="92"/>
              </w:rPr>
              <w:t>Faraday Future Intelligent Electric Inc.</w:t>
            </w:r>
          </w:p>
        </w:tc>
        <w:tc>
          <w:tcPr>
            <w:tcW w:w="3600" w:type="dxa"/>
            <w:vAlign w:val="bottom"/>
          </w:tcPr>
          <w:p>
            <w:pPr>
              <w:spacing w:after="0"/>
              <w:rPr>
                <w:sz w:val="24"/>
                <w:szCs w:val="24"/>
                <w:color w:val="auto"/>
              </w:rPr>
            </w:pPr>
          </w:p>
        </w:tc>
      </w:tr>
      <w:tr>
        <w:trPr>
          <w:trHeight w:val="204"/>
        </w:trPr>
        <w:tc>
          <w:tcPr>
            <w:tcW w:w="3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00" w:type="dxa"/>
            <w:vAlign w:val="bottom"/>
            <w:gridSpan w:val="4"/>
          </w:tcPr>
          <w:p>
            <w:pPr>
              <w:jc w:val="center"/>
              <w:ind w:right="380"/>
              <w:spacing w:after="0"/>
              <w:rPr>
                <w:sz w:val="20"/>
                <w:szCs w:val="20"/>
                <w:color w:val="auto"/>
              </w:rPr>
            </w:pPr>
            <w:r>
              <w:rPr>
                <w:rFonts w:ascii="Arial" w:cs="Arial" w:eastAsia="Arial" w:hAnsi="Arial"/>
                <w:sz w:val="16"/>
                <w:szCs w:val="16"/>
                <w:color w:val="auto"/>
                <w:w w:val="89"/>
              </w:rPr>
              <w:t>(Exact name of registrant as specified in its charter)</w:t>
            </w:r>
          </w:p>
        </w:tc>
        <w:tc>
          <w:tcPr>
            <w:tcW w:w="3600" w:type="dxa"/>
            <w:vAlign w:val="bottom"/>
          </w:tcPr>
          <w:p>
            <w:pPr>
              <w:spacing w:after="0"/>
              <w:rPr>
                <w:sz w:val="17"/>
                <w:szCs w:val="17"/>
                <w:color w:val="auto"/>
              </w:rPr>
            </w:pPr>
          </w:p>
        </w:tc>
      </w:tr>
      <w:tr>
        <w:trPr>
          <w:trHeight w:val="386"/>
        </w:trPr>
        <w:tc>
          <w:tcPr>
            <w:tcW w:w="3460" w:type="dxa"/>
            <w:vAlign w:val="bottom"/>
          </w:tcPr>
          <w:p>
            <w:pPr>
              <w:jc w:val="center"/>
              <w:ind w:left="300"/>
              <w:spacing w:after="0"/>
              <w:rPr>
                <w:sz w:val="20"/>
                <w:szCs w:val="20"/>
                <w:color w:val="auto"/>
              </w:rPr>
            </w:pPr>
            <w:r>
              <w:rPr>
                <w:rFonts w:ascii="Arial" w:cs="Arial" w:eastAsia="Arial" w:hAnsi="Arial"/>
                <w:sz w:val="16"/>
                <w:szCs w:val="16"/>
                <w:b w:val="1"/>
                <w:bCs w:val="1"/>
                <w:color w:val="auto"/>
                <w:w w:val="91"/>
              </w:rPr>
              <w:t>Delaware</w:t>
            </w:r>
          </w:p>
        </w:tc>
        <w:tc>
          <w:tcPr>
            <w:tcW w:w="4080" w:type="dxa"/>
            <w:vAlign w:val="bottom"/>
            <w:gridSpan w:val="5"/>
          </w:tcPr>
          <w:p>
            <w:pPr>
              <w:jc w:val="right"/>
              <w:ind w:right="1440"/>
              <w:spacing w:after="0"/>
              <w:rPr>
                <w:sz w:val="20"/>
                <w:szCs w:val="20"/>
                <w:color w:val="auto"/>
              </w:rPr>
            </w:pPr>
            <w:r>
              <w:rPr>
                <w:rFonts w:ascii="Arial" w:cs="Arial" w:eastAsia="Arial" w:hAnsi="Arial"/>
                <w:sz w:val="16"/>
                <w:szCs w:val="16"/>
                <w:b w:val="1"/>
                <w:bCs w:val="1"/>
                <w:color w:val="auto"/>
              </w:rPr>
              <w:t>001-39395</w:t>
            </w:r>
          </w:p>
        </w:tc>
        <w:tc>
          <w:tcPr>
            <w:tcW w:w="12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6"/>
                <w:szCs w:val="16"/>
                <w:b w:val="1"/>
                <w:bCs w:val="1"/>
                <w:color w:val="auto"/>
                <w:w w:val="91"/>
              </w:rPr>
              <w:t>84-4720320</w:t>
            </w:r>
          </w:p>
        </w:tc>
      </w:tr>
      <w:tr>
        <w:trPr>
          <w:trHeight w:val="179"/>
        </w:trPr>
        <w:tc>
          <w:tcPr>
            <w:tcW w:w="3460" w:type="dxa"/>
            <w:vAlign w:val="bottom"/>
            <w:tcBorders>
              <w:top w:val="single" w:sz="8" w:color="auto"/>
            </w:tcBorders>
          </w:tcPr>
          <w:p>
            <w:pPr>
              <w:jc w:val="center"/>
              <w:ind w:left="300"/>
              <w:spacing w:after="0" w:line="179" w:lineRule="exact"/>
              <w:rPr>
                <w:sz w:val="20"/>
                <w:szCs w:val="20"/>
                <w:color w:val="auto"/>
              </w:rPr>
            </w:pPr>
            <w:r>
              <w:rPr>
                <w:rFonts w:ascii="Arial" w:cs="Arial" w:eastAsia="Arial" w:hAnsi="Arial"/>
                <w:sz w:val="16"/>
                <w:szCs w:val="16"/>
                <w:color w:val="auto"/>
                <w:w w:val="92"/>
              </w:rPr>
              <w:t>(State or other jurisdiction</w:t>
            </w:r>
          </w:p>
        </w:tc>
        <w:tc>
          <w:tcPr>
            <w:tcW w:w="3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580" w:type="dxa"/>
            <w:vAlign w:val="bottom"/>
            <w:tcBorders>
              <w:top w:val="single" w:sz="8" w:color="auto"/>
            </w:tcBorders>
            <w:gridSpan w:val="3"/>
          </w:tcPr>
          <w:p>
            <w:pPr>
              <w:jc w:val="center"/>
              <w:ind w:right="20"/>
              <w:spacing w:after="0" w:line="179" w:lineRule="exact"/>
              <w:rPr>
                <w:sz w:val="20"/>
                <w:szCs w:val="20"/>
                <w:color w:val="auto"/>
              </w:rPr>
            </w:pPr>
            <w:r>
              <w:rPr>
                <w:rFonts w:ascii="Arial" w:cs="Arial" w:eastAsia="Arial" w:hAnsi="Arial"/>
                <w:sz w:val="16"/>
                <w:szCs w:val="16"/>
                <w:color w:val="auto"/>
                <w:w w:val="92"/>
              </w:rPr>
              <w:t>(Commission File Number)</w:t>
            </w:r>
          </w:p>
        </w:tc>
        <w:tc>
          <w:tcPr>
            <w:tcW w:w="120" w:type="dxa"/>
            <w:vAlign w:val="bottom"/>
          </w:tcPr>
          <w:p>
            <w:pPr>
              <w:spacing w:after="0"/>
              <w:rPr>
                <w:sz w:val="15"/>
                <w:szCs w:val="15"/>
                <w:color w:val="auto"/>
              </w:rPr>
            </w:pPr>
          </w:p>
        </w:tc>
        <w:tc>
          <w:tcPr>
            <w:tcW w:w="3600" w:type="dxa"/>
            <w:vAlign w:val="bottom"/>
            <w:tcBorders>
              <w:top w:val="single" w:sz="8" w:color="auto"/>
            </w:tcBorders>
          </w:tcPr>
          <w:p>
            <w:pPr>
              <w:jc w:val="center"/>
              <w:spacing w:after="0" w:line="179" w:lineRule="exact"/>
              <w:rPr>
                <w:sz w:val="20"/>
                <w:szCs w:val="20"/>
                <w:color w:val="auto"/>
              </w:rPr>
            </w:pPr>
            <w:r>
              <w:rPr>
                <w:rFonts w:ascii="Arial" w:cs="Arial" w:eastAsia="Arial" w:hAnsi="Arial"/>
                <w:sz w:val="16"/>
                <w:szCs w:val="16"/>
                <w:color w:val="auto"/>
                <w:w w:val="93"/>
              </w:rPr>
              <w:t>(I.R.S. Employer</w:t>
            </w:r>
          </w:p>
        </w:tc>
      </w:tr>
      <w:tr>
        <w:trPr>
          <w:trHeight w:val="204"/>
        </w:trPr>
        <w:tc>
          <w:tcPr>
            <w:tcW w:w="3460" w:type="dxa"/>
            <w:vAlign w:val="bottom"/>
          </w:tcPr>
          <w:p>
            <w:pPr>
              <w:jc w:val="center"/>
              <w:ind w:left="300"/>
              <w:spacing w:after="0"/>
              <w:rPr>
                <w:sz w:val="20"/>
                <w:szCs w:val="20"/>
                <w:color w:val="auto"/>
              </w:rPr>
            </w:pPr>
            <w:r>
              <w:rPr>
                <w:rFonts w:ascii="Arial" w:cs="Arial" w:eastAsia="Arial" w:hAnsi="Arial"/>
                <w:sz w:val="16"/>
                <w:szCs w:val="16"/>
                <w:color w:val="auto"/>
                <w:w w:val="93"/>
              </w:rPr>
              <w:t>of incorporation)</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0" w:type="dxa"/>
            <w:vAlign w:val="bottom"/>
          </w:tcPr>
          <w:p>
            <w:pPr>
              <w:jc w:val="center"/>
              <w:spacing w:after="0"/>
              <w:rPr>
                <w:sz w:val="20"/>
                <w:szCs w:val="20"/>
                <w:color w:val="auto"/>
              </w:rPr>
            </w:pPr>
            <w:r>
              <w:rPr>
                <w:rFonts w:ascii="Arial" w:cs="Arial" w:eastAsia="Arial" w:hAnsi="Arial"/>
                <w:sz w:val="16"/>
                <w:szCs w:val="16"/>
                <w:color w:val="auto"/>
                <w:w w:val="94"/>
              </w:rPr>
              <w:t>Identification No.)</w:t>
            </w:r>
          </w:p>
        </w:tc>
      </w:tr>
      <w:tr>
        <w:trPr>
          <w:trHeight w:val="366"/>
        </w:trPr>
        <w:tc>
          <w:tcPr>
            <w:tcW w:w="7660" w:type="dxa"/>
            <w:vAlign w:val="bottom"/>
            <w:gridSpan w:val="7"/>
          </w:tcPr>
          <w:p>
            <w:pPr>
              <w:jc w:val="center"/>
              <w:ind w:right="2040"/>
              <w:spacing w:after="0"/>
              <w:rPr>
                <w:sz w:val="20"/>
                <w:szCs w:val="20"/>
                <w:color w:val="auto"/>
              </w:rPr>
            </w:pPr>
            <w:r>
              <w:rPr>
                <w:rFonts w:ascii="Arial" w:cs="Arial" w:eastAsia="Arial" w:hAnsi="Arial"/>
                <w:sz w:val="16"/>
                <w:szCs w:val="16"/>
                <w:b w:val="1"/>
                <w:bCs w:val="1"/>
                <w:color w:val="auto"/>
                <w:w w:val="89"/>
              </w:rPr>
              <w:t>18455 S. Figueroa Street</w:t>
            </w:r>
          </w:p>
        </w:tc>
        <w:tc>
          <w:tcPr>
            <w:tcW w:w="3600" w:type="dxa"/>
            <w:vAlign w:val="bottom"/>
          </w:tcPr>
          <w:p>
            <w:pPr>
              <w:spacing w:after="0"/>
              <w:rPr>
                <w:sz w:val="24"/>
                <w:szCs w:val="24"/>
                <w:color w:val="auto"/>
              </w:rPr>
            </w:pPr>
          </w:p>
        </w:tc>
      </w:tr>
      <w:tr>
        <w:trPr>
          <w:trHeight w:val="212"/>
        </w:trPr>
        <w:tc>
          <w:tcPr>
            <w:tcW w:w="3460" w:type="dxa"/>
            <w:vAlign w:val="bottom"/>
            <w:tcBorders>
              <w:bottom w:val="single" w:sz="8" w:color="auto"/>
            </w:tcBorders>
          </w:tcPr>
          <w:p>
            <w:pPr>
              <w:jc w:val="center"/>
              <w:ind w:left="2100"/>
              <w:spacing w:after="0"/>
              <w:rPr>
                <w:sz w:val="20"/>
                <w:szCs w:val="20"/>
                <w:color w:val="auto"/>
              </w:rPr>
            </w:pPr>
            <w:r>
              <w:rPr>
                <w:rFonts w:ascii="Arial" w:cs="Arial" w:eastAsia="Arial" w:hAnsi="Arial"/>
                <w:sz w:val="16"/>
                <w:szCs w:val="16"/>
                <w:b w:val="1"/>
                <w:bCs w:val="1"/>
                <w:color w:val="auto"/>
                <w:w w:val="94"/>
              </w:rPr>
              <w:t>Gardena, CA</w:t>
            </w: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tcPr>
          <w:p>
            <w:pPr>
              <w:jc w:val="right"/>
              <w:ind w:right="2480"/>
              <w:spacing w:after="0"/>
              <w:rPr>
                <w:sz w:val="20"/>
                <w:szCs w:val="20"/>
                <w:color w:val="auto"/>
              </w:rPr>
            </w:pPr>
            <w:r>
              <w:rPr>
                <w:rFonts w:ascii="Arial" w:cs="Arial" w:eastAsia="Arial" w:hAnsi="Arial"/>
                <w:sz w:val="16"/>
                <w:szCs w:val="16"/>
                <w:b w:val="1"/>
                <w:bCs w:val="1"/>
                <w:color w:val="auto"/>
              </w:rPr>
              <w:t>90248</w:t>
            </w:r>
          </w:p>
        </w:tc>
      </w:tr>
      <w:tr>
        <w:trPr>
          <w:trHeight w:val="204"/>
        </w:trPr>
        <w:tc>
          <w:tcPr>
            <w:tcW w:w="5640" w:type="dxa"/>
            <w:vAlign w:val="bottom"/>
            <w:gridSpan w:val="4"/>
          </w:tcPr>
          <w:p>
            <w:pPr>
              <w:jc w:val="center"/>
              <w:spacing w:after="0"/>
              <w:rPr>
                <w:sz w:val="20"/>
                <w:szCs w:val="20"/>
                <w:color w:val="auto"/>
              </w:rPr>
            </w:pPr>
            <w:r>
              <w:rPr>
                <w:rFonts w:ascii="Arial" w:cs="Arial" w:eastAsia="Arial" w:hAnsi="Arial"/>
                <w:sz w:val="16"/>
                <w:szCs w:val="16"/>
                <w:color w:val="auto"/>
                <w:w w:val="91"/>
              </w:rPr>
              <w:t>(Address of principal executive offices)</w:t>
            </w:r>
          </w:p>
        </w:tc>
        <w:tc>
          <w:tcPr>
            <w:tcW w:w="100" w:type="dxa"/>
            <w:vAlign w:val="bottom"/>
          </w:tcPr>
          <w:p>
            <w:pPr>
              <w:spacing w:after="0"/>
              <w:rPr>
                <w:sz w:val="17"/>
                <w:szCs w:val="17"/>
                <w:color w:val="auto"/>
              </w:rPr>
            </w:pPr>
          </w:p>
        </w:tc>
        <w:tc>
          <w:tcPr>
            <w:tcW w:w="1920" w:type="dxa"/>
            <w:vAlign w:val="bottom"/>
            <w:gridSpan w:val="2"/>
          </w:tcPr>
          <w:p>
            <w:pPr>
              <w:spacing w:after="0"/>
              <w:rPr>
                <w:sz w:val="17"/>
                <w:szCs w:val="17"/>
                <w:color w:val="auto"/>
              </w:rPr>
            </w:pPr>
          </w:p>
        </w:tc>
        <w:tc>
          <w:tcPr>
            <w:tcW w:w="3600" w:type="dxa"/>
            <w:vAlign w:val="bottom"/>
          </w:tcPr>
          <w:p>
            <w:pPr>
              <w:jc w:val="center"/>
              <w:ind w:right="1860"/>
              <w:spacing w:after="0"/>
              <w:rPr>
                <w:sz w:val="20"/>
                <w:szCs w:val="20"/>
                <w:color w:val="auto"/>
              </w:rPr>
            </w:pPr>
            <w:r>
              <w:rPr>
                <w:rFonts w:ascii="Arial" w:cs="Arial" w:eastAsia="Arial" w:hAnsi="Arial"/>
                <w:sz w:val="16"/>
                <w:szCs w:val="16"/>
                <w:color w:val="auto"/>
                <w:w w:val="92"/>
              </w:rPr>
              <w:t>(Zip Code)</w:t>
            </w:r>
          </w:p>
        </w:tc>
      </w:tr>
      <w:tr>
        <w:trPr>
          <w:trHeight w:val="357"/>
        </w:trPr>
        <w:tc>
          <w:tcPr>
            <w:tcW w:w="3460" w:type="dxa"/>
            <w:vAlign w:val="bottom"/>
          </w:tcPr>
          <w:p>
            <w:pPr>
              <w:spacing w:after="0"/>
              <w:rPr>
                <w:sz w:val="24"/>
                <w:szCs w:val="24"/>
                <w:color w:val="auto"/>
              </w:rPr>
            </w:pPr>
          </w:p>
        </w:tc>
        <w:tc>
          <w:tcPr>
            <w:tcW w:w="4080" w:type="dxa"/>
            <w:vAlign w:val="bottom"/>
            <w:gridSpan w:val="5"/>
          </w:tcPr>
          <w:p>
            <w:pPr>
              <w:jc w:val="center"/>
              <w:ind w:left="160"/>
              <w:spacing w:after="0"/>
              <w:rPr>
                <w:sz w:val="20"/>
                <w:szCs w:val="20"/>
                <w:color w:val="auto"/>
              </w:rPr>
            </w:pPr>
            <w:r>
              <w:rPr>
                <w:rFonts w:ascii="Arial" w:cs="Arial" w:eastAsia="Arial" w:hAnsi="Arial"/>
                <w:sz w:val="16"/>
                <w:szCs w:val="16"/>
                <w:b w:val="1"/>
                <w:bCs w:val="1"/>
                <w:color w:val="auto"/>
                <w:w w:val="91"/>
              </w:rPr>
              <w:t>(310) 415-4807</w:t>
            </w:r>
          </w:p>
        </w:tc>
        <w:tc>
          <w:tcPr>
            <w:tcW w:w="1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04"/>
        </w:trPr>
        <w:tc>
          <w:tcPr>
            <w:tcW w:w="3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20" w:type="dxa"/>
            <w:vAlign w:val="bottom"/>
            <w:gridSpan w:val="5"/>
          </w:tcPr>
          <w:p>
            <w:pPr>
              <w:jc w:val="center"/>
              <w:ind w:right="240"/>
              <w:spacing w:after="0"/>
              <w:rPr>
                <w:sz w:val="20"/>
                <w:szCs w:val="20"/>
                <w:color w:val="auto"/>
              </w:rPr>
            </w:pPr>
            <w:r>
              <w:rPr>
                <w:rFonts w:ascii="Arial" w:cs="Arial" w:eastAsia="Arial" w:hAnsi="Arial"/>
                <w:sz w:val="16"/>
                <w:szCs w:val="16"/>
                <w:color w:val="auto"/>
                <w:w w:val="89"/>
              </w:rPr>
              <w:t>(Registrant’s telephone number, including area code)</w:t>
            </w:r>
          </w:p>
        </w:tc>
        <w:tc>
          <w:tcPr>
            <w:tcW w:w="3600" w:type="dxa"/>
            <w:vAlign w:val="bottom"/>
          </w:tcPr>
          <w:p>
            <w:pPr>
              <w:spacing w:after="0"/>
              <w:rPr>
                <w:sz w:val="17"/>
                <w:szCs w:val="17"/>
                <w:color w:val="auto"/>
              </w:rPr>
            </w:pPr>
          </w:p>
        </w:tc>
      </w:tr>
    </w:tbl>
    <w:p>
      <w:pPr>
        <w:spacing w:after="0" w:line="178" w:lineRule="exact"/>
        <w:rPr>
          <w:sz w:val="24"/>
          <w:szCs w:val="24"/>
          <w:color w:val="auto"/>
        </w:rPr>
      </w:pPr>
    </w:p>
    <w:p>
      <w:pPr>
        <w:jc w:val="center"/>
        <w:ind w:right="-3"/>
        <w:spacing w:after="0"/>
        <w:rPr>
          <w:sz w:val="20"/>
          <w:szCs w:val="20"/>
          <w:color w:val="auto"/>
        </w:rPr>
      </w:pPr>
      <w:r>
        <w:rPr>
          <w:rFonts w:ascii="Arial" w:cs="Arial" w:eastAsia="Arial" w:hAnsi="Arial"/>
          <w:sz w:val="16"/>
          <w:szCs w:val="16"/>
          <w:color w:val="auto"/>
        </w:rPr>
        <w:t>Not Applicable</w:t>
      </w:r>
    </w:p>
    <w:p>
      <w:pPr>
        <w:spacing w:after="0" w:line="20" w:lineRule="exact"/>
        <w:rPr>
          <w:sz w:val="24"/>
          <w:szCs w:val="24"/>
          <w:color w:val="auto"/>
        </w:rPr>
      </w:pPr>
    </w:p>
    <w:p>
      <w:pPr>
        <w:jc w:val="center"/>
        <w:ind w:right="-3"/>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86" w:lineRule="exact"/>
        <w:rPr>
          <w:sz w:val="24"/>
          <w:szCs w:val="24"/>
          <w:color w:val="auto"/>
        </w:rPr>
      </w:pPr>
    </w:p>
    <w:p>
      <w:pPr>
        <w:ind w:left="4"/>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10" w:lineRule="exact"/>
        <w:rPr>
          <w:sz w:val="24"/>
          <w:szCs w:val="24"/>
          <w:color w:val="auto"/>
        </w:rPr>
      </w:pPr>
    </w:p>
    <w:p>
      <w:pPr>
        <w:ind w:left="304" w:hanging="304"/>
        <w:spacing w:after="0"/>
        <w:tabs>
          <w:tab w:leader="none" w:pos="30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8" w:lineRule="exact"/>
        <w:rPr>
          <w:rFonts w:ascii="MS PGothic" w:cs="MS PGothic" w:eastAsia="MS PGothic" w:hAnsi="MS PGothic"/>
          <w:sz w:val="16"/>
          <w:szCs w:val="16"/>
          <w:color w:val="auto"/>
        </w:rPr>
      </w:pPr>
    </w:p>
    <w:p>
      <w:pPr>
        <w:ind w:left="304" w:hanging="304"/>
        <w:spacing w:after="0"/>
        <w:tabs>
          <w:tab w:leader="none" w:pos="30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8" w:lineRule="exact"/>
        <w:rPr>
          <w:rFonts w:ascii="MS PGothic" w:cs="MS PGothic" w:eastAsia="MS PGothic" w:hAnsi="MS PGothic"/>
          <w:sz w:val="16"/>
          <w:szCs w:val="16"/>
          <w:color w:val="auto"/>
        </w:rPr>
      </w:pPr>
    </w:p>
    <w:p>
      <w:pPr>
        <w:ind w:left="304" w:hanging="304"/>
        <w:spacing w:after="0"/>
        <w:tabs>
          <w:tab w:leader="none" w:pos="30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8" w:lineRule="exact"/>
        <w:rPr>
          <w:rFonts w:ascii="MS PGothic" w:cs="MS PGothic" w:eastAsia="MS PGothic" w:hAnsi="MS PGothic"/>
          <w:sz w:val="16"/>
          <w:szCs w:val="16"/>
          <w:color w:val="auto"/>
        </w:rPr>
      </w:pPr>
    </w:p>
    <w:p>
      <w:pPr>
        <w:ind w:left="304" w:hanging="304"/>
        <w:spacing w:after="0"/>
        <w:tabs>
          <w:tab w:leader="none" w:pos="30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94" w:lineRule="exact"/>
        <w:rPr>
          <w:rFonts w:ascii="MS PGothic" w:cs="MS PGothic" w:eastAsia="MS PGothic" w:hAnsi="MS PGothic"/>
          <w:sz w:val="16"/>
          <w:szCs w:val="16"/>
          <w:color w:val="auto"/>
        </w:rPr>
      </w:pPr>
    </w:p>
    <w:p>
      <w:pPr>
        <w:ind w:left="3684"/>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Securities registered pursuant to Section 12(b) of the Act:</w:t>
      </w:r>
    </w:p>
    <w:p>
      <w:pPr>
        <w:spacing w:after="0" w:line="198" w:lineRule="exact"/>
        <w:rPr>
          <w:sz w:val="24"/>
          <w:szCs w:val="24"/>
          <w:color w:val="auto"/>
        </w:rPr>
      </w:pPr>
    </w:p>
    <w:tbl>
      <w:tblPr>
        <w:tblLayout w:type="fixed"/>
        <w:tblInd w:w="4" w:type="dxa"/>
        <w:tblCellMar>
          <w:top w:w="0" w:type="dxa"/>
          <w:left w:w="0" w:type="dxa"/>
          <w:bottom w:w="0" w:type="dxa"/>
          <w:right w:w="0" w:type="dxa"/>
        </w:tblCellMar>
      </w:tblPr>
      <w:tr>
        <w:trPr>
          <w:trHeight w:val="212"/>
        </w:trPr>
        <w:tc>
          <w:tcPr>
            <w:tcW w:w="3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Title of each class</w:t>
            </w:r>
          </w:p>
        </w:tc>
        <w:tc>
          <w:tcPr>
            <w:tcW w:w="3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Trading Symbol(s)</w:t>
            </w:r>
          </w:p>
        </w:tc>
        <w:tc>
          <w:tcPr>
            <w:tcW w:w="3600" w:type="dxa"/>
            <w:vAlign w:val="bottom"/>
          </w:tcPr>
          <w:p>
            <w:pPr>
              <w:jc w:val="center"/>
              <w:spacing w:after="0"/>
              <w:rPr>
                <w:sz w:val="20"/>
                <w:szCs w:val="20"/>
                <w:color w:val="auto"/>
              </w:rPr>
            </w:pPr>
            <w:r>
              <w:rPr>
                <w:rFonts w:ascii="Arial" w:cs="Arial" w:eastAsia="Arial" w:hAnsi="Arial"/>
                <w:sz w:val="16"/>
                <w:szCs w:val="16"/>
                <w:b w:val="1"/>
                <w:bCs w:val="1"/>
                <w:color w:val="auto"/>
                <w:w w:val="87"/>
              </w:rPr>
              <w:t>Name of each exchange on which registered</w:t>
            </w:r>
          </w:p>
        </w:tc>
      </w:tr>
      <w:tr>
        <w:trPr>
          <w:trHeight w:val="191"/>
        </w:trPr>
        <w:tc>
          <w:tcPr>
            <w:tcW w:w="3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Class A common stock, par value $0.0001 per share</w:t>
            </w:r>
          </w:p>
        </w:tc>
        <w:tc>
          <w:tcPr>
            <w:tcW w:w="120" w:type="dxa"/>
            <w:vAlign w:val="bottom"/>
            <w:tcBorders>
              <w:top w:val="single" w:sz="8" w:color="CCEEFF"/>
            </w:tcBorders>
            <w:shd w:val="clear" w:color="auto" w:fill="CCEEFF"/>
          </w:tcPr>
          <w:p>
            <w:pPr>
              <w:spacing w:after="0"/>
              <w:rPr>
                <w:sz w:val="16"/>
                <w:szCs w:val="16"/>
                <w:color w:val="auto"/>
              </w:rPr>
            </w:pPr>
          </w:p>
        </w:tc>
        <w:tc>
          <w:tcPr>
            <w:tcW w:w="3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7"/>
              </w:rPr>
              <w:t>FFIE</w:t>
            </w:r>
          </w:p>
        </w:tc>
        <w:tc>
          <w:tcPr>
            <w:tcW w:w="12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The Nasdaq Stock Market LLC</w:t>
            </w:r>
          </w:p>
        </w:tc>
      </w:tr>
      <w:tr>
        <w:trPr>
          <w:trHeight w:val="179"/>
        </w:trPr>
        <w:tc>
          <w:tcPr>
            <w:tcW w:w="3960" w:type="dxa"/>
            <w:vAlign w:val="bottom"/>
            <w:gridSpan w:val="2"/>
          </w:tcPr>
          <w:p>
            <w:pPr>
              <w:jc w:val="center"/>
              <w:ind w:right="140"/>
              <w:spacing w:after="0" w:line="179" w:lineRule="exact"/>
              <w:rPr>
                <w:sz w:val="20"/>
                <w:szCs w:val="20"/>
                <w:color w:val="auto"/>
              </w:rPr>
            </w:pPr>
            <w:r>
              <w:rPr>
                <w:rFonts w:ascii="Arial" w:cs="Arial" w:eastAsia="Arial" w:hAnsi="Arial"/>
                <w:sz w:val="16"/>
                <w:szCs w:val="16"/>
                <w:color w:val="auto"/>
                <w:w w:val="88"/>
              </w:rPr>
              <w:t>Redeemable warrants, exercisable for shares of Class A</w:t>
            </w:r>
          </w:p>
        </w:tc>
        <w:tc>
          <w:tcPr>
            <w:tcW w:w="3700" w:type="dxa"/>
            <w:vAlign w:val="bottom"/>
            <w:gridSpan w:val="2"/>
          </w:tcPr>
          <w:p>
            <w:pPr>
              <w:jc w:val="center"/>
              <w:ind w:right="120"/>
              <w:spacing w:after="0" w:line="179" w:lineRule="exact"/>
              <w:rPr>
                <w:sz w:val="20"/>
                <w:szCs w:val="20"/>
                <w:color w:val="auto"/>
              </w:rPr>
            </w:pPr>
            <w:r>
              <w:rPr>
                <w:rFonts w:ascii="Arial" w:cs="Arial" w:eastAsia="Arial" w:hAnsi="Arial"/>
                <w:sz w:val="16"/>
                <w:szCs w:val="16"/>
                <w:color w:val="auto"/>
                <w:w w:val="92"/>
              </w:rPr>
              <w:t>FFIEW</w:t>
            </w:r>
          </w:p>
        </w:tc>
        <w:tc>
          <w:tcPr>
            <w:tcW w:w="3600" w:type="dxa"/>
            <w:vAlign w:val="bottom"/>
          </w:tcPr>
          <w:p>
            <w:pPr>
              <w:jc w:val="center"/>
              <w:spacing w:after="0" w:line="179" w:lineRule="exact"/>
              <w:rPr>
                <w:sz w:val="20"/>
                <w:szCs w:val="20"/>
                <w:color w:val="auto"/>
              </w:rPr>
            </w:pPr>
            <w:r>
              <w:rPr>
                <w:rFonts w:ascii="Arial" w:cs="Arial" w:eastAsia="Arial" w:hAnsi="Arial"/>
                <w:sz w:val="16"/>
                <w:szCs w:val="16"/>
                <w:color w:val="auto"/>
                <w:w w:val="91"/>
              </w:rPr>
              <w:t>The Nasdaq Stock Market LLC</w:t>
            </w:r>
          </w:p>
        </w:tc>
      </w:tr>
      <w:tr>
        <w:trPr>
          <w:trHeight w:val="204"/>
        </w:trPr>
        <w:tc>
          <w:tcPr>
            <w:tcW w:w="3960" w:type="dxa"/>
            <w:vAlign w:val="bottom"/>
            <w:gridSpan w:val="2"/>
          </w:tcPr>
          <w:p>
            <w:pPr>
              <w:jc w:val="center"/>
              <w:ind w:right="140"/>
              <w:spacing w:after="0"/>
              <w:rPr>
                <w:sz w:val="20"/>
                <w:szCs w:val="20"/>
                <w:color w:val="auto"/>
              </w:rPr>
            </w:pPr>
            <w:r>
              <w:rPr>
                <w:rFonts w:ascii="Arial" w:cs="Arial" w:eastAsia="Arial" w:hAnsi="Arial"/>
                <w:sz w:val="16"/>
                <w:szCs w:val="16"/>
                <w:color w:val="auto"/>
                <w:w w:val="88"/>
              </w:rPr>
              <w:t>common stock at an exercise price of $11.50 per share</w:t>
            </w:r>
          </w:p>
        </w:tc>
        <w:tc>
          <w:tcPr>
            <w:tcW w:w="3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0" w:type="dxa"/>
            <w:vAlign w:val="bottom"/>
          </w:tcPr>
          <w:p>
            <w:pPr>
              <w:spacing w:after="0"/>
              <w:rPr>
                <w:sz w:val="17"/>
                <w:szCs w:val="17"/>
                <w:color w:val="auto"/>
              </w:rPr>
            </w:pPr>
          </w:p>
        </w:tc>
      </w:tr>
    </w:tbl>
    <w:p>
      <w:pPr>
        <w:spacing w:after="0" w:line="178" w:lineRule="exact"/>
        <w:rPr>
          <w:sz w:val="24"/>
          <w:szCs w:val="24"/>
          <w:color w:val="auto"/>
        </w:rPr>
      </w:pPr>
    </w:p>
    <w:p>
      <w:pPr>
        <w:jc w:val="both"/>
        <w:ind w:left="4"/>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2" w:lineRule="exact"/>
        <w:rPr>
          <w:sz w:val="24"/>
          <w:szCs w:val="24"/>
          <w:color w:val="auto"/>
        </w:rPr>
      </w:pPr>
    </w:p>
    <w:p>
      <w:pPr>
        <w:ind w:left="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28" w:lineRule="exact"/>
        <w:rPr>
          <w:sz w:val="24"/>
          <w:szCs w:val="24"/>
          <w:color w:val="auto"/>
        </w:rPr>
      </w:pPr>
    </w:p>
    <w:p>
      <w:pPr>
        <w:jc w:val="both"/>
        <w:ind w:left="4"/>
        <w:spacing w:after="0" w:line="206"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111125</wp:posOffset>
            </wp:positionV>
            <wp:extent cx="714819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126365</wp:posOffset>
            </wp:positionV>
            <wp:extent cx="7148195" cy="228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228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391795</wp:posOffset>
            </wp:positionV>
            <wp:extent cx="714819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470" w:right="319" w:bottom="1440" w:gutter="0" w:footer="0" w:header="0"/>
        </w:sectPr>
      </w:pPr>
    </w:p>
    <w:bookmarkStart w:id="1" w:name="page2"/>
    <w:bookmarkEnd w:id="1"/>
    <w:p>
      <w:pPr>
        <w:ind w:left="4"/>
        <w:spacing w:after="0"/>
        <w:rPr>
          <w:sz w:val="20"/>
          <w:szCs w:val="20"/>
          <w:color w:val="auto"/>
        </w:rPr>
      </w:pPr>
      <w:r>
        <w:rPr>
          <w:rFonts w:ascii="Arial" w:cs="Arial" w:eastAsia="Arial" w:hAnsi="Arial"/>
          <w:sz w:val="16"/>
          <w:szCs w:val="16"/>
          <w:b w:val="1"/>
          <w:bCs w:val="1"/>
          <w:color w:val="auto"/>
        </w:rPr>
        <w:t>Item 7.01. Regulation FD Disclosure.</w:t>
      </w:r>
    </w:p>
    <w:p>
      <w:pPr>
        <w:spacing w:after="0" w:line="202" w:lineRule="exact"/>
        <w:rPr>
          <w:sz w:val="20"/>
          <w:szCs w:val="20"/>
          <w:color w:val="auto"/>
        </w:rPr>
      </w:pPr>
    </w:p>
    <w:p>
      <w:pPr>
        <w:jc w:val="both"/>
        <w:ind w:left="4" w:right="20" w:firstLine="574"/>
        <w:spacing w:after="0" w:line="349" w:lineRule="auto"/>
        <w:rPr>
          <w:sz w:val="20"/>
          <w:szCs w:val="20"/>
          <w:color w:val="auto"/>
        </w:rPr>
      </w:pPr>
      <w:r>
        <w:rPr>
          <w:rFonts w:ascii="Arial" w:cs="Arial" w:eastAsia="Arial" w:hAnsi="Arial"/>
          <w:sz w:val="14"/>
          <w:szCs w:val="14"/>
          <w:color w:val="auto"/>
        </w:rPr>
        <w:t>On July 25, 2022, Faraday Future Intelligent Electric Inc. (the “Company”) issued an update on previously announced fundraising discussions and an updated investor presentation. A copy of the investor presentation is furnished herewith as Exhibit 99.1 to this Current Report on Form 8-K and is incorporated herein by reference.</w:t>
      </w:r>
    </w:p>
    <w:p>
      <w:pPr>
        <w:spacing w:after="0" w:line="105" w:lineRule="exact"/>
        <w:rPr>
          <w:sz w:val="20"/>
          <w:szCs w:val="20"/>
          <w:color w:val="auto"/>
        </w:rPr>
      </w:pPr>
    </w:p>
    <w:p>
      <w:pPr>
        <w:jc w:val="both"/>
        <w:ind w:left="4" w:right="20" w:firstLine="574"/>
        <w:spacing w:after="0" w:line="275" w:lineRule="auto"/>
        <w:rPr>
          <w:sz w:val="20"/>
          <w:szCs w:val="20"/>
          <w:color w:val="auto"/>
        </w:rPr>
      </w:pPr>
      <w:r>
        <w:rPr>
          <w:rFonts w:ascii="Arial" w:cs="Arial" w:eastAsia="Arial" w:hAnsi="Arial"/>
          <w:sz w:val="16"/>
          <w:szCs w:val="16"/>
          <w:color w:val="auto"/>
        </w:rPr>
        <w:t>The Company is continuing to engage in confidential discussions and negotiations with certain potential investors regarding a potential financing transaction to raise additional capital to fund production activities through the end of 2022 and beyond.</w:t>
      </w:r>
    </w:p>
    <w:p>
      <w:pPr>
        <w:spacing w:after="0" w:line="152" w:lineRule="exact"/>
        <w:rPr>
          <w:sz w:val="20"/>
          <w:szCs w:val="20"/>
          <w:color w:val="auto"/>
        </w:rPr>
      </w:pPr>
    </w:p>
    <w:p>
      <w:pPr>
        <w:jc w:val="both"/>
        <w:ind w:left="4" w:right="20" w:firstLine="574"/>
        <w:spacing w:after="0" w:line="275" w:lineRule="auto"/>
        <w:rPr>
          <w:sz w:val="20"/>
          <w:szCs w:val="20"/>
          <w:color w:val="auto"/>
        </w:rPr>
      </w:pPr>
      <w:r>
        <w:rPr>
          <w:rFonts w:ascii="Arial" w:cs="Arial" w:eastAsia="Arial" w:hAnsi="Arial"/>
          <w:sz w:val="16"/>
          <w:szCs w:val="16"/>
          <w:color w:val="auto"/>
        </w:rPr>
        <w:t>Due to recent supply chain issues, start of production and first deliveries of the Company’s FF 91 flagship electric vehicle in the United States are now expected to commence in the third or fourth quarter of 2022.</w:t>
      </w:r>
    </w:p>
    <w:p>
      <w:pPr>
        <w:spacing w:after="0" w:line="152" w:lineRule="exact"/>
        <w:rPr>
          <w:sz w:val="20"/>
          <w:szCs w:val="20"/>
          <w:color w:val="auto"/>
        </w:rPr>
      </w:pPr>
    </w:p>
    <w:p>
      <w:pPr>
        <w:jc w:val="both"/>
        <w:ind w:left="4" w:firstLine="574"/>
        <w:spacing w:after="0" w:line="254" w:lineRule="auto"/>
        <w:rPr>
          <w:sz w:val="20"/>
          <w:szCs w:val="20"/>
          <w:color w:val="auto"/>
        </w:rPr>
      </w:pPr>
      <w:r>
        <w:rPr>
          <w:rFonts w:ascii="Arial" w:cs="Arial" w:eastAsia="Arial" w:hAnsi="Arial"/>
          <w:sz w:val="16"/>
          <w:szCs w:val="16"/>
          <w:color w:val="auto"/>
        </w:rPr>
        <w:t>The Company needs additional cash to commercially launch the FF 91, and is currently seeking to raise additional capital to fund its operations through December 31, 2022. The Company’s cash needs after the launch of the FF 91 will depend on the extent to which the Company’s actual costs vary from the Company’s estimates and the Company’s ability to control these costs and raise additional funds. Any challenges in supplier engagements, delays in ramping capacity or labor at the Company’s Hanford, California manufacturing facility or for sales and service engagements, rising prices of materials, or ongoing global supply chain disruptions may further increase the need for additional capital to launch the FF 91 series. Apart from the FF 91 series, substantial additional capital will be required to fund operations, research, development, and design efforts for future vehicles.</w:t>
      </w:r>
    </w:p>
    <w:p>
      <w:pPr>
        <w:spacing w:after="0" w:line="170" w:lineRule="exact"/>
        <w:rPr>
          <w:sz w:val="20"/>
          <w:szCs w:val="20"/>
          <w:color w:val="auto"/>
        </w:rPr>
      </w:pPr>
    </w:p>
    <w:p>
      <w:pPr>
        <w:jc w:val="both"/>
        <w:ind w:left="4" w:right="20" w:firstLine="574"/>
        <w:spacing w:after="0" w:line="287" w:lineRule="auto"/>
        <w:rPr>
          <w:sz w:val="20"/>
          <w:szCs w:val="20"/>
          <w:color w:val="auto"/>
        </w:rPr>
      </w:pPr>
      <w:r>
        <w:rPr>
          <w:rFonts w:ascii="Arial" w:cs="Arial" w:eastAsia="Arial" w:hAnsi="Arial"/>
          <w:sz w:val="15"/>
          <w:szCs w:val="15"/>
          <w:color w:val="auto"/>
        </w:rPr>
        <w:t>The information in this Current Report on Form 8-K, including Exhibit 99.1 hereto, is being furnished and shall not be deemed “filed” for the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46"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Forward-Looking Statements</w:t>
      </w:r>
    </w:p>
    <w:p>
      <w:pPr>
        <w:spacing w:after="0" w:line="198" w:lineRule="exact"/>
        <w:rPr>
          <w:sz w:val="20"/>
          <w:szCs w:val="20"/>
          <w:color w:val="auto"/>
        </w:rPr>
      </w:pPr>
    </w:p>
    <w:p>
      <w:pPr>
        <w:jc w:val="both"/>
        <w:ind w:left="4" w:firstLine="574"/>
        <w:spacing w:after="0" w:line="288" w:lineRule="auto"/>
        <w:rPr>
          <w:sz w:val="20"/>
          <w:szCs w:val="20"/>
          <w:color w:val="auto"/>
        </w:rPr>
      </w:pPr>
      <w:r>
        <w:rPr>
          <w:rFonts w:ascii="Arial" w:cs="Arial" w:eastAsia="Arial" w:hAnsi="Arial"/>
          <w:sz w:val="14"/>
          <w:szCs w:val="14"/>
          <w:color w:val="auto"/>
        </w:rPr>
        <w:t>This Current Report on Form 8-K (including the investor presentation attached as Exhibit 99.1 hereto) includes “forward looking statements” within the meaning of the safe harbor provisions of the United States Private Securities Litigation Reform Act of 1995. When used in this report, the words “estimates,” “projected,” “expects,” “anticipates,” “forecasts,” “plans,” “intends,” “believes,” “seeks,” “may,” “will,” “should,” “future,” “propose” and variations of these words or similar expressions (or the negative versions of such words or expressions) are intended to identify forward-looking statements, and include (among others) statements regarding the expected timing of the production and deliveries of FF 91 vehicles, the capital the Company is seeking to raise to fund its operations, the terms and status of any potential financing transaction and related negotiations with potential investors and financing sources, and the Company’s anticipated liquidity needs. These forward-looking statements are not guarantees of future performance, conditions or results, and involve a number of known and unknown risks, uncertainties, assumptions and other important factors, many of which are outside the Company’s control, that could cause actual results or outcomes to differ materially from those discussed in the forward-looking statements. Important factors, among others, that may affect actual results or outcomes include the Company’s ability to secure adequate funding to commercially launch the FF 91 and fund its operations; supply chain disruptions and rising prices of materials; the Company’s ability to remain in compliance with the listing requirements of The Nasdaq Stock Market LLC (“Nasdaq”) and to continue to be listed on Nasdaq; the outcome of the Securities and Exchange Commission (“SEC”) investigation relating to the matters that were the subject of the Special Committee investigation; the implementation of the Special Committee’s actions by the Company; the Company’s ability to execute on its plans to develop and market its vehicles and the timing of these development programs; the Company’s estimates of the size of the markets for its vehicles and cost to bring those vehicles to market; the rate and degree of market acceptance of the Company’s vehicles; the success of other competing manufacturers; the performance and security of the Company’s vehicles; potential litigation involving the Company; the result of future financing efforts and general economic and market conditions impacting demand for the Company’s products; and the ability of the Company to attract and retain employees. The foregoing list of factors is not exhaustive. You should carefully consider the foregoing factors and the other risks and uncertainties described in the “Risk Factors” section of the Company’s registration statement on Form S-1/A (File No. 333-258993) filed with the SEC on June 9, 2022, and other documents filed by the Company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the Company does not undertake any obligation to update or revise any forward-looking statements, whether as a result of new information, future events or otherwise, except as required by law.</w:t>
      </w:r>
    </w:p>
    <w:p>
      <w:pPr>
        <w:spacing w:after="0" w:line="339"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198" w:lineRule="exact"/>
        <w:rPr>
          <w:sz w:val="20"/>
          <w:szCs w:val="20"/>
          <w:color w:val="auto"/>
        </w:rPr>
      </w:pPr>
    </w:p>
    <w:p>
      <w:pPr>
        <w:ind w:left="244" w:hanging="244"/>
        <w:spacing w:after="0"/>
        <w:tabs>
          <w:tab w:leader="none" w:pos="244"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Exhibits. </w:t>
      </w:r>
      <w:r>
        <w:rPr>
          <w:rFonts w:ascii="Arial" w:cs="Arial" w:eastAsia="Arial" w:hAnsi="Arial"/>
          <w:sz w:val="16"/>
          <w:szCs w:val="16"/>
          <w:color w:val="auto"/>
        </w:rPr>
        <w:t>The following exhibits are filed with this Current Report on Form 8-K:</w:t>
      </w:r>
    </w:p>
    <w:p>
      <w:pPr>
        <w:spacing w:after="0" w:line="198" w:lineRule="exact"/>
        <w:rPr>
          <w:sz w:val="20"/>
          <w:szCs w:val="20"/>
          <w:color w:val="auto"/>
        </w:rPr>
      </w:pPr>
    </w:p>
    <w:tbl>
      <w:tblPr>
        <w:tblLayout w:type="fixed"/>
        <w:tblInd w:w="4" w:type="dxa"/>
        <w:tblCellMar>
          <w:top w:w="0" w:type="dxa"/>
          <w:left w:w="0" w:type="dxa"/>
          <w:bottom w:w="0" w:type="dxa"/>
          <w:right w:w="0" w:type="dxa"/>
        </w:tblCellMar>
      </w:tblPr>
      <w:tr>
        <w:trPr>
          <w:trHeight w:val="212"/>
        </w:trPr>
        <w:tc>
          <w:tcPr>
            <w:tcW w:w="1020" w:type="dxa"/>
            <w:vAlign w:val="bottom"/>
          </w:tcPr>
          <w:p>
            <w:pPr>
              <w:spacing w:after="0"/>
              <w:rPr>
                <w:sz w:val="20"/>
                <w:szCs w:val="20"/>
                <w:color w:val="auto"/>
              </w:rPr>
            </w:pPr>
            <w:r>
              <w:rPr>
                <w:rFonts w:ascii="Arial" w:cs="Arial" w:eastAsia="Arial" w:hAnsi="Arial"/>
                <w:sz w:val="16"/>
                <w:szCs w:val="16"/>
                <w:b w:val="1"/>
                <w:bCs w:val="1"/>
                <w:color w:val="auto"/>
              </w:rPr>
              <w:t>No.</w:t>
            </w:r>
          </w:p>
        </w:tc>
        <w:tc>
          <w:tcPr>
            <w:tcW w:w="10240" w:type="dxa"/>
            <w:vAlign w:val="bottom"/>
            <w:gridSpan w:val="3"/>
          </w:tcPr>
          <w:p>
            <w:pPr>
              <w:ind w:left="120"/>
              <w:spacing w:after="0"/>
              <w:rPr>
                <w:sz w:val="20"/>
                <w:szCs w:val="20"/>
                <w:color w:val="auto"/>
              </w:rPr>
            </w:pPr>
            <w:r>
              <w:rPr>
                <w:rFonts w:ascii="Arial" w:cs="Arial" w:eastAsia="Arial" w:hAnsi="Arial"/>
                <w:sz w:val="16"/>
                <w:szCs w:val="16"/>
                <w:b w:val="1"/>
                <w:bCs w:val="1"/>
                <w:color w:val="auto"/>
              </w:rPr>
              <w:t>Description of Exhibits</w:t>
            </w:r>
          </w:p>
        </w:tc>
      </w:tr>
      <w:tr>
        <w:trPr>
          <w:trHeight w:val="155"/>
        </w:trPr>
        <w:tc>
          <w:tcPr>
            <w:tcW w:w="102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6"/>
                <w:szCs w:val="16"/>
                <w:color w:val="auto"/>
              </w:rPr>
              <w:t>99.1</w:t>
            </w:r>
          </w:p>
        </w:tc>
        <w:tc>
          <w:tcPr>
            <w:tcW w:w="120" w:type="dxa"/>
            <w:vAlign w:val="bottom"/>
            <w:tcBorders>
              <w:top w:val="single" w:sz="8" w:color="CCEEFF"/>
            </w:tcBorders>
            <w:shd w:val="clear" w:color="auto" w:fill="CCEEFF"/>
          </w:tcPr>
          <w:p>
            <w:pPr>
              <w:spacing w:after="0"/>
              <w:rPr>
                <w:sz w:val="13"/>
                <w:szCs w:val="13"/>
                <w:color w:val="auto"/>
              </w:rPr>
            </w:pPr>
          </w:p>
        </w:tc>
        <w:tc>
          <w:tcPr>
            <w:tcW w:w="10120" w:type="dxa"/>
            <w:vAlign w:val="bottom"/>
            <w:tcBorders>
              <w:top w:val="single" w:sz="8" w:color="auto"/>
            </w:tcBorders>
            <w:gridSpan w:val="2"/>
            <w:shd w:val="clear" w:color="auto" w:fill="CCEEFF"/>
          </w:tcPr>
          <w:p>
            <w:pPr>
              <w:spacing w:after="0" w:line="155" w:lineRule="exact"/>
              <w:rPr>
                <w:rFonts w:ascii="Arial" w:cs="Arial" w:eastAsia="Arial" w:hAnsi="Arial"/>
                <w:sz w:val="16"/>
                <w:szCs w:val="16"/>
                <w:color w:val="0000EE"/>
              </w:rPr>
            </w:pPr>
            <w:hyperlink w:anchor="page4">
              <w:r>
                <w:rPr>
                  <w:rFonts w:ascii="Arial" w:cs="Arial" w:eastAsia="Arial" w:hAnsi="Arial"/>
                  <w:sz w:val="16"/>
                  <w:szCs w:val="16"/>
                  <w:color w:val="0000EE"/>
                </w:rPr>
                <w:t>Investor Presentation dated July 2022.</w:t>
              </w:r>
            </w:hyperlink>
          </w:p>
        </w:tc>
      </w:tr>
      <w:tr>
        <w:trPr>
          <w:trHeight w:val="36"/>
        </w:trPr>
        <w:tc>
          <w:tcPr>
            <w:tcW w:w="10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20" w:type="dxa"/>
            <w:vAlign w:val="bottom"/>
            <w:shd w:val="clear" w:color="auto" w:fill="0000EE"/>
          </w:tcPr>
          <w:p>
            <w:pPr>
              <w:spacing w:after="0"/>
              <w:rPr>
                <w:sz w:val="3"/>
                <w:szCs w:val="3"/>
                <w:color w:val="auto"/>
              </w:rPr>
            </w:pPr>
          </w:p>
        </w:tc>
        <w:tc>
          <w:tcPr>
            <w:tcW w:w="7700" w:type="dxa"/>
            <w:vAlign w:val="bottom"/>
            <w:shd w:val="clear" w:color="auto" w:fill="CCEEFF"/>
          </w:tcPr>
          <w:p>
            <w:pPr>
              <w:spacing w:after="0"/>
              <w:rPr>
                <w:sz w:val="3"/>
                <w:szCs w:val="3"/>
                <w:color w:val="auto"/>
              </w:rPr>
            </w:pPr>
          </w:p>
        </w:tc>
      </w:tr>
    </w:tbl>
    <w:p>
      <w:pPr>
        <w:ind w:left="5584" w:right="4980" w:hanging="5584"/>
        <w:spacing w:after="0" w:line="570" w:lineRule="auto"/>
        <w:tabs>
          <w:tab w:leader="none" w:pos="1131" w:val="left"/>
        </w:tabs>
        <w:numPr>
          <w:ilvl w:val="0"/>
          <w:numId w:val="3"/>
        </w:numPr>
        <w:rPr>
          <w:rFonts w:ascii="Arial" w:cs="Arial" w:eastAsia="Arial" w:hAnsi="Arial"/>
          <w:sz w:val="14"/>
          <w:szCs w:val="14"/>
          <w:color w:val="auto"/>
        </w:rPr>
      </w:pPr>
      <w:r>
        <w:rPr>
          <w:rFonts w:ascii="Arial" w:cs="Arial" w:eastAsia="Arial" w:hAnsi="Arial"/>
          <w:sz w:val="14"/>
          <w:szCs w:val="14"/>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242570</wp:posOffset>
            </wp:positionV>
            <wp:extent cx="714819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SIGNATURE</w:t>
      </w:r>
    </w:p>
    <w:p>
      <w:pPr>
        <w:spacing w:after="0" w:line="202" w:lineRule="exact"/>
        <w:rPr>
          <w:sz w:val="20"/>
          <w:szCs w:val="20"/>
          <w:color w:val="auto"/>
        </w:rPr>
      </w:pPr>
    </w:p>
    <w:p>
      <w:pPr>
        <w:ind w:right="20" w:firstLine="574"/>
        <w:spacing w:after="0" w:line="275"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400" w:type="dxa"/>
            <w:vAlign w:val="bottom"/>
          </w:tcPr>
          <w:p>
            <w:pPr>
              <w:spacing w:after="0"/>
              <w:rPr>
                <w:sz w:val="18"/>
                <w:szCs w:val="18"/>
                <w:color w:val="auto"/>
              </w:rPr>
            </w:pPr>
          </w:p>
        </w:tc>
        <w:tc>
          <w:tcPr>
            <w:tcW w:w="7860" w:type="dxa"/>
            <w:vAlign w:val="bottom"/>
            <w:gridSpan w:val="2"/>
          </w:tcPr>
          <w:p>
            <w:pPr>
              <w:ind w:left="3360"/>
              <w:spacing w:after="0"/>
              <w:rPr>
                <w:sz w:val="20"/>
                <w:szCs w:val="20"/>
                <w:color w:val="auto"/>
              </w:rPr>
            </w:pPr>
            <w:r>
              <w:rPr>
                <w:rFonts w:ascii="Arial" w:cs="Arial" w:eastAsia="Arial" w:hAnsi="Arial"/>
                <w:sz w:val="16"/>
                <w:szCs w:val="16"/>
                <w:b w:val="1"/>
                <w:bCs w:val="1"/>
                <w:color w:val="auto"/>
              </w:rPr>
              <w:t>F</w:t>
            </w:r>
            <w:r>
              <w:rPr>
                <w:rFonts w:ascii="Arial" w:cs="Arial" w:eastAsia="Arial" w:hAnsi="Arial"/>
                <w:sz w:val="10"/>
                <w:szCs w:val="10"/>
                <w:b w:val="1"/>
                <w:bCs w:val="1"/>
                <w:color w:val="auto"/>
              </w:rPr>
              <w:t>ARADAY</w:t>
            </w:r>
            <w:r>
              <w:rPr>
                <w:rFonts w:ascii="Arial" w:cs="Arial" w:eastAsia="Arial" w:hAnsi="Arial"/>
                <w:sz w:val="16"/>
                <w:szCs w:val="16"/>
                <w:b w:val="1"/>
                <w:bCs w:val="1"/>
                <w:color w:val="auto"/>
              </w:rPr>
              <w:t xml:space="preserve"> F</w:t>
            </w:r>
            <w:r>
              <w:rPr>
                <w:rFonts w:ascii="Arial" w:cs="Arial" w:eastAsia="Arial" w:hAnsi="Arial"/>
                <w:sz w:val="10"/>
                <w:szCs w:val="10"/>
                <w:b w:val="1"/>
                <w:bCs w:val="1"/>
                <w:color w:val="auto"/>
              </w:rPr>
              <w:t>UTURE</w:t>
            </w:r>
            <w:r>
              <w:rPr>
                <w:rFonts w:ascii="Arial" w:cs="Arial" w:eastAsia="Arial" w:hAnsi="Arial"/>
                <w:sz w:val="16"/>
                <w:szCs w:val="16"/>
                <w:b w:val="1"/>
                <w:bCs w:val="1"/>
                <w:color w:val="auto"/>
              </w:rPr>
              <w:t xml:space="preserve"> I</w:t>
            </w:r>
            <w:r>
              <w:rPr>
                <w:rFonts w:ascii="Arial" w:cs="Arial" w:eastAsia="Arial" w:hAnsi="Arial"/>
                <w:sz w:val="10"/>
                <w:szCs w:val="10"/>
                <w:b w:val="1"/>
                <w:bCs w:val="1"/>
                <w:color w:val="auto"/>
              </w:rPr>
              <w:t>NTELLIGENT</w:t>
            </w:r>
            <w:r>
              <w:rPr>
                <w:rFonts w:ascii="Arial" w:cs="Arial" w:eastAsia="Arial" w:hAnsi="Arial"/>
                <w:sz w:val="16"/>
                <w:szCs w:val="16"/>
                <w:b w:val="1"/>
                <w:bCs w:val="1"/>
                <w:color w:val="auto"/>
              </w:rPr>
              <w:t xml:space="preserve"> E</w:t>
            </w:r>
            <w:r>
              <w:rPr>
                <w:rFonts w:ascii="Arial" w:cs="Arial" w:eastAsia="Arial" w:hAnsi="Arial"/>
                <w:sz w:val="10"/>
                <w:szCs w:val="10"/>
                <w:b w:val="1"/>
                <w:bCs w:val="1"/>
                <w:color w:val="auto"/>
              </w:rPr>
              <w:t>LECTRIC</w:t>
            </w:r>
            <w:r>
              <w:rPr>
                <w:rFonts w:ascii="Arial" w:cs="Arial" w:eastAsia="Arial" w:hAnsi="Arial"/>
                <w:sz w:val="16"/>
                <w:szCs w:val="16"/>
                <w:b w:val="1"/>
                <w:bCs w:val="1"/>
                <w:color w:val="auto"/>
              </w:rPr>
              <w:t xml:space="preserve"> I</w:t>
            </w:r>
            <w:r>
              <w:rPr>
                <w:rFonts w:ascii="Arial" w:cs="Arial" w:eastAsia="Arial" w:hAnsi="Arial"/>
                <w:sz w:val="10"/>
                <w:szCs w:val="10"/>
                <w:b w:val="1"/>
                <w:bCs w:val="1"/>
                <w:color w:val="auto"/>
              </w:rPr>
              <w:t>NC</w:t>
            </w:r>
            <w:r>
              <w:rPr>
                <w:rFonts w:ascii="Arial" w:cs="Arial" w:eastAsia="Arial" w:hAnsi="Arial"/>
                <w:sz w:val="16"/>
                <w:szCs w:val="16"/>
                <w:b w:val="1"/>
                <w:bCs w:val="1"/>
                <w:color w:val="auto"/>
              </w:rPr>
              <w:t>.</w:t>
            </w:r>
          </w:p>
        </w:tc>
      </w:tr>
      <w:tr>
        <w:trPr>
          <w:trHeight w:val="386"/>
        </w:trPr>
        <w:tc>
          <w:tcPr>
            <w:tcW w:w="3400" w:type="dxa"/>
            <w:vAlign w:val="bottom"/>
          </w:tcPr>
          <w:p>
            <w:pPr>
              <w:spacing w:after="0"/>
              <w:rPr>
                <w:sz w:val="20"/>
                <w:szCs w:val="20"/>
                <w:color w:val="auto"/>
              </w:rPr>
            </w:pPr>
            <w:r>
              <w:rPr>
                <w:rFonts w:ascii="Arial" w:cs="Arial" w:eastAsia="Arial" w:hAnsi="Arial"/>
                <w:sz w:val="16"/>
                <w:szCs w:val="16"/>
                <w:color w:val="auto"/>
              </w:rPr>
              <w:t>Date: July 25, 2022</w:t>
            </w:r>
          </w:p>
        </w:tc>
        <w:tc>
          <w:tcPr>
            <w:tcW w:w="3920" w:type="dxa"/>
            <w:vAlign w:val="bottom"/>
          </w:tcPr>
          <w:p>
            <w:pPr>
              <w:ind w:left="3360"/>
              <w:spacing w:after="0"/>
              <w:rPr>
                <w:sz w:val="20"/>
                <w:szCs w:val="20"/>
                <w:color w:val="auto"/>
              </w:rPr>
            </w:pPr>
            <w:r>
              <w:rPr>
                <w:rFonts w:ascii="Arial" w:cs="Arial" w:eastAsia="Arial" w:hAnsi="Arial"/>
                <w:sz w:val="16"/>
                <w:szCs w:val="16"/>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Becky Roof</w:t>
            </w:r>
          </w:p>
        </w:tc>
      </w:tr>
      <w:tr>
        <w:trPr>
          <w:trHeight w:val="179"/>
        </w:trPr>
        <w:tc>
          <w:tcPr>
            <w:tcW w:w="3400" w:type="dxa"/>
            <w:vAlign w:val="bottom"/>
          </w:tcPr>
          <w:p>
            <w:pPr>
              <w:spacing w:after="0"/>
              <w:rPr>
                <w:sz w:val="15"/>
                <w:szCs w:val="15"/>
                <w:color w:val="auto"/>
              </w:rPr>
            </w:pPr>
          </w:p>
        </w:tc>
        <w:tc>
          <w:tcPr>
            <w:tcW w:w="3920" w:type="dxa"/>
            <w:vAlign w:val="bottom"/>
          </w:tcPr>
          <w:p>
            <w:pPr>
              <w:ind w:left="3360"/>
              <w:spacing w:after="0" w:line="179" w:lineRule="exact"/>
              <w:rPr>
                <w:sz w:val="20"/>
                <w:szCs w:val="20"/>
                <w:color w:val="auto"/>
              </w:rPr>
            </w:pPr>
            <w:r>
              <w:rPr>
                <w:rFonts w:ascii="Arial" w:cs="Arial" w:eastAsia="Arial" w:hAnsi="Arial"/>
                <w:sz w:val="16"/>
                <w:szCs w:val="16"/>
                <w:color w:val="auto"/>
              </w:rPr>
              <w:t>Name:</w:t>
            </w:r>
          </w:p>
        </w:tc>
        <w:tc>
          <w:tcPr>
            <w:tcW w:w="3940" w:type="dxa"/>
            <w:vAlign w:val="bottom"/>
          </w:tcPr>
          <w:p>
            <w:pPr>
              <w:spacing w:after="0" w:line="179" w:lineRule="exact"/>
              <w:rPr>
                <w:sz w:val="20"/>
                <w:szCs w:val="20"/>
                <w:color w:val="auto"/>
              </w:rPr>
            </w:pPr>
            <w:r>
              <w:rPr>
                <w:rFonts w:ascii="Arial" w:cs="Arial" w:eastAsia="Arial" w:hAnsi="Arial"/>
                <w:sz w:val="16"/>
                <w:szCs w:val="16"/>
                <w:color w:val="auto"/>
              </w:rPr>
              <w:t>Becky Roof</w:t>
            </w:r>
          </w:p>
        </w:tc>
      </w:tr>
      <w:tr>
        <w:trPr>
          <w:trHeight w:val="204"/>
        </w:trPr>
        <w:tc>
          <w:tcPr>
            <w:tcW w:w="3400" w:type="dxa"/>
            <w:vAlign w:val="bottom"/>
          </w:tcPr>
          <w:p>
            <w:pPr>
              <w:spacing w:after="0"/>
              <w:rPr>
                <w:sz w:val="17"/>
                <w:szCs w:val="17"/>
                <w:color w:val="auto"/>
              </w:rPr>
            </w:pPr>
          </w:p>
        </w:tc>
        <w:tc>
          <w:tcPr>
            <w:tcW w:w="3920" w:type="dxa"/>
            <w:vAlign w:val="bottom"/>
          </w:tcPr>
          <w:p>
            <w:pPr>
              <w:ind w:left="3360"/>
              <w:spacing w:after="0"/>
              <w:rPr>
                <w:sz w:val="20"/>
                <w:szCs w:val="20"/>
                <w:color w:val="auto"/>
              </w:rPr>
            </w:pPr>
            <w:r>
              <w:rPr>
                <w:rFonts w:ascii="Arial" w:cs="Arial" w:eastAsia="Arial" w:hAnsi="Arial"/>
                <w:sz w:val="16"/>
                <w:szCs w:val="16"/>
                <w:color w:val="auto"/>
              </w:rPr>
              <w:t>Title:</w:t>
            </w:r>
          </w:p>
        </w:tc>
        <w:tc>
          <w:tcPr>
            <w:tcW w:w="3940" w:type="dxa"/>
            <w:vAlign w:val="bottom"/>
          </w:tcPr>
          <w:p>
            <w:pPr>
              <w:spacing w:after="0"/>
              <w:rPr>
                <w:sz w:val="20"/>
                <w:szCs w:val="20"/>
                <w:color w:val="auto"/>
              </w:rPr>
            </w:pPr>
            <w:r>
              <w:rPr>
                <w:rFonts w:ascii="Arial" w:cs="Arial" w:eastAsia="Arial" w:hAnsi="Arial"/>
                <w:sz w:val="16"/>
                <w:szCs w:val="16"/>
                <w:color w:val="auto"/>
              </w:rPr>
              <w:t>Interim Chief Financial Officer</w:t>
            </w:r>
          </w:p>
        </w:tc>
      </w:tr>
      <w:tr>
        <w:trPr>
          <w:trHeight w:val="577"/>
        </w:trPr>
        <w:tc>
          <w:tcPr>
            <w:tcW w:w="34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ind w:left="2160"/>
              <w:spacing w:after="0"/>
              <w:rPr>
                <w:sz w:val="20"/>
                <w:szCs w:val="20"/>
                <w:color w:val="auto"/>
              </w:rPr>
            </w:pPr>
            <w:r>
              <w:rPr>
                <w:rFonts w:ascii="Arial" w:cs="Arial" w:eastAsia="Arial" w:hAnsi="Arial"/>
                <w:sz w:val="16"/>
                <w:szCs w:val="16"/>
                <w:color w:val="auto"/>
              </w:rPr>
              <w:t>2</w:t>
            </w:r>
          </w:p>
        </w:tc>
        <w:tc>
          <w:tcPr>
            <w:tcW w:w="3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16" w:right="319" w:bottom="1440" w:gutter="0" w:footer="0" w:header="0"/>
        </w:sectPr>
      </w:pPr>
    </w:p>
    <w:bookmarkStart w:id="3" w:name="page4"/>
    <w:bookmarkEnd w:id="3"/>
    <w:p>
      <w:pPr>
        <w:ind w:left="9300"/>
        <w:spacing w:after="0"/>
        <w:rPr>
          <w:sz w:val="20"/>
          <w:szCs w:val="20"/>
          <w:color w:val="auto"/>
        </w:rPr>
      </w:pPr>
      <w:r>
        <w:rPr>
          <w:rFonts w:ascii="Arial" w:cs="Arial" w:eastAsia="Arial" w:hAnsi="Arial"/>
          <w:sz w:val="15"/>
          <w:szCs w:val="1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143510</wp:posOffset>
            </wp:positionV>
            <wp:extent cx="7203440" cy="43326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0" w:num="1">
            <w:col w:w="10140"/>
          </w:cols>
          <w:pgMar w:left="1440" w:top="123" w:right="31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4164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4416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4725035</wp:posOffset>
            </wp:positionV>
            <wp:extent cx="714819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02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02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02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02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02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02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02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02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02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02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02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630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4363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630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3440" cy="4363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707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3440" cy="43707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0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2022-07-25T15:42:57Z</dcterms:created>
  <dcterms:modified xsi:type="dcterms:W3CDTF">2022-07-25T15:42:57Z</dcterms:modified>
</cp:coreProperties>
</file>