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415925</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5160"/>
        <w:spacing w:after="0"/>
        <w:rPr>
          <w:sz w:val="20"/>
          <w:szCs w:val="20"/>
          <w:color w:val="auto"/>
        </w:rPr>
      </w:pPr>
      <w:r>
        <w:rPr>
          <w:rFonts w:ascii="Arial" w:cs="Arial" w:eastAsia="Arial" w:hAnsi="Arial"/>
          <w:sz w:val="17"/>
          <w:szCs w:val="17"/>
          <w:b w:val="1"/>
          <w:bCs w:val="1"/>
          <w:color w:val="auto"/>
        </w:rPr>
        <w:t>UNITED STATES</w:t>
      </w:r>
    </w:p>
    <w:p>
      <w:pPr>
        <w:ind w:left="3960"/>
        <w:spacing w:after="0" w:line="209" w:lineRule="auto"/>
        <w:rPr>
          <w:sz w:val="20"/>
          <w:szCs w:val="20"/>
          <w:color w:val="auto"/>
        </w:rPr>
      </w:pPr>
      <w:r>
        <w:rPr>
          <w:rFonts w:ascii="Arial" w:cs="Arial" w:eastAsia="Arial" w:hAnsi="Arial"/>
          <w:sz w:val="17"/>
          <w:szCs w:val="17"/>
          <w:b w:val="1"/>
          <w:bCs w:val="1"/>
          <w:color w:val="auto"/>
        </w:rPr>
        <w:t>SECURITIES AND EXCHANGE COMMISSION</w:t>
      </w:r>
    </w:p>
    <w:p>
      <w:pPr>
        <w:ind w:left="4940"/>
        <w:spacing w:after="0" w:line="193" w:lineRule="auto"/>
        <w:rPr>
          <w:sz w:val="20"/>
          <w:szCs w:val="20"/>
          <w:color w:val="auto"/>
        </w:rPr>
      </w:pPr>
      <w:r>
        <w:rPr>
          <w:rFonts w:ascii="Arial" w:cs="Arial" w:eastAsia="Arial" w:hAnsi="Arial"/>
          <w:sz w:val="17"/>
          <w:szCs w:val="17"/>
          <w:b w:val="1"/>
          <w:bCs w:val="1"/>
          <w:color w:val="auto"/>
        </w:rPr>
        <w:t>Washington, D.C. 20549</w:t>
      </w:r>
    </w:p>
    <w:p>
      <w:pPr>
        <w:jc w:val="center"/>
        <w:ind w:left="420"/>
        <w:spacing w:after="0"/>
        <w:rPr>
          <w:sz w:val="20"/>
          <w:szCs w:val="20"/>
          <w:color w:val="auto"/>
        </w:rPr>
      </w:pPr>
      <w:r>
        <w:rPr>
          <w:rFonts w:ascii="Arial" w:cs="Arial" w:eastAsia="Arial" w:hAnsi="Arial"/>
          <w:sz w:val="17"/>
          <w:szCs w:val="17"/>
          <w:b w:val="1"/>
          <w:bCs w:val="1"/>
          <w:color w:val="auto"/>
        </w:rPr>
        <w:t>FORM 10-Q</w:t>
      </w:r>
    </w:p>
    <w:p>
      <w:pPr>
        <w:spacing w:after="0" w:line="256" w:lineRule="exact"/>
        <w:rPr>
          <w:sz w:val="24"/>
          <w:szCs w:val="24"/>
          <w:color w:val="auto"/>
        </w:rPr>
      </w:pPr>
    </w:p>
    <w:p>
      <w:pPr>
        <w:ind w:left="1640" w:right="1420" w:hanging="478"/>
        <w:spacing w:after="0" w:line="280" w:lineRule="auto"/>
        <w:tabs>
          <w:tab w:leader="none" w:pos="16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46" w:lineRule="exact"/>
        <w:rPr>
          <w:sz w:val="24"/>
          <w:szCs w:val="24"/>
          <w:color w:val="auto"/>
        </w:rPr>
      </w:pPr>
    </w:p>
    <w:p>
      <w:pPr>
        <w:ind w:left="2080"/>
        <w:spacing w:after="0"/>
        <w:rPr>
          <w:sz w:val="20"/>
          <w:szCs w:val="20"/>
          <w:color w:val="auto"/>
        </w:rPr>
      </w:pPr>
      <w:r>
        <w:rPr>
          <w:rFonts w:ascii="Arial" w:cs="Arial" w:eastAsia="Arial" w:hAnsi="Arial"/>
          <w:sz w:val="17"/>
          <w:szCs w:val="17"/>
          <w:color w:val="auto"/>
        </w:rPr>
        <w:t xml:space="preserve">For the quarterly period ended </w:t>
      </w:r>
      <w:r>
        <w:rPr>
          <w:rFonts w:ascii="Arial" w:cs="Arial" w:eastAsia="Arial" w:hAnsi="Arial"/>
          <w:sz w:val="17"/>
          <w:szCs w:val="17"/>
          <w:b w:val="1"/>
          <w:bCs w:val="1"/>
          <w:color w:val="auto"/>
        </w:rPr>
        <w:t>June 30, 2022</w:t>
      </w:r>
    </w:p>
    <w:p>
      <w:pPr>
        <w:spacing w:after="0" w:line="106" w:lineRule="exact"/>
        <w:rPr>
          <w:sz w:val="24"/>
          <w:szCs w:val="24"/>
          <w:color w:val="auto"/>
        </w:rPr>
      </w:pPr>
    </w:p>
    <w:p>
      <w:pPr>
        <w:jc w:val="center"/>
        <w:ind w:left="420"/>
        <w:spacing w:after="0"/>
        <w:rPr>
          <w:sz w:val="20"/>
          <w:szCs w:val="20"/>
          <w:color w:val="auto"/>
        </w:rPr>
      </w:pPr>
      <w:r>
        <w:rPr>
          <w:rFonts w:ascii="Arial" w:cs="Arial" w:eastAsia="Arial" w:hAnsi="Arial"/>
          <w:sz w:val="17"/>
          <w:szCs w:val="17"/>
          <w:b w:val="1"/>
          <w:bCs w:val="1"/>
          <w:color w:val="auto"/>
        </w:rPr>
        <w:t>OR</w:t>
      </w:r>
    </w:p>
    <w:p>
      <w:pPr>
        <w:spacing w:after="0" w:line="32" w:lineRule="exact"/>
        <w:rPr>
          <w:sz w:val="24"/>
          <w:szCs w:val="24"/>
          <w:color w:val="auto"/>
        </w:rPr>
      </w:pPr>
    </w:p>
    <w:p>
      <w:pPr>
        <w:ind w:left="1640" w:right="1400" w:hanging="478"/>
        <w:spacing w:after="0" w:line="270" w:lineRule="auto"/>
        <w:tabs>
          <w:tab w:leader="none" w:pos="16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ind w:left="164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For the transition period from ________________ to ________________</w:t>
      </w:r>
    </w:p>
    <w:p>
      <w:pPr>
        <w:spacing w:after="0" w:line="342" w:lineRule="exact"/>
        <w:rPr>
          <w:sz w:val="24"/>
          <w:szCs w:val="24"/>
          <w:color w:val="auto"/>
        </w:rPr>
      </w:pPr>
    </w:p>
    <w:p>
      <w:pPr>
        <w:ind w:left="4480"/>
        <w:spacing w:after="0"/>
        <w:rPr>
          <w:sz w:val="20"/>
          <w:szCs w:val="20"/>
          <w:color w:val="auto"/>
        </w:rPr>
      </w:pPr>
      <w:r>
        <w:rPr>
          <w:rFonts w:ascii="Arial" w:cs="Arial" w:eastAsia="Arial" w:hAnsi="Arial"/>
          <w:sz w:val="17"/>
          <w:szCs w:val="17"/>
          <w:b w:val="1"/>
          <w:bCs w:val="1"/>
          <w:color w:val="auto"/>
        </w:rPr>
        <w:t>Commission File Number: 001-39395</w:t>
      </w:r>
    </w:p>
    <w:p>
      <w:pPr>
        <w:spacing w:after="0" w:line="53" w:lineRule="exact"/>
        <w:rPr>
          <w:sz w:val="24"/>
          <w:szCs w:val="24"/>
          <w:color w:val="auto"/>
        </w:rPr>
      </w:pPr>
    </w:p>
    <w:p>
      <w:pPr>
        <w:ind w:left="4360"/>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40" w:lineRule="exact"/>
        <w:rPr>
          <w:sz w:val="24"/>
          <w:szCs w:val="24"/>
          <w:color w:val="auto"/>
        </w:rPr>
      </w:pPr>
    </w:p>
    <w:p>
      <w:pPr>
        <w:ind w:left="392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32" w:lineRule="exact"/>
        <w:rPr>
          <w:sz w:val="24"/>
          <w:szCs w:val="24"/>
          <w:color w:val="auto"/>
        </w:rPr>
      </w:pPr>
    </w:p>
    <w:tbl>
      <w:tblPr>
        <w:tblLayout w:type="fixed"/>
        <w:tblInd w:w="540" w:type="dxa"/>
        <w:tblCellMar>
          <w:top w:w="0" w:type="dxa"/>
          <w:left w:w="0" w:type="dxa"/>
          <w:bottom w:w="0" w:type="dxa"/>
          <w:right w:w="0" w:type="dxa"/>
        </w:tblCellMar>
      </w:tblPr>
      <w:tr>
        <w:trPr>
          <w:trHeight w:val="228"/>
        </w:trPr>
        <w:tc>
          <w:tcPr>
            <w:tcW w:w="5500" w:type="dxa"/>
            <w:vAlign w:val="bottom"/>
          </w:tcPr>
          <w:p>
            <w:pPr>
              <w:jc w:val="center"/>
              <w:ind w:right="1253"/>
              <w:spacing w:after="0"/>
              <w:rPr>
                <w:sz w:val="20"/>
                <w:szCs w:val="20"/>
                <w:color w:val="auto"/>
              </w:rPr>
            </w:pPr>
            <w:r>
              <w:rPr>
                <w:rFonts w:ascii="Arial" w:cs="Arial" w:eastAsia="Arial" w:hAnsi="Arial"/>
                <w:sz w:val="17"/>
                <w:szCs w:val="17"/>
                <w:b w:val="1"/>
                <w:bCs w:val="1"/>
                <w:color w:val="auto"/>
                <w:w w:val="96"/>
              </w:rPr>
              <w:t>Delaware</w:t>
            </w:r>
          </w:p>
        </w:tc>
        <w:tc>
          <w:tcPr>
            <w:tcW w:w="3900" w:type="dxa"/>
            <w:vAlign w:val="bottom"/>
          </w:tcPr>
          <w:p>
            <w:pPr>
              <w:jc w:val="right"/>
              <w:ind w:right="793"/>
              <w:spacing w:after="0"/>
              <w:rPr>
                <w:sz w:val="20"/>
                <w:szCs w:val="20"/>
                <w:color w:val="auto"/>
              </w:rPr>
            </w:pPr>
            <w:r>
              <w:rPr>
                <w:rFonts w:ascii="Arial" w:cs="Arial" w:eastAsia="Arial" w:hAnsi="Arial"/>
                <w:sz w:val="17"/>
                <w:szCs w:val="17"/>
                <w:b w:val="1"/>
                <w:bCs w:val="1"/>
                <w:color w:val="auto"/>
              </w:rPr>
              <w:t>84-4720320</w:t>
            </w:r>
          </w:p>
        </w:tc>
      </w:tr>
      <w:tr>
        <w:trPr>
          <w:trHeight w:val="244"/>
        </w:trPr>
        <w:tc>
          <w:tcPr>
            <w:tcW w:w="5500" w:type="dxa"/>
            <w:vAlign w:val="bottom"/>
          </w:tcPr>
          <w:p>
            <w:pPr>
              <w:jc w:val="center"/>
              <w:ind w:right="1253"/>
              <w:spacing w:after="0"/>
              <w:rPr>
                <w:sz w:val="20"/>
                <w:szCs w:val="20"/>
                <w:color w:val="auto"/>
              </w:rPr>
            </w:pPr>
            <w:r>
              <w:rPr>
                <w:rFonts w:ascii="Arial" w:cs="Arial" w:eastAsia="Arial" w:hAnsi="Arial"/>
                <w:sz w:val="17"/>
                <w:szCs w:val="17"/>
                <w:color w:val="auto"/>
                <w:w w:val="94"/>
              </w:rPr>
              <w:t>(State or other jurisdiction of incorporation or organization)</w:t>
            </w:r>
          </w:p>
        </w:tc>
        <w:tc>
          <w:tcPr>
            <w:tcW w:w="3900" w:type="dxa"/>
            <w:vAlign w:val="bottom"/>
          </w:tcPr>
          <w:p>
            <w:pPr>
              <w:jc w:val="center"/>
              <w:ind w:left="1273"/>
              <w:spacing w:after="0"/>
              <w:rPr>
                <w:sz w:val="20"/>
                <w:szCs w:val="20"/>
                <w:color w:val="auto"/>
              </w:rPr>
            </w:pPr>
            <w:r>
              <w:rPr>
                <w:rFonts w:ascii="Arial" w:cs="Arial" w:eastAsia="Arial" w:hAnsi="Arial"/>
                <w:sz w:val="17"/>
                <w:szCs w:val="17"/>
                <w:color w:val="auto"/>
                <w:w w:val="97"/>
              </w:rPr>
              <w:t>(I.R.S. Employer Identification No.)</w:t>
            </w:r>
          </w:p>
        </w:tc>
      </w:tr>
      <w:tr>
        <w:trPr>
          <w:trHeight w:val="296"/>
        </w:trPr>
        <w:tc>
          <w:tcPr>
            <w:tcW w:w="5500" w:type="dxa"/>
            <w:vAlign w:val="bottom"/>
          </w:tcPr>
          <w:p>
            <w:pPr>
              <w:jc w:val="center"/>
              <w:ind w:right="1273"/>
              <w:spacing w:after="0"/>
              <w:rPr>
                <w:sz w:val="20"/>
                <w:szCs w:val="20"/>
                <w:color w:val="auto"/>
              </w:rPr>
            </w:pPr>
            <w:r>
              <w:rPr>
                <w:rFonts w:ascii="Arial" w:cs="Arial" w:eastAsia="Arial" w:hAnsi="Arial"/>
                <w:sz w:val="17"/>
                <w:szCs w:val="17"/>
                <w:b w:val="1"/>
                <w:bCs w:val="1"/>
                <w:color w:val="auto"/>
                <w:w w:val="91"/>
              </w:rPr>
              <w:t>18455 S. Figueroa Street,</w:t>
            </w:r>
          </w:p>
        </w:tc>
        <w:tc>
          <w:tcPr>
            <w:tcW w:w="3900" w:type="dxa"/>
            <w:vAlign w:val="bottom"/>
          </w:tcPr>
          <w:p>
            <w:pPr>
              <w:spacing w:after="0"/>
              <w:rPr>
                <w:sz w:val="24"/>
                <w:szCs w:val="24"/>
                <w:color w:val="auto"/>
              </w:rPr>
            </w:pPr>
          </w:p>
        </w:tc>
      </w:tr>
      <w:tr>
        <w:trPr>
          <w:trHeight w:val="254"/>
        </w:trPr>
        <w:tc>
          <w:tcPr>
            <w:tcW w:w="5500" w:type="dxa"/>
            <w:vAlign w:val="bottom"/>
          </w:tcPr>
          <w:p>
            <w:pPr>
              <w:jc w:val="center"/>
              <w:ind w:right="1253"/>
              <w:spacing w:after="0"/>
              <w:rPr>
                <w:sz w:val="20"/>
                <w:szCs w:val="20"/>
                <w:color w:val="auto"/>
              </w:rPr>
            </w:pPr>
            <w:r>
              <w:rPr>
                <w:rFonts w:ascii="Arial" w:cs="Arial" w:eastAsia="Arial" w:hAnsi="Arial"/>
                <w:sz w:val="17"/>
                <w:szCs w:val="17"/>
                <w:b w:val="1"/>
                <w:bCs w:val="1"/>
                <w:color w:val="auto"/>
                <w:w w:val="97"/>
              </w:rPr>
              <w:t>Gardena, CA</w:t>
            </w:r>
          </w:p>
        </w:tc>
        <w:tc>
          <w:tcPr>
            <w:tcW w:w="3900" w:type="dxa"/>
            <w:vAlign w:val="bottom"/>
          </w:tcPr>
          <w:p>
            <w:pPr>
              <w:jc w:val="right"/>
              <w:ind w:right="993"/>
              <w:spacing w:after="0"/>
              <w:rPr>
                <w:sz w:val="20"/>
                <w:szCs w:val="20"/>
                <w:color w:val="auto"/>
              </w:rPr>
            </w:pPr>
            <w:r>
              <w:rPr>
                <w:rFonts w:ascii="Arial" w:cs="Arial" w:eastAsia="Arial" w:hAnsi="Arial"/>
                <w:sz w:val="17"/>
                <w:szCs w:val="17"/>
                <w:b w:val="1"/>
                <w:bCs w:val="1"/>
                <w:color w:val="auto"/>
              </w:rPr>
              <w:t>90248</w:t>
            </w:r>
          </w:p>
        </w:tc>
      </w:tr>
      <w:tr>
        <w:trPr>
          <w:trHeight w:val="223"/>
        </w:trPr>
        <w:tc>
          <w:tcPr>
            <w:tcW w:w="5500" w:type="dxa"/>
            <w:vAlign w:val="bottom"/>
          </w:tcPr>
          <w:p>
            <w:pPr>
              <w:jc w:val="center"/>
              <w:ind w:right="1253"/>
              <w:spacing w:after="0"/>
              <w:rPr>
                <w:sz w:val="20"/>
                <w:szCs w:val="20"/>
                <w:color w:val="auto"/>
              </w:rPr>
            </w:pPr>
            <w:r>
              <w:rPr>
                <w:rFonts w:ascii="Arial" w:cs="Arial" w:eastAsia="Arial" w:hAnsi="Arial"/>
                <w:sz w:val="17"/>
                <w:szCs w:val="17"/>
                <w:color w:val="auto"/>
                <w:w w:val="95"/>
              </w:rPr>
              <w:t>(Address of Principal Executive Offices)</w:t>
            </w:r>
          </w:p>
        </w:tc>
        <w:tc>
          <w:tcPr>
            <w:tcW w:w="3900" w:type="dxa"/>
            <w:vAlign w:val="bottom"/>
          </w:tcPr>
          <w:p>
            <w:pPr>
              <w:jc w:val="center"/>
              <w:ind w:left="1253"/>
              <w:spacing w:after="0"/>
              <w:rPr>
                <w:sz w:val="20"/>
                <w:szCs w:val="20"/>
                <w:color w:val="auto"/>
              </w:rPr>
            </w:pPr>
            <w:r>
              <w:rPr>
                <w:rFonts w:ascii="Arial" w:cs="Arial" w:eastAsia="Arial" w:hAnsi="Arial"/>
                <w:sz w:val="17"/>
                <w:szCs w:val="17"/>
                <w:color w:val="auto"/>
                <w:w w:val="94"/>
              </w:rPr>
              <w:t>(Zip Code)</w:t>
            </w:r>
          </w:p>
        </w:tc>
      </w:tr>
    </w:tbl>
    <w:p>
      <w:pPr>
        <w:spacing w:after="0" w:line="173" w:lineRule="exact"/>
        <w:rPr>
          <w:sz w:val="24"/>
          <w:szCs w:val="24"/>
          <w:color w:val="auto"/>
        </w:rPr>
      </w:pPr>
    </w:p>
    <w:p>
      <w:pPr>
        <w:jc w:val="center"/>
        <w:ind w:left="420"/>
        <w:spacing w:after="0"/>
        <w:rPr>
          <w:sz w:val="20"/>
          <w:szCs w:val="20"/>
          <w:color w:val="auto"/>
        </w:rPr>
      </w:pPr>
      <w:r>
        <w:rPr>
          <w:rFonts w:ascii="Arial" w:cs="Arial" w:eastAsia="Arial" w:hAnsi="Arial"/>
          <w:sz w:val="17"/>
          <w:szCs w:val="17"/>
          <w:b w:val="1"/>
          <w:bCs w:val="1"/>
          <w:color w:val="auto"/>
        </w:rPr>
        <w:t>(310) 415-4807</w:t>
      </w:r>
    </w:p>
    <w:p>
      <w:pPr>
        <w:jc w:val="center"/>
        <w:ind w:left="420"/>
        <w:spacing w:after="0"/>
        <w:rPr>
          <w:sz w:val="20"/>
          <w:szCs w:val="20"/>
          <w:color w:val="auto"/>
        </w:rPr>
      </w:pPr>
      <w:r>
        <w:rPr>
          <w:rFonts w:ascii="Arial" w:cs="Arial" w:eastAsia="Arial" w:hAnsi="Arial"/>
          <w:sz w:val="17"/>
          <w:szCs w:val="17"/>
          <w:color w:val="auto"/>
        </w:rPr>
        <w:t>Registrant’s telephone number, including area code</w:t>
      </w:r>
    </w:p>
    <w:p>
      <w:pPr>
        <w:spacing w:after="0" w:line="328" w:lineRule="exact"/>
        <w:rPr>
          <w:sz w:val="24"/>
          <w:szCs w:val="24"/>
          <w:color w:val="auto"/>
        </w:rPr>
      </w:pPr>
    </w:p>
    <w:p>
      <w:pPr>
        <w:ind w:left="440"/>
        <w:spacing w:after="0"/>
        <w:rPr>
          <w:sz w:val="20"/>
          <w:szCs w:val="20"/>
          <w:color w:val="auto"/>
        </w:rPr>
      </w:pPr>
      <w:r>
        <w:rPr>
          <w:rFonts w:ascii="Arial" w:cs="Arial" w:eastAsia="Arial" w:hAnsi="Arial"/>
          <w:sz w:val="17"/>
          <w:szCs w:val="17"/>
          <w:color w:val="auto"/>
        </w:rPr>
        <w:t>Securities registered pursuant to Section 12(b) of the Act:</w:t>
      </w:r>
    </w:p>
    <w:p>
      <w:pPr>
        <w:spacing w:after="0" w:line="386"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Title of each class</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5"/>
              </w:rPr>
              <w:t>Trading Symbol(s)</w:t>
            </w:r>
          </w:p>
        </w:tc>
        <w:tc>
          <w:tcPr>
            <w:tcW w:w="4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Name of each exchange on which registered</w:t>
            </w:r>
          </w:p>
        </w:tc>
        <w:tc>
          <w:tcPr>
            <w:tcW w:w="0" w:type="dxa"/>
            <w:vAlign w:val="bottom"/>
          </w:tcPr>
          <w:p>
            <w:pPr>
              <w:spacing w:after="0"/>
              <w:rPr>
                <w:sz w:val="1"/>
                <w:szCs w:val="1"/>
                <w:color w:val="auto"/>
              </w:rPr>
            </w:pPr>
          </w:p>
        </w:tc>
      </w:tr>
      <w:tr>
        <w:trPr>
          <w:trHeight w:val="216"/>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Class A common stock, par value $0.0001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7"/>
              </w:rPr>
              <w:t>FFIE</w:t>
            </w:r>
          </w:p>
        </w:tc>
        <w:tc>
          <w:tcPr>
            <w:tcW w:w="4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The Nasdaq Stock Market LLC</w:t>
            </w:r>
          </w:p>
        </w:tc>
        <w:tc>
          <w:tcPr>
            <w:tcW w:w="0" w:type="dxa"/>
            <w:vAlign w:val="bottom"/>
          </w:tcPr>
          <w:p>
            <w:pPr>
              <w:spacing w:after="0"/>
              <w:rPr>
                <w:sz w:val="1"/>
                <w:szCs w:val="1"/>
                <w:color w:val="auto"/>
              </w:rPr>
            </w:pPr>
          </w:p>
        </w:tc>
      </w:tr>
      <w:tr>
        <w:trPr>
          <w:trHeight w:val="164"/>
        </w:trPr>
        <w:tc>
          <w:tcPr>
            <w:tcW w:w="3900" w:type="dxa"/>
            <w:vAlign w:val="bottom"/>
            <w:tcBorders>
              <w:left w:val="single" w:sz="8" w:color="auto"/>
              <w:right w:val="single" w:sz="8" w:color="auto"/>
            </w:tcBorders>
          </w:tcPr>
          <w:p>
            <w:pPr>
              <w:jc w:val="center"/>
              <w:spacing w:after="0" w:line="164" w:lineRule="exact"/>
              <w:rPr>
                <w:sz w:val="20"/>
                <w:szCs w:val="20"/>
                <w:color w:val="auto"/>
              </w:rPr>
            </w:pPr>
            <w:r>
              <w:rPr>
                <w:rFonts w:ascii="Arial" w:cs="Arial" w:eastAsia="Arial" w:hAnsi="Arial"/>
                <w:sz w:val="17"/>
                <w:szCs w:val="17"/>
                <w:color w:val="auto"/>
                <w:w w:val="90"/>
              </w:rPr>
              <w:t>Redeemable warrants, exercisable for shares of Class</w:t>
            </w: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8"/>
              </w:rPr>
              <w:t>FFIEW</w:t>
            </w:r>
          </w:p>
        </w:tc>
        <w:tc>
          <w:tcPr>
            <w:tcW w:w="4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w w:val="94"/>
              </w:rPr>
              <w:t>The Nasdaq Stock Market LLC</w:t>
            </w:r>
          </w:p>
        </w:tc>
        <w:tc>
          <w:tcPr>
            <w:tcW w:w="0" w:type="dxa"/>
            <w:vAlign w:val="bottom"/>
          </w:tcPr>
          <w:p>
            <w:pPr>
              <w:spacing w:after="0"/>
              <w:rPr>
                <w:sz w:val="1"/>
                <w:szCs w:val="1"/>
                <w:color w:val="auto"/>
              </w:rPr>
            </w:pPr>
          </w:p>
        </w:tc>
      </w:tr>
      <w:tr>
        <w:trPr>
          <w:trHeight w:val="183"/>
        </w:trPr>
        <w:tc>
          <w:tcPr>
            <w:tcW w:w="3900" w:type="dxa"/>
            <w:vAlign w:val="bottom"/>
            <w:tcBorders>
              <w:left w:val="single" w:sz="8" w:color="auto"/>
              <w:right w:val="single" w:sz="8" w:color="auto"/>
            </w:tcBorders>
          </w:tcPr>
          <w:p>
            <w:pPr>
              <w:jc w:val="center"/>
              <w:spacing w:after="0" w:line="184" w:lineRule="exact"/>
              <w:rPr>
                <w:sz w:val="20"/>
                <w:szCs w:val="20"/>
                <w:color w:val="auto"/>
              </w:rPr>
            </w:pPr>
            <w:r>
              <w:rPr>
                <w:rFonts w:ascii="Arial" w:cs="Arial" w:eastAsia="Arial" w:hAnsi="Arial"/>
                <w:sz w:val="17"/>
                <w:szCs w:val="17"/>
                <w:color w:val="auto"/>
                <w:w w:val="92"/>
              </w:rPr>
              <w:t>A common stock at an exercise price of $11.50 per</w:t>
            </w:r>
          </w:p>
        </w:tc>
        <w:tc>
          <w:tcPr>
            <w:tcW w:w="2400" w:type="dxa"/>
            <w:vAlign w:val="bottom"/>
            <w:tcBorders>
              <w:right w:val="single" w:sz="8" w:color="auto"/>
            </w:tcBorders>
            <w:vMerge w:val="continue"/>
          </w:tcPr>
          <w:p>
            <w:pPr>
              <w:spacing w:after="0"/>
              <w:rPr>
                <w:sz w:val="15"/>
                <w:szCs w:val="15"/>
                <w:color w:val="auto"/>
              </w:rPr>
            </w:pPr>
          </w:p>
        </w:tc>
        <w:tc>
          <w:tcPr>
            <w:tcW w:w="49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share</w:t>
            </w:r>
          </w:p>
        </w:tc>
        <w:tc>
          <w:tcPr>
            <w:tcW w:w="2400" w:type="dxa"/>
            <w:vAlign w:val="bottom"/>
            <w:tcBorders>
              <w:bottom w:val="single" w:sz="8" w:color="auto"/>
              <w:right w:val="single" w:sz="8" w:color="auto"/>
            </w:tcBorders>
          </w:tcPr>
          <w:p>
            <w:pPr>
              <w:spacing w:after="0"/>
              <w:rPr>
                <w:sz w:val="19"/>
                <w:szCs w:val="19"/>
                <w:color w:val="auto"/>
              </w:rPr>
            </w:pPr>
          </w:p>
        </w:tc>
        <w:tc>
          <w:tcPr>
            <w:tcW w:w="4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6" w:lineRule="exact"/>
        <w:rPr>
          <w:sz w:val="24"/>
          <w:szCs w:val="24"/>
          <w:color w:val="auto"/>
        </w:rPr>
      </w:pPr>
    </w:p>
    <w:p>
      <w:pPr>
        <w:ind w:right="200" w:firstLine="440"/>
        <w:spacing w:after="0" w:line="22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349" w:lineRule="exact"/>
        <w:rPr>
          <w:sz w:val="24"/>
          <w:szCs w:val="24"/>
          <w:color w:val="auto"/>
        </w:rPr>
      </w:pPr>
    </w:p>
    <w:p>
      <w:pPr>
        <w:ind w:right="260" w:firstLine="440"/>
        <w:spacing w:after="0" w:line="296"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196" w:lineRule="exact"/>
        <w:tabs>
          <w:tab w:leader="none" w:pos="78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386" w:lineRule="exact"/>
        <w:rPr>
          <w:sz w:val="24"/>
          <w:szCs w:val="24"/>
          <w:color w:val="auto"/>
        </w:rPr>
      </w:pPr>
    </w:p>
    <w:p>
      <w:pPr>
        <w:jc w:val="both"/>
        <w:ind w:right="20" w:firstLine="440"/>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000" w:type="dxa"/>
            <w:vAlign w:val="bottom"/>
          </w:tcPr>
          <w:p>
            <w:pPr>
              <w:jc w:val="center"/>
              <w:ind w:right="1313"/>
              <w:spacing w:after="0"/>
              <w:rPr>
                <w:sz w:val="20"/>
                <w:szCs w:val="20"/>
                <w:color w:val="auto"/>
              </w:rPr>
            </w:pPr>
            <w:r>
              <w:rPr>
                <w:rFonts w:ascii="Arial" w:cs="Arial" w:eastAsia="Arial" w:hAnsi="Arial"/>
                <w:sz w:val="17"/>
                <w:szCs w:val="17"/>
                <w:color w:val="auto"/>
                <w:w w:val="92"/>
              </w:rPr>
              <w:t>Large accelerated filer</w:t>
            </w:r>
          </w:p>
        </w:tc>
        <w:tc>
          <w:tcPr>
            <w:tcW w:w="2180" w:type="dxa"/>
            <w:vAlign w:val="bottom"/>
          </w:tcPr>
          <w:p>
            <w:pPr>
              <w:ind w:left="1420"/>
              <w:spacing w:after="0" w:line="171" w:lineRule="exact"/>
              <w:rPr>
                <w:sz w:val="20"/>
                <w:szCs w:val="20"/>
                <w:color w:val="auto"/>
              </w:rPr>
            </w:pPr>
            <w:r>
              <w:rPr>
                <w:rFonts w:ascii="MS PGothic" w:cs="MS PGothic" w:eastAsia="MS PGothic" w:hAnsi="MS PGothic"/>
                <w:sz w:val="17"/>
                <w:szCs w:val="17"/>
                <w:color w:val="auto"/>
              </w:rPr>
              <w:t>☐</w:t>
            </w:r>
          </w:p>
        </w:tc>
        <w:tc>
          <w:tcPr>
            <w:tcW w:w="4200" w:type="dxa"/>
            <w:vAlign w:val="bottom"/>
          </w:tcPr>
          <w:p>
            <w:pPr>
              <w:ind w:left="600"/>
              <w:spacing w:after="0"/>
              <w:rPr>
                <w:sz w:val="20"/>
                <w:szCs w:val="20"/>
                <w:color w:val="auto"/>
              </w:rPr>
            </w:pPr>
            <w:r>
              <w:rPr>
                <w:rFonts w:ascii="Arial" w:cs="Arial" w:eastAsia="Arial" w:hAnsi="Arial"/>
                <w:sz w:val="17"/>
                <w:szCs w:val="17"/>
                <w:color w:val="auto"/>
              </w:rPr>
              <w:t>Accelerated filer</w:t>
            </w:r>
          </w:p>
        </w:tc>
        <w:tc>
          <w:tcPr>
            <w:tcW w:w="186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93"/>
              </w:rPr>
              <w:t>☐</w:t>
            </w:r>
          </w:p>
        </w:tc>
      </w:tr>
      <w:tr>
        <w:trPr>
          <w:trHeight w:val="249"/>
        </w:trPr>
        <w:tc>
          <w:tcPr>
            <w:tcW w:w="3000" w:type="dxa"/>
            <w:vAlign w:val="bottom"/>
          </w:tcPr>
          <w:p>
            <w:pPr>
              <w:jc w:val="center"/>
              <w:ind w:right="1313"/>
              <w:spacing w:after="0"/>
              <w:rPr>
                <w:sz w:val="20"/>
                <w:szCs w:val="20"/>
                <w:color w:val="auto"/>
              </w:rPr>
            </w:pPr>
            <w:r>
              <w:rPr>
                <w:rFonts w:ascii="Arial" w:cs="Arial" w:eastAsia="Arial" w:hAnsi="Arial"/>
                <w:sz w:val="17"/>
                <w:szCs w:val="17"/>
                <w:color w:val="auto"/>
                <w:w w:val="94"/>
              </w:rPr>
              <w:t>Non-accelerated filer</w:t>
            </w:r>
          </w:p>
        </w:tc>
        <w:tc>
          <w:tcPr>
            <w:tcW w:w="2180" w:type="dxa"/>
            <w:vAlign w:val="bottom"/>
          </w:tcPr>
          <w:p>
            <w:pPr>
              <w:ind w:left="1420"/>
              <w:spacing w:after="0" w:line="171" w:lineRule="exact"/>
              <w:rPr>
                <w:sz w:val="20"/>
                <w:szCs w:val="20"/>
                <w:color w:val="auto"/>
              </w:rPr>
            </w:pPr>
            <w:r>
              <w:rPr>
                <w:rFonts w:ascii="MS PGothic" w:cs="MS PGothic" w:eastAsia="MS PGothic" w:hAnsi="MS PGothic"/>
                <w:sz w:val="17"/>
                <w:szCs w:val="17"/>
                <w:color w:val="auto"/>
              </w:rPr>
              <w:t>☒</w:t>
            </w:r>
          </w:p>
        </w:tc>
        <w:tc>
          <w:tcPr>
            <w:tcW w:w="4200" w:type="dxa"/>
            <w:vAlign w:val="bottom"/>
          </w:tcPr>
          <w:p>
            <w:pPr>
              <w:ind w:left="600"/>
              <w:spacing w:after="0"/>
              <w:rPr>
                <w:sz w:val="20"/>
                <w:szCs w:val="20"/>
                <w:color w:val="auto"/>
              </w:rPr>
            </w:pPr>
            <w:r>
              <w:rPr>
                <w:rFonts w:ascii="Arial" w:cs="Arial" w:eastAsia="Arial" w:hAnsi="Arial"/>
                <w:sz w:val="17"/>
                <w:szCs w:val="17"/>
                <w:color w:val="auto"/>
              </w:rPr>
              <w:t>Smaller reporting company</w:t>
            </w:r>
          </w:p>
        </w:tc>
        <w:tc>
          <w:tcPr>
            <w:tcW w:w="186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93"/>
              </w:rPr>
              <w:t>☒</w:t>
            </w:r>
          </w:p>
        </w:tc>
      </w:tr>
      <w:tr>
        <w:trPr>
          <w:trHeight w:val="274"/>
        </w:trPr>
        <w:tc>
          <w:tcPr>
            <w:tcW w:w="30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4200" w:type="dxa"/>
            <w:vAlign w:val="bottom"/>
          </w:tcPr>
          <w:p>
            <w:pPr>
              <w:ind w:left="600"/>
              <w:spacing w:after="0"/>
              <w:rPr>
                <w:sz w:val="20"/>
                <w:szCs w:val="20"/>
                <w:color w:val="auto"/>
              </w:rPr>
            </w:pPr>
            <w:r>
              <w:rPr>
                <w:rFonts w:ascii="Arial" w:cs="Arial" w:eastAsia="Arial" w:hAnsi="Arial"/>
                <w:sz w:val="17"/>
                <w:szCs w:val="17"/>
                <w:color w:val="auto"/>
              </w:rPr>
              <w:t>Emerging growth company</w:t>
            </w:r>
          </w:p>
        </w:tc>
        <w:tc>
          <w:tcPr>
            <w:tcW w:w="1860" w:type="dxa"/>
            <w:vAlign w:val="bottom"/>
          </w:tcPr>
          <w:p>
            <w:pPr>
              <w:ind w:left="1680"/>
              <w:spacing w:after="0" w:line="171" w:lineRule="exact"/>
              <w:rPr>
                <w:sz w:val="20"/>
                <w:szCs w:val="20"/>
                <w:color w:val="auto"/>
              </w:rPr>
            </w:pPr>
            <w:r>
              <w:rPr>
                <w:rFonts w:ascii="MS PGothic" w:cs="MS PGothic" w:eastAsia="MS PGothic" w:hAnsi="MS PGothic"/>
                <w:sz w:val="17"/>
                <w:szCs w:val="17"/>
                <w:color w:val="auto"/>
                <w:w w:val="93"/>
              </w:rPr>
              <w:t>☒</w:t>
            </w:r>
          </w:p>
        </w:tc>
      </w:tr>
      <w:tr>
        <w:trPr>
          <w:trHeight w:val="1218"/>
        </w:trPr>
        <w:tc>
          <w:tcPr>
            <w:tcW w:w="30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71" w:right="319" w:bottom="1440" w:gutter="0" w:footer="0" w:header="0"/>
        </w:sectPr>
      </w:pPr>
    </w:p>
    <w:bookmarkStart w:id="1" w:name="page2"/>
    <w:bookmarkEnd w:id="1"/>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44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17" w:lineRule="exact"/>
        <w:rPr>
          <w:sz w:val="20"/>
          <w:szCs w:val="20"/>
          <w:color w:val="auto"/>
        </w:rPr>
      </w:pPr>
    </w:p>
    <w:p>
      <w:pPr>
        <w:ind w:left="440"/>
        <w:spacing w:after="0" w:line="196" w:lineRule="exact"/>
        <w:tabs>
          <w:tab w:leader="none" w:pos="8560" w:val="left"/>
          <w:tab w:leader="none" w:pos="93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 xml:space="preserve">No </w:t>
      </w:r>
      <w:r>
        <w:rPr>
          <w:rFonts w:ascii="MS PGothic" w:cs="MS PGothic" w:eastAsia="MS PGothic" w:hAnsi="MS PGothic"/>
          <w:sz w:val="17"/>
          <w:szCs w:val="17"/>
          <w:color w:val="auto"/>
        </w:rPr>
        <w:t>☒</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registrant had outstanding 263,913,346 shares of Class A common stock and 64,000,588 shares of Class B common stock as of August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701675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57150</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82550</wp:posOffset>
            </wp:positionV>
            <wp:extent cx="713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180"/>
          </w:cols>
          <w:pgMar w:left="320" w:top="271" w:right="399" w:bottom="1440" w:gutter="0" w:footer="0" w:header="0"/>
        </w:sectPr>
      </w:pPr>
    </w:p>
    <w:bookmarkStart w:id="2" w:name="page3"/>
    <w:bookmarkEnd w:id="2"/>
    <w:p>
      <w:pPr>
        <w:ind w:left="42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Table of Contents</w:t>
      </w:r>
    </w:p>
    <w:p>
      <w:pPr>
        <w:spacing w:after="0" w:line="184"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INDEX TO UNAUDITED CONDENSED CONSOLIDATED FINANCIAL STATEMENTS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ind w:left="28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3"/>
        </w:trPr>
        <w:tc>
          <w:tcPr>
            <w:tcW w:w="10340" w:type="dxa"/>
            <w:vAlign w:val="bottom"/>
            <w:gridSpan w:val="22"/>
            <w:vMerge w:val="restart"/>
          </w:tcPr>
          <w:p>
            <w:pPr>
              <w:spacing w:after="0"/>
              <w:rPr>
                <w:sz w:val="20"/>
                <w:szCs w:val="20"/>
                <w:color w:val="auto"/>
              </w:rPr>
            </w:pPr>
            <w:r>
              <w:rPr>
                <w:rFonts w:ascii="Arial" w:cs="Arial" w:eastAsia="Arial" w:hAnsi="Arial"/>
                <w:sz w:val="17"/>
                <w:szCs w:val="17"/>
                <w:b w:val="1"/>
                <w:bCs w:val="1"/>
                <w:color w:val="auto"/>
              </w:rPr>
              <w:t>FARADAY FUTURE INTELLIGENT ELECTRIC INC.</w:t>
            </w: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0340" w:type="dxa"/>
            <w:vAlign w:val="bottom"/>
            <w:gridSpan w:val="22"/>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960" w:type="dxa"/>
            <w:vAlign w:val="bottom"/>
            <w:tcBorders>
              <w:bottom w:val="single" w:sz="8" w:color="0000FF"/>
            </w:tcBorders>
            <w:gridSpan w:val="10"/>
          </w:tcPr>
          <w:p>
            <w:pPr>
              <w:spacing w:after="0" w:line="184" w:lineRule="exact"/>
              <w:rPr>
                <w:sz w:val="20"/>
                <w:szCs w:val="20"/>
                <w:color w:val="auto"/>
              </w:rPr>
            </w:pPr>
            <w:r>
              <w:rPr>
                <w:rFonts w:ascii="Arial" w:cs="Arial" w:eastAsia="Arial" w:hAnsi="Arial"/>
                <w:sz w:val="17"/>
                <w:szCs w:val="17"/>
                <w:color w:val="0000FF"/>
                <w:w w:val="95"/>
              </w:rPr>
              <w:t>Part I Financial Information</w:t>
            </w:r>
          </w:p>
        </w:tc>
        <w:tc>
          <w:tcPr>
            <w:tcW w:w="8380" w:type="dxa"/>
            <w:vAlign w:val="bottom"/>
            <w:gridSpan w:val="12"/>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Arial" w:cs="Arial" w:eastAsia="Arial" w:hAnsi="Arial"/>
                <w:sz w:val="17"/>
                <w:szCs w:val="17"/>
                <w:color w:val="0000FF"/>
              </w:rPr>
              <w:t>Item 1.</w:t>
            </w:r>
          </w:p>
        </w:tc>
        <w:tc>
          <w:tcPr>
            <w:tcW w:w="4140" w:type="dxa"/>
            <w:vAlign w:val="bottom"/>
            <w:tcBorders>
              <w:bottom w:val="single" w:sz="8" w:color="0000FF"/>
            </w:tcBorders>
            <w:gridSpan w:val="10"/>
          </w:tcPr>
          <w:p>
            <w:pPr>
              <w:spacing w:after="0"/>
              <w:rPr>
                <w:sz w:val="20"/>
                <w:szCs w:val="20"/>
                <w:color w:val="auto"/>
              </w:rPr>
            </w:pPr>
            <w:r>
              <w:rPr>
                <w:rFonts w:ascii="Arial" w:cs="Arial" w:eastAsia="Arial" w:hAnsi="Arial"/>
                <w:sz w:val="17"/>
                <w:szCs w:val="17"/>
                <w:color w:val="0000FF"/>
                <w:w w:val="91"/>
              </w:rPr>
              <w:t>Condensed Consolidated Financial Statements (Unaudited)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60" w:type="dxa"/>
            <w:vAlign w:val="bottom"/>
            <w:gridSpan w:val="17"/>
            <w:vMerge w:val="restart"/>
          </w:tcPr>
          <w:p>
            <w:pPr>
              <w:spacing w:after="0"/>
              <w:rPr>
                <w:sz w:val="20"/>
                <w:szCs w:val="20"/>
                <w:color w:val="auto"/>
              </w:rPr>
            </w:pPr>
            <w:r>
              <w:rPr>
                <w:rFonts w:ascii="Arial" w:cs="Arial" w:eastAsia="Arial" w:hAnsi="Arial"/>
                <w:sz w:val="17"/>
                <w:szCs w:val="17"/>
                <w:color w:val="0000FF"/>
              </w:rPr>
              <w:t>Condensed Consolidated Balance Sheets as of June 30, 2022 and December 31, 2021</w:t>
            </w:r>
          </w:p>
        </w:tc>
        <w:tc>
          <w:tcPr>
            <w:tcW w:w="880" w:type="dxa"/>
            <w:vAlign w:val="bottom"/>
            <w:vMerge w:val="restart"/>
          </w:tcPr>
          <w:p>
            <w:pPr>
              <w:jc w:val="center"/>
              <w:spacing w:after="0"/>
              <w:rPr>
                <w:sz w:val="20"/>
                <w:szCs w:val="20"/>
                <w:color w:val="auto"/>
              </w:rPr>
            </w:pPr>
            <w:r>
              <w:rPr>
                <w:rFonts w:ascii="Arial" w:cs="Arial" w:eastAsia="Arial" w:hAnsi="Arial"/>
                <w:sz w:val="17"/>
                <w:szCs w:val="17"/>
                <w:color w:val="auto"/>
                <w:w w:val="84"/>
              </w:rPr>
              <w:t>3</w:t>
            </w:r>
          </w:p>
        </w:tc>
        <w:tc>
          <w:tcPr>
            <w:tcW w:w="0" w:type="dxa"/>
            <w:vAlign w:val="bottom"/>
          </w:tcPr>
          <w:p>
            <w:pPr>
              <w:spacing w:after="0" w:line="20" w:lineRule="exact"/>
              <w:rPr>
                <w:sz w:val="1"/>
                <w:szCs w:val="1"/>
                <w:color w:val="auto"/>
              </w:rPr>
            </w:pPr>
          </w:p>
        </w:tc>
      </w:tr>
      <w:tr>
        <w:trPr>
          <w:trHeight w:val="189"/>
        </w:trPr>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60" w:type="dxa"/>
            <w:vAlign w:val="bottom"/>
            <w:gridSpan w:val="17"/>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60" w:type="dxa"/>
            <w:vAlign w:val="bottom"/>
            <w:gridSpan w:val="17"/>
          </w:tcPr>
          <w:p>
            <w:pPr>
              <w:spacing w:after="0"/>
              <w:rPr>
                <w:sz w:val="20"/>
                <w:szCs w:val="20"/>
                <w:color w:val="auto"/>
              </w:rPr>
            </w:pPr>
            <w:r>
              <w:rPr>
                <w:rFonts w:ascii="Arial" w:cs="Arial" w:eastAsia="Arial" w:hAnsi="Arial"/>
                <w:sz w:val="17"/>
                <w:szCs w:val="17"/>
                <w:color w:val="0000FF"/>
                <w:w w:val="94"/>
              </w:rPr>
              <w:t>Condensed Consolidated Statements of Operations and Comprehensive Loss for the Three and Six Months Ended June 30, 2022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640" w:type="dxa"/>
            <w:vAlign w:val="bottom"/>
            <w:tcBorders>
              <w:top w:val="single" w:sz="8" w:color="0000FF"/>
              <w:bottom w:val="single" w:sz="8" w:color="0000FF"/>
            </w:tcBorders>
            <w:gridSpan w:val="3"/>
          </w:tcPr>
          <w:p>
            <w:pPr>
              <w:spacing w:after="0" w:line="176" w:lineRule="exact"/>
              <w:rPr>
                <w:sz w:val="20"/>
                <w:szCs w:val="20"/>
                <w:color w:val="auto"/>
              </w:rPr>
            </w:pPr>
            <w:r>
              <w:rPr>
                <w:rFonts w:ascii="Arial" w:cs="Arial" w:eastAsia="Arial" w:hAnsi="Arial"/>
                <w:sz w:val="17"/>
                <w:szCs w:val="17"/>
                <w:color w:val="0000FF"/>
                <w:w w:val="87"/>
              </w:rPr>
              <w:t>and 2021</w:t>
            </w:r>
          </w:p>
        </w:tc>
        <w:tc>
          <w:tcPr>
            <w:tcW w:w="60" w:type="dxa"/>
            <w:vAlign w:val="bottom"/>
            <w:tcBorders>
              <w:top w:val="single" w:sz="8" w:color="0000FF"/>
              <w:bottom w:val="single" w:sz="8" w:color="0000FF"/>
            </w:tcBorders>
          </w:tcPr>
          <w:p>
            <w:pPr>
              <w:spacing w:after="0"/>
              <w:rPr>
                <w:sz w:val="16"/>
                <w:szCs w:val="16"/>
                <w:color w:val="auto"/>
              </w:rPr>
            </w:pPr>
          </w:p>
        </w:tc>
        <w:tc>
          <w:tcPr>
            <w:tcW w:w="400" w:type="dxa"/>
            <w:vAlign w:val="bottom"/>
            <w:tcBorders>
              <w:top w:val="single" w:sz="8" w:color="0000FF"/>
              <w:bottom w:val="single" w:sz="8" w:color="0000FF"/>
            </w:tcBorders>
          </w:tcPr>
          <w:p>
            <w:pPr>
              <w:spacing w:after="0"/>
              <w:rPr>
                <w:sz w:val="16"/>
                <w:szCs w:val="16"/>
                <w:color w:val="auto"/>
              </w:rPr>
            </w:pPr>
          </w:p>
        </w:tc>
        <w:tc>
          <w:tcPr>
            <w:tcW w:w="440" w:type="dxa"/>
            <w:vAlign w:val="bottom"/>
            <w:tcBorders>
              <w:top w:val="single" w:sz="8" w:color="0000FF"/>
              <w:bottom w:val="single" w:sz="8" w:color="0000FF"/>
            </w:tcBorders>
          </w:tcPr>
          <w:p>
            <w:pPr>
              <w:spacing w:after="0"/>
              <w:rPr>
                <w:sz w:val="16"/>
                <w:szCs w:val="16"/>
                <w:color w:val="auto"/>
              </w:rPr>
            </w:pPr>
          </w:p>
        </w:tc>
        <w:tc>
          <w:tcPr>
            <w:tcW w:w="540" w:type="dxa"/>
            <w:vAlign w:val="bottom"/>
            <w:tcBorders>
              <w:top w:val="single" w:sz="8" w:color="0000FF"/>
              <w:bottom w:val="single" w:sz="8" w:color="0000FF"/>
            </w:tcBorders>
          </w:tcPr>
          <w:p>
            <w:pPr>
              <w:spacing w:after="0"/>
              <w:rPr>
                <w:sz w:val="16"/>
                <w:szCs w:val="16"/>
                <w:color w:val="auto"/>
              </w:rPr>
            </w:pPr>
          </w:p>
        </w:tc>
        <w:tc>
          <w:tcPr>
            <w:tcW w:w="1680" w:type="dxa"/>
            <w:vAlign w:val="bottom"/>
            <w:tcBorders>
              <w:top w:val="single" w:sz="8" w:color="0000FF"/>
              <w:bottom w:val="single" w:sz="8" w:color="0000FF"/>
            </w:tcBorders>
          </w:tcPr>
          <w:p>
            <w:pPr>
              <w:spacing w:after="0"/>
              <w:rPr>
                <w:sz w:val="16"/>
                <w:szCs w:val="16"/>
                <w:color w:val="auto"/>
              </w:rPr>
            </w:pPr>
          </w:p>
        </w:tc>
        <w:tc>
          <w:tcPr>
            <w:tcW w:w="220" w:type="dxa"/>
            <w:vAlign w:val="bottom"/>
            <w:tcBorders>
              <w:top w:val="single" w:sz="8" w:color="0000FF"/>
              <w:bottom w:val="single" w:sz="8" w:color="0000FF"/>
            </w:tcBorders>
            <w:gridSpan w:val="2"/>
          </w:tcPr>
          <w:p>
            <w:pPr>
              <w:spacing w:after="0"/>
              <w:rPr>
                <w:sz w:val="16"/>
                <w:szCs w:val="16"/>
                <w:color w:val="auto"/>
              </w:rPr>
            </w:pPr>
          </w:p>
        </w:tc>
        <w:tc>
          <w:tcPr>
            <w:tcW w:w="60" w:type="dxa"/>
            <w:vAlign w:val="bottom"/>
            <w:tcBorders>
              <w:top w:val="single" w:sz="8" w:color="0000FF"/>
              <w:bottom w:val="single" w:sz="8" w:color="0000FF"/>
            </w:tcBorders>
          </w:tcPr>
          <w:p>
            <w:pPr>
              <w:spacing w:after="0"/>
              <w:rPr>
                <w:sz w:val="16"/>
                <w:szCs w:val="16"/>
                <w:color w:val="auto"/>
              </w:rPr>
            </w:pPr>
          </w:p>
        </w:tc>
        <w:tc>
          <w:tcPr>
            <w:tcW w:w="2060" w:type="dxa"/>
            <w:vAlign w:val="bottom"/>
            <w:tcBorders>
              <w:top w:val="single" w:sz="8" w:color="0000FF"/>
              <w:bottom w:val="single" w:sz="8" w:color="0000FF"/>
            </w:tcBorders>
            <w:gridSpan w:val="2"/>
          </w:tcPr>
          <w:p>
            <w:pPr>
              <w:spacing w:after="0"/>
              <w:rPr>
                <w:sz w:val="16"/>
                <w:szCs w:val="16"/>
                <w:color w:val="auto"/>
              </w:rPr>
            </w:pPr>
          </w:p>
        </w:tc>
        <w:tc>
          <w:tcPr>
            <w:tcW w:w="880" w:type="dxa"/>
            <w:vAlign w:val="bottom"/>
            <w:tcBorders>
              <w:top w:val="single" w:sz="8" w:color="0000FF"/>
              <w:bottom w:val="single" w:sz="8" w:color="0000FF"/>
            </w:tcBorders>
          </w:tcPr>
          <w:p>
            <w:pPr>
              <w:spacing w:after="0"/>
              <w:rPr>
                <w:sz w:val="16"/>
                <w:szCs w:val="16"/>
                <w:color w:val="auto"/>
              </w:rPr>
            </w:pPr>
          </w:p>
        </w:tc>
        <w:tc>
          <w:tcPr>
            <w:tcW w:w="1820" w:type="dxa"/>
            <w:vAlign w:val="bottom"/>
            <w:tcBorders>
              <w:top w:val="single" w:sz="8" w:color="0000FF"/>
              <w:bottom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w w:val="84"/>
              </w:rPr>
              <w:t>4</w:t>
            </w: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60" w:type="dxa"/>
            <w:vAlign w:val="bottom"/>
            <w:gridSpan w:val="17"/>
          </w:tcPr>
          <w:p>
            <w:pPr>
              <w:spacing w:after="0"/>
              <w:rPr>
                <w:sz w:val="20"/>
                <w:szCs w:val="20"/>
                <w:color w:val="auto"/>
              </w:rPr>
            </w:pPr>
            <w:r>
              <w:rPr>
                <w:rFonts w:ascii="Arial" w:cs="Arial" w:eastAsia="Arial" w:hAnsi="Arial"/>
                <w:sz w:val="17"/>
                <w:szCs w:val="17"/>
                <w:color w:val="0000FF"/>
                <w:w w:val="96"/>
              </w:rPr>
              <w:t>Condensed Consolidated Statements of Commitment to Issue Class A Common Stock and Stockholders’ Equity (Deficit) for the</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3760" w:type="dxa"/>
            <w:vAlign w:val="bottom"/>
            <w:tcBorders>
              <w:top w:val="single" w:sz="8" w:color="0000FF"/>
              <w:bottom w:val="single" w:sz="8" w:color="0000FF"/>
            </w:tcBorders>
            <w:gridSpan w:val="8"/>
          </w:tcPr>
          <w:p>
            <w:pPr>
              <w:spacing w:after="0" w:line="176" w:lineRule="exact"/>
              <w:rPr>
                <w:sz w:val="20"/>
                <w:szCs w:val="20"/>
                <w:color w:val="auto"/>
              </w:rPr>
            </w:pPr>
            <w:r>
              <w:rPr>
                <w:rFonts w:ascii="Arial" w:cs="Arial" w:eastAsia="Arial" w:hAnsi="Arial"/>
                <w:sz w:val="17"/>
                <w:szCs w:val="17"/>
                <w:color w:val="0000FF"/>
                <w:w w:val="91"/>
              </w:rPr>
              <w:t>Three and Six Months Ended June 30, 2022 and 2021</w:t>
            </w:r>
          </w:p>
        </w:tc>
        <w:tc>
          <w:tcPr>
            <w:tcW w:w="220" w:type="dxa"/>
            <w:vAlign w:val="bottom"/>
            <w:tcBorders>
              <w:top w:val="single" w:sz="8" w:color="0000FF"/>
              <w:bottom w:val="single" w:sz="8" w:color="0000FF"/>
            </w:tcBorders>
            <w:gridSpan w:val="2"/>
          </w:tcPr>
          <w:p>
            <w:pPr>
              <w:spacing w:after="0"/>
              <w:rPr>
                <w:sz w:val="16"/>
                <w:szCs w:val="16"/>
                <w:color w:val="auto"/>
              </w:rPr>
            </w:pPr>
          </w:p>
        </w:tc>
        <w:tc>
          <w:tcPr>
            <w:tcW w:w="60" w:type="dxa"/>
            <w:vAlign w:val="bottom"/>
            <w:tcBorders>
              <w:top w:val="single" w:sz="8" w:color="0000FF"/>
              <w:bottom w:val="single" w:sz="8" w:color="0000FF"/>
            </w:tcBorders>
          </w:tcPr>
          <w:p>
            <w:pPr>
              <w:spacing w:after="0"/>
              <w:rPr>
                <w:sz w:val="16"/>
                <w:szCs w:val="16"/>
                <w:color w:val="auto"/>
              </w:rPr>
            </w:pPr>
          </w:p>
        </w:tc>
        <w:tc>
          <w:tcPr>
            <w:tcW w:w="2060" w:type="dxa"/>
            <w:vAlign w:val="bottom"/>
            <w:tcBorders>
              <w:top w:val="single" w:sz="8" w:color="0000FF"/>
              <w:bottom w:val="single" w:sz="8" w:color="0000FF"/>
            </w:tcBorders>
            <w:gridSpan w:val="2"/>
          </w:tcPr>
          <w:p>
            <w:pPr>
              <w:spacing w:after="0"/>
              <w:rPr>
                <w:sz w:val="16"/>
                <w:szCs w:val="16"/>
                <w:color w:val="auto"/>
              </w:rPr>
            </w:pPr>
          </w:p>
        </w:tc>
        <w:tc>
          <w:tcPr>
            <w:tcW w:w="880" w:type="dxa"/>
            <w:vAlign w:val="bottom"/>
            <w:tcBorders>
              <w:top w:val="single" w:sz="8" w:color="0000FF"/>
              <w:bottom w:val="single" w:sz="8" w:color="0000FF"/>
            </w:tcBorders>
          </w:tcPr>
          <w:p>
            <w:pPr>
              <w:spacing w:after="0"/>
              <w:rPr>
                <w:sz w:val="16"/>
                <w:szCs w:val="16"/>
                <w:color w:val="auto"/>
              </w:rPr>
            </w:pPr>
          </w:p>
        </w:tc>
        <w:tc>
          <w:tcPr>
            <w:tcW w:w="1820" w:type="dxa"/>
            <w:vAlign w:val="bottom"/>
            <w:tcBorders>
              <w:top w:val="single" w:sz="8" w:color="0000FF"/>
              <w:bottom w:val="single" w:sz="8" w:color="0000FF"/>
            </w:tcBorders>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242"/>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160" w:type="dxa"/>
            <w:vAlign w:val="bottom"/>
            <w:tcBorders>
              <w:bottom w:val="single" w:sz="8" w:color="0000FF"/>
            </w:tcBorders>
            <w:gridSpan w:val="15"/>
          </w:tcPr>
          <w:p>
            <w:pPr>
              <w:spacing w:after="0"/>
              <w:rPr>
                <w:sz w:val="20"/>
                <w:szCs w:val="20"/>
                <w:color w:val="auto"/>
              </w:rPr>
            </w:pPr>
            <w:r>
              <w:rPr>
                <w:rFonts w:ascii="Arial" w:cs="Arial" w:eastAsia="Arial" w:hAnsi="Arial"/>
                <w:sz w:val="17"/>
                <w:szCs w:val="17"/>
                <w:color w:val="0000FF"/>
                <w:w w:val="91"/>
              </w:rPr>
              <w:t>Condensed Consolidated Statements of Cash Flows for the Six Months Ended June 30, 2022 and 2021</w:t>
            </w:r>
          </w:p>
        </w:tc>
        <w:tc>
          <w:tcPr>
            <w:tcW w:w="2100" w:type="dxa"/>
            <w:vAlign w:val="bottom"/>
            <w:gridSpan w:val="2"/>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6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w w:val="91"/>
              </w:rPr>
              <w:t>Notes to the Condensed Consolidated Financial Statements</w:t>
            </w:r>
          </w:p>
        </w:tc>
        <w:tc>
          <w:tcPr>
            <w:tcW w:w="5100" w:type="dxa"/>
            <w:vAlign w:val="bottom"/>
            <w:gridSpan w:val="6"/>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0" w:type="dxa"/>
            <w:vAlign w:val="bottom"/>
          </w:tcPr>
          <w:p>
            <w:pPr>
              <w:spacing w:after="0"/>
              <w:rPr>
                <w:sz w:val="1"/>
                <w:szCs w:val="1"/>
                <w:color w:val="auto"/>
              </w:rPr>
            </w:pPr>
          </w:p>
        </w:tc>
      </w:tr>
      <w:tr>
        <w:trPr>
          <w:trHeight w:val="203"/>
        </w:trPr>
        <w:tc>
          <w:tcPr>
            <w:tcW w:w="10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7"/>
                <w:szCs w:val="17"/>
                <w:color w:val="0000FF"/>
              </w:rPr>
              <w:t>Item 2.</w:t>
            </w:r>
          </w:p>
        </w:tc>
        <w:tc>
          <w:tcPr>
            <w:tcW w:w="9260" w:type="dxa"/>
            <w:vAlign w:val="bottom"/>
            <w:gridSpan w:val="17"/>
          </w:tcPr>
          <w:p>
            <w:pPr>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30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2060" w:type="dxa"/>
            <w:vAlign w:val="bottom"/>
            <w:tcBorders>
              <w:left w:val="single" w:sz="8" w:color="0000FF"/>
            </w:tcBorders>
            <w:gridSpan w:val="2"/>
            <w:shd w:val="clear" w:color="auto" w:fill="0000FF"/>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7"/>
                <w:szCs w:val="17"/>
                <w:color w:val="0000FF"/>
              </w:rPr>
              <w:t>Item 3.</w:t>
            </w:r>
          </w:p>
        </w:tc>
        <w:tc>
          <w:tcPr>
            <w:tcW w:w="9260" w:type="dxa"/>
            <w:vAlign w:val="bottom"/>
            <w:gridSpan w:val="17"/>
          </w:tcPr>
          <w:p>
            <w:pPr>
              <w:spacing w:after="0"/>
              <w:rPr>
                <w:sz w:val="20"/>
                <w:szCs w:val="20"/>
                <w:color w:val="auto"/>
              </w:rPr>
            </w:pPr>
            <w:r>
              <w:rPr>
                <w:rFonts w:ascii="Arial" w:cs="Arial" w:eastAsia="Arial" w:hAnsi="Arial"/>
                <w:sz w:val="17"/>
                <w:szCs w:val="17"/>
                <w:color w:val="0000FF"/>
              </w:rPr>
              <w:t>Quantitative and Qualitative Disclosures About Market Risk</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47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5040" w:type="dxa"/>
            <w:vAlign w:val="bottom"/>
            <w:tcBorders>
              <w:left w:val="single" w:sz="8" w:color="0000FF"/>
            </w:tcBorders>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7"/>
                <w:szCs w:val="17"/>
                <w:color w:val="0000FF"/>
              </w:rPr>
              <w:t>Item 4.</w:t>
            </w:r>
          </w:p>
        </w:tc>
        <w:tc>
          <w:tcPr>
            <w:tcW w:w="9260" w:type="dxa"/>
            <w:vAlign w:val="bottom"/>
            <w:gridSpan w:val="17"/>
          </w:tcPr>
          <w:p>
            <w:pPr>
              <w:spacing w:after="0"/>
              <w:rPr>
                <w:sz w:val="20"/>
                <w:szCs w:val="20"/>
                <w:color w:val="auto"/>
              </w:rPr>
            </w:pPr>
            <w:r>
              <w:rPr>
                <w:rFonts w:ascii="Arial" w:cs="Arial" w:eastAsia="Arial" w:hAnsi="Arial"/>
                <w:sz w:val="17"/>
                <w:szCs w:val="17"/>
                <w:color w:val="0000FF"/>
              </w:rPr>
              <w:t>Controls and Procedures</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47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0340" w:type="dxa"/>
            <w:vAlign w:val="bottom"/>
            <w:gridSpan w:val="22"/>
          </w:tcPr>
          <w:p>
            <w:pPr>
              <w:spacing w:after="0"/>
              <w:rPr>
                <w:sz w:val="20"/>
                <w:szCs w:val="20"/>
                <w:color w:val="auto"/>
              </w:rPr>
            </w:pPr>
            <w:r>
              <w:rPr>
                <w:rFonts w:ascii="Arial" w:cs="Arial" w:eastAsia="Arial" w:hAnsi="Arial"/>
                <w:sz w:val="17"/>
                <w:szCs w:val="17"/>
                <w:color w:val="0000FF"/>
              </w:rPr>
              <w:t>Part II Other Information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7"/>
                <w:szCs w:val="17"/>
                <w:color w:val="0000FF"/>
              </w:rPr>
              <w:t>Item 1.</w:t>
            </w:r>
          </w:p>
        </w:tc>
        <w:tc>
          <w:tcPr>
            <w:tcW w:w="360" w:type="dxa"/>
            <w:vAlign w:val="bottom"/>
            <w:gridSpan w:val="2"/>
          </w:tcPr>
          <w:p>
            <w:pPr>
              <w:spacing w:after="0"/>
              <w:rPr>
                <w:sz w:val="17"/>
                <w:szCs w:val="17"/>
                <w:color w:val="auto"/>
              </w:rPr>
            </w:pPr>
          </w:p>
        </w:tc>
        <w:tc>
          <w:tcPr>
            <w:tcW w:w="9260" w:type="dxa"/>
            <w:vAlign w:val="bottom"/>
            <w:gridSpan w:val="17"/>
          </w:tcPr>
          <w:p>
            <w:pPr>
              <w:spacing w:after="0"/>
              <w:rPr>
                <w:sz w:val="20"/>
                <w:szCs w:val="20"/>
                <w:color w:val="auto"/>
              </w:rPr>
            </w:pPr>
            <w:r>
              <w:rPr>
                <w:rFonts w:ascii="Arial" w:cs="Arial" w:eastAsia="Arial" w:hAnsi="Arial"/>
                <w:sz w:val="17"/>
                <w:szCs w:val="17"/>
                <w:color w:val="0000FF"/>
              </w:rPr>
              <w:t>Legal Proceedings</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7"/>
                <w:szCs w:val="17"/>
                <w:color w:val="0000FF"/>
              </w:rPr>
              <w:t>Item 1A.</w:t>
            </w:r>
          </w:p>
        </w:tc>
        <w:tc>
          <w:tcPr>
            <w:tcW w:w="9260" w:type="dxa"/>
            <w:vAlign w:val="bottom"/>
            <w:gridSpan w:val="17"/>
          </w:tcPr>
          <w:p>
            <w:pPr>
              <w:spacing w:after="0"/>
              <w:rPr>
                <w:sz w:val="20"/>
                <w:szCs w:val="20"/>
                <w:color w:val="auto"/>
              </w:rPr>
            </w:pPr>
            <w:r>
              <w:rPr>
                <w:rFonts w:ascii="Arial" w:cs="Arial" w:eastAsia="Arial" w:hAnsi="Arial"/>
                <w:sz w:val="17"/>
                <w:szCs w:val="17"/>
                <w:color w:val="0000FF"/>
              </w:rPr>
              <w:t>Risk Factors</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620" w:type="dxa"/>
            <w:vAlign w:val="bottom"/>
            <w:gridSpan w:val="2"/>
          </w:tcPr>
          <w:p>
            <w:pPr>
              <w:spacing w:after="0"/>
              <w:rPr>
                <w:sz w:val="20"/>
                <w:szCs w:val="20"/>
                <w:color w:val="auto"/>
              </w:rPr>
            </w:pPr>
            <w:r>
              <w:rPr>
                <w:rFonts w:ascii="Arial" w:cs="Arial" w:eastAsia="Arial" w:hAnsi="Arial"/>
                <w:sz w:val="17"/>
                <w:szCs w:val="17"/>
                <w:color w:val="0000FF"/>
              </w:rPr>
              <w:t>Item 2.</w:t>
            </w:r>
          </w:p>
        </w:tc>
        <w:tc>
          <w:tcPr>
            <w:tcW w:w="360" w:type="dxa"/>
            <w:vAlign w:val="bottom"/>
            <w:gridSpan w:val="2"/>
          </w:tcPr>
          <w:p>
            <w:pPr>
              <w:spacing w:after="0"/>
              <w:rPr>
                <w:sz w:val="17"/>
                <w:szCs w:val="17"/>
                <w:color w:val="auto"/>
              </w:rPr>
            </w:pPr>
          </w:p>
        </w:tc>
        <w:tc>
          <w:tcPr>
            <w:tcW w:w="9260" w:type="dxa"/>
            <w:vAlign w:val="bottom"/>
            <w:gridSpan w:val="17"/>
          </w:tcPr>
          <w:p>
            <w:pPr>
              <w:spacing w:after="0"/>
              <w:rPr>
                <w:sz w:val="20"/>
                <w:szCs w:val="20"/>
                <w:color w:val="auto"/>
              </w:rPr>
            </w:pPr>
            <w:r>
              <w:rPr>
                <w:rFonts w:ascii="Arial" w:cs="Arial" w:eastAsia="Arial" w:hAnsi="Arial"/>
                <w:sz w:val="17"/>
                <w:szCs w:val="17"/>
                <w:color w:val="0000FF"/>
              </w:rPr>
              <w:t>Unregistered Sales of Equity Securities and Use of Proceeds</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63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7"/>
                <w:szCs w:val="17"/>
                <w:color w:val="0000FF"/>
              </w:rPr>
              <w:t>Item 3.</w:t>
            </w:r>
          </w:p>
        </w:tc>
        <w:tc>
          <w:tcPr>
            <w:tcW w:w="9260" w:type="dxa"/>
            <w:vAlign w:val="bottom"/>
            <w:gridSpan w:val="17"/>
          </w:tcPr>
          <w:p>
            <w:pPr>
              <w:spacing w:after="0"/>
              <w:rPr>
                <w:sz w:val="20"/>
                <w:szCs w:val="20"/>
                <w:color w:val="auto"/>
              </w:rPr>
            </w:pPr>
            <w:r>
              <w:rPr>
                <w:rFonts w:ascii="Arial" w:cs="Arial" w:eastAsia="Arial" w:hAnsi="Arial"/>
                <w:sz w:val="17"/>
                <w:szCs w:val="17"/>
                <w:color w:val="0000FF"/>
              </w:rPr>
              <w:t>Defaults Upon Senior Securities</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64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7"/>
                <w:szCs w:val="17"/>
                <w:color w:val="0000FF"/>
              </w:rPr>
              <w:t>Item 4.</w:t>
            </w:r>
          </w:p>
        </w:tc>
        <w:tc>
          <w:tcPr>
            <w:tcW w:w="9260" w:type="dxa"/>
            <w:vAlign w:val="bottom"/>
            <w:gridSpan w:val="17"/>
          </w:tcPr>
          <w:p>
            <w:pPr>
              <w:spacing w:after="0"/>
              <w:rPr>
                <w:sz w:val="20"/>
                <w:szCs w:val="20"/>
                <w:color w:val="auto"/>
              </w:rPr>
            </w:pPr>
            <w:r>
              <w:rPr>
                <w:rFonts w:ascii="Arial" w:cs="Arial" w:eastAsia="Arial" w:hAnsi="Arial"/>
                <w:sz w:val="17"/>
                <w:szCs w:val="17"/>
                <w:color w:val="0000FF"/>
              </w:rPr>
              <w:t>Mine Safety Disclosures</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64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7"/>
                <w:szCs w:val="17"/>
                <w:color w:val="0000FF"/>
              </w:rPr>
              <w:t>Item 5.</w:t>
            </w:r>
          </w:p>
        </w:tc>
        <w:tc>
          <w:tcPr>
            <w:tcW w:w="9260" w:type="dxa"/>
            <w:vAlign w:val="bottom"/>
            <w:gridSpan w:val="17"/>
          </w:tcPr>
          <w:p>
            <w:pPr>
              <w:spacing w:after="0"/>
              <w:rPr>
                <w:sz w:val="20"/>
                <w:szCs w:val="20"/>
                <w:color w:val="auto"/>
              </w:rPr>
            </w:pPr>
            <w:r>
              <w:rPr>
                <w:rFonts w:ascii="Arial" w:cs="Arial" w:eastAsia="Arial" w:hAnsi="Arial"/>
                <w:sz w:val="17"/>
                <w:szCs w:val="17"/>
                <w:color w:val="0000FF"/>
              </w:rPr>
              <w:t>Other Information</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64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7980" w:type="dxa"/>
            <w:vAlign w:val="bottom"/>
            <w:gridSpan w:val="1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7"/>
                <w:szCs w:val="17"/>
                <w:color w:val="0000FF"/>
              </w:rPr>
              <w:t>Item 6.</w:t>
            </w:r>
          </w:p>
        </w:tc>
        <w:tc>
          <w:tcPr>
            <w:tcW w:w="9260" w:type="dxa"/>
            <w:vAlign w:val="bottom"/>
            <w:gridSpan w:val="17"/>
          </w:tcPr>
          <w:p>
            <w:pPr>
              <w:spacing w:after="0"/>
              <w:rPr>
                <w:sz w:val="20"/>
                <w:szCs w:val="20"/>
                <w:color w:val="auto"/>
              </w:rPr>
            </w:pPr>
            <w:r>
              <w:rPr>
                <w:rFonts w:ascii="Arial" w:cs="Arial" w:eastAsia="Arial" w:hAnsi="Arial"/>
                <w:sz w:val="17"/>
                <w:szCs w:val="17"/>
                <w:color w:val="0000FF"/>
              </w:rPr>
              <w:t>Exhibits</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65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7"/>
                <w:szCs w:val="17"/>
                <w:color w:val="0000FF"/>
                <w:w w:val="88"/>
              </w:rPr>
              <w:t>Signatures</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70485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27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788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6"/>
        </w:trPr>
        <w:tc>
          <w:tcPr>
            <w:tcW w:w="40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17"/>
                <w:szCs w:val="17"/>
                <w:b w:val="1"/>
                <w:bCs w:val="1"/>
                <w:color w:val="auto"/>
              </w:rPr>
              <w:t>Part I - Financial Information</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40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17"/>
                <w:szCs w:val="17"/>
                <w:b w:val="1"/>
                <w:bCs w:val="1"/>
                <w:color w:val="auto"/>
              </w:rPr>
              <w:t>ITEM 1. CONDENSED CONSOLIDATED FINANCIAL STATEMENTS (UNAUDITED)</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40" w:type="dxa"/>
            <w:vAlign w:val="bottom"/>
          </w:tcPr>
          <w:p>
            <w:pPr>
              <w:jc w:val="center"/>
              <w:ind w:left="1153"/>
              <w:spacing w:after="0"/>
              <w:rPr>
                <w:sz w:val="20"/>
                <w:szCs w:val="20"/>
                <w:color w:val="auto"/>
              </w:rPr>
            </w:pPr>
            <w:r>
              <w:rPr>
                <w:rFonts w:ascii="Arial" w:cs="Arial" w:eastAsia="Arial" w:hAnsi="Arial"/>
                <w:sz w:val="17"/>
                <w:szCs w:val="17"/>
                <w:b w:val="1"/>
                <w:bCs w:val="1"/>
                <w:color w:val="auto"/>
                <w:w w:val="96"/>
              </w:rPr>
              <w:t>Faraday Future Intelligent Electric Inc.</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40" w:type="dxa"/>
            <w:vAlign w:val="bottom"/>
          </w:tcPr>
          <w:p>
            <w:pPr>
              <w:jc w:val="center"/>
              <w:ind w:left="1153"/>
              <w:spacing w:after="0"/>
              <w:rPr>
                <w:sz w:val="20"/>
                <w:szCs w:val="20"/>
                <w:color w:val="auto"/>
              </w:rPr>
            </w:pPr>
            <w:r>
              <w:rPr>
                <w:rFonts w:ascii="Arial" w:cs="Arial" w:eastAsia="Arial" w:hAnsi="Arial"/>
                <w:sz w:val="17"/>
                <w:szCs w:val="17"/>
                <w:b w:val="1"/>
                <w:bCs w:val="1"/>
                <w:color w:val="auto"/>
                <w:w w:val="89"/>
              </w:rPr>
              <w:t>Condensed Consolidated Balance Sheets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40" w:type="dxa"/>
            <w:vAlign w:val="bottom"/>
          </w:tcPr>
          <w:p>
            <w:pPr>
              <w:jc w:val="center"/>
              <w:ind w:left="1173"/>
              <w:spacing w:after="0"/>
              <w:rPr>
                <w:sz w:val="20"/>
                <w:szCs w:val="20"/>
                <w:color w:val="auto"/>
              </w:rPr>
            </w:pPr>
            <w:r>
              <w:rPr>
                <w:rFonts w:ascii="Arial" w:cs="Arial" w:eastAsia="Arial" w:hAnsi="Arial"/>
                <w:sz w:val="17"/>
                <w:szCs w:val="17"/>
                <w:b w:val="1"/>
                <w:bCs w:val="1"/>
                <w:color w:val="auto"/>
                <w:w w:val="90"/>
              </w:rPr>
              <w:t>(</w:t>
            </w:r>
            <w:r>
              <w:rPr>
                <w:rFonts w:ascii="Arial" w:cs="Arial" w:eastAsia="Arial" w:hAnsi="Arial"/>
                <w:sz w:val="17"/>
                <w:szCs w:val="17"/>
                <w:b w:val="1"/>
                <w:bCs w:val="1"/>
                <w:i w:val="1"/>
                <w:iCs w:val="1"/>
                <w:color w:val="auto"/>
                <w:w w:val="90"/>
              </w:rPr>
              <w:t>in thousands</w:t>
            </w:r>
            <w:r>
              <w:rPr>
                <w:rFonts w:ascii="Arial" w:cs="Arial" w:eastAsia="Arial" w:hAnsi="Arial"/>
                <w:sz w:val="17"/>
                <w:szCs w:val="17"/>
                <w:b w:val="1"/>
                <w:bCs w:val="1"/>
                <w:color w:val="auto"/>
                <w:w w:val="90"/>
              </w:rPr>
              <w:t>, except share and per share data)</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40" w:type="dxa"/>
            <w:vAlign w:val="bottom"/>
          </w:tcPr>
          <w:p>
            <w:pPr>
              <w:jc w:val="center"/>
              <w:ind w:left="1173"/>
              <w:spacing w:after="0"/>
              <w:rPr>
                <w:sz w:val="20"/>
                <w:szCs w:val="20"/>
                <w:color w:val="auto"/>
              </w:rPr>
            </w:pPr>
            <w:r>
              <w:rPr>
                <w:rFonts w:ascii="Arial" w:cs="Arial" w:eastAsia="Arial" w:hAnsi="Arial"/>
                <w:sz w:val="17"/>
                <w:szCs w:val="17"/>
                <w:b w:val="1"/>
                <w:bCs w:val="1"/>
                <w:color w:val="auto"/>
                <w:w w:val="95"/>
              </w:rPr>
              <w:t>(Unaudited)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13"/>
              <w:spacing w:after="0"/>
              <w:rPr>
                <w:sz w:val="20"/>
                <w:szCs w:val="20"/>
                <w:color w:val="auto"/>
              </w:rPr>
            </w:pPr>
            <w:r>
              <w:rPr>
                <w:rFonts w:ascii="Arial" w:cs="Arial" w:eastAsia="Arial" w:hAnsi="Arial"/>
                <w:sz w:val="17"/>
                <w:szCs w:val="17"/>
                <w:b w:val="1"/>
                <w:bCs w:val="1"/>
                <w:color w:val="auto"/>
                <w:w w:val="94"/>
              </w:rPr>
              <w:t>December 31,</w:t>
            </w:r>
          </w:p>
        </w:tc>
        <w:tc>
          <w:tcPr>
            <w:tcW w:w="0" w:type="dxa"/>
            <w:vAlign w:val="bottom"/>
          </w:tcPr>
          <w:p>
            <w:pPr>
              <w:spacing w:after="0"/>
              <w:rPr>
                <w:sz w:val="1"/>
                <w:szCs w:val="1"/>
                <w:color w:val="auto"/>
              </w:rPr>
            </w:pPr>
          </w:p>
        </w:tc>
      </w:tr>
      <w:tr>
        <w:trPr>
          <w:trHeight w:val="236"/>
        </w:trPr>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7"/>
                <w:szCs w:val="17"/>
                <w:b w:val="1"/>
                <w:bCs w:val="1"/>
                <w:color w:val="auto"/>
              </w:rPr>
              <w:t>June 30, 2022</w:t>
            </w:r>
          </w:p>
        </w:tc>
        <w:tc>
          <w:tcPr>
            <w:tcW w:w="160" w:type="dxa"/>
            <w:vAlign w:val="bottom"/>
          </w:tcPr>
          <w:p>
            <w:pPr>
              <w:spacing w:after="0"/>
              <w:rPr>
                <w:sz w:val="20"/>
                <w:szCs w:val="20"/>
                <w:color w:val="auto"/>
              </w:rPr>
            </w:pPr>
          </w:p>
        </w:tc>
        <w:tc>
          <w:tcPr>
            <w:tcW w:w="1260" w:type="dxa"/>
            <w:vAlign w:val="bottom"/>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33"/>
        </w:trPr>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8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80" w:type="dxa"/>
            <w:vAlign w:val="bottom"/>
            <w:gridSpan w:val="3"/>
          </w:tcPr>
          <w:p>
            <w:pPr>
              <w:ind w:left="20"/>
              <w:spacing w:after="0"/>
              <w:rPr>
                <w:sz w:val="20"/>
                <w:szCs w:val="20"/>
                <w:color w:val="auto"/>
              </w:rPr>
            </w:pPr>
            <w:r>
              <w:rPr>
                <w:rFonts w:ascii="Arial" w:cs="Arial" w:eastAsia="Arial" w:hAnsi="Arial"/>
                <w:sz w:val="17"/>
                <w:szCs w:val="17"/>
                <w:color w:val="auto"/>
              </w:rPr>
              <w:t>Current assets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505,091</w:t>
            </w:r>
          </w:p>
        </w:tc>
        <w:tc>
          <w:tcPr>
            <w:tcW w:w="0" w:type="dxa"/>
            <w:vAlign w:val="bottom"/>
          </w:tcPr>
          <w:p>
            <w:pPr>
              <w:spacing w:after="0"/>
              <w:rPr>
                <w:sz w:val="1"/>
                <w:szCs w:val="1"/>
                <w:color w:val="auto"/>
              </w:rPr>
            </w:pPr>
          </w:p>
        </w:tc>
      </w:tr>
      <w:tr>
        <w:trPr>
          <w:trHeight w:val="222"/>
        </w:trPr>
        <w:tc>
          <w:tcPr>
            <w:tcW w:w="8280" w:type="dxa"/>
            <w:vAlign w:val="bottom"/>
            <w:gridSpan w:val="3"/>
          </w:tcPr>
          <w:p>
            <w:pPr>
              <w:ind w:left="240"/>
              <w:spacing w:after="0"/>
              <w:rPr>
                <w:sz w:val="20"/>
                <w:szCs w:val="20"/>
                <w:color w:val="auto"/>
              </w:rPr>
            </w:pPr>
            <w:r>
              <w:rPr>
                <w:rFonts w:ascii="Arial" w:cs="Arial" w:eastAsia="Arial" w:hAnsi="Arial"/>
                <w:sz w:val="17"/>
                <w:szCs w:val="17"/>
                <w:color w:val="auto"/>
              </w:rPr>
              <w:t>Restricted cash</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25,386</w:t>
            </w: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Deposits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63,370</w:t>
            </w:r>
          </w:p>
        </w:tc>
        <w:tc>
          <w:tcPr>
            <w:tcW w:w="0" w:type="dxa"/>
            <w:vAlign w:val="bottom"/>
          </w:tcPr>
          <w:p>
            <w:pPr>
              <w:spacing w:after="0"/>
              <w:rPr>
                <w:sz w:val="1"/>
                <w:szCs w:val="1"/>
                <w:color w:val="auto"/>
              </w:rPr>
            </w:pPr>
          </w:p>
        </w:tc>
      </w:tr>
      <w:tr>
        <w:trPr>
          <w:trHeight w:val="222"/>
        </w:trPr>
        <w:tc>
          <w:tcPr>
            <w:tcW w:w="8280" w:type="dxa"/>
            <w:vAlign w:val="bottom"/>
            <w:tcBorders>
              <w:bottom w:val="single" w:sz="8" w:color="CCEEFF"/>
            </w:tcBorders>
            <w:gridSpan w:val="3"/>
          </w:tcPr>
          <w:p>
            <w:pPr>
              <w:ind w:left="240"/>
              <w:spacing w:after="0"/>
              <w:rPr>
                <w:sz w:val="20"/>
                <w:szCs w:val="20"/>
                <w:color w:val="auto"/>
              </w:rPr>
            </w:pPr>
            <w:r>
              <w:rPr>
                <w:rFonts w:ascii="Arial" w:cs="Arial" w:eastAsia="Arial" w:hAnsi="Arial"/>
                <w:sz w:val="17"/>
                <w:szCs w:val="17"/>
                <w:color w:val="auto"/>
              </w:rPr>
              <w:t>Other current assets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13,410</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78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Total current assets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175,111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607,257</w:t>
            </w:r>
          </w:p>
        </w:tc>
        <w:tc>
          <w:tcPr>
            <w:tcW w:w="0" w:type="dxa"/>
            <w:vAlign w:val="bottom"/>
          </w:tcPr>
          <w:p>
            <w:pPr>
              <w:spacing w:after="0"/>
              <w:rPr>
                <w:sz w:val="1"/>
                <w:szCs w:val="1"/>
                <w:color w:val="auto"/>
              </w:rPr>
            </w:pPr>
          </w:p>
        </w:tc>
      </w:tr>
      <w:tr>
        <w:trPr>
          <w:trHeight w:val="222"/>
        </w:trPr>
        <w:tc>
          <w:tcPr>
            <w:tcW w:w="8280" w:type="dxa"/>
            <w:vAlign w:val="bottom"/>
            <w:gridSpan w:val="3"/>
          </w:tcPr>
          <w:p>
            <w:pPr>
              <w:ind w:left="20"/>
              <w:spacing w:after="0"/>
              <w:rPr>
                <w:sz w:val="20"/>
                <w:szCs w:val="20"/>
                <w:color w:val="auto"/>
              </w:rPr>
            </w:pPr>
            <w:r>
              <w:rPr>
                <w:rFonts w:ascii="Arial" w:cs="Arial" w:eastAsia="Arial" w:hAnsi="Arial"/>
                <w:sz w:val="17"/>
                <w:szCs w:val="17"/>
                <w:color w:val="auto"/>
              </w:rPr>
              <w:t>Property and equipment, net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387,075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293,135</w:t>
            </w: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Right of use assets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2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Other non-current assets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7,040</w:t>
            </w:r>
          </w:p>
        </w:tc>
        <w:tc>
          <w:tcPr>
            <w:tcW w:w="0" w:type="dxa"/>
            <w:vAlign w:val="bottom"/>
          </w:tcPr>
          <w:p>
            <w:pPr>
              <w:spacing w:after="0"/>
              <w:rPr>
                <w:sz w:val="1"/>
                <w:szCs w:val="1"/>
                <w:color w:val="auto"/>
              </w:rPr>
            </w:pPr>
          </w:p>
        </w:tc>
      </w:tr>
      <w:tr>
        <w:trPr>
          <w:trHeight w:val="241"/>
        </w:trPr>
        <w:tc>
          <w:tcPr>
            <w:tcW w:w="82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588,242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907,432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7"/>
                <w:szCs w:val="17"/>
                <w:b w:val="1"/>
                <w:bCs w:val="1"/>
                <w:color w:val="auto"/>
              </w:rPr>
              <w:t>Liabilities, commitment to issue Class A Common Stock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2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280" w:type="dxa"/>
            <w:vAlign w:val="bottom"/>
            <w:gridSpan w:val="3"/>
          </w:tcPr>
          <w:p>
            <w:pPr>
              <w:ind w:left="240"/>
              <w:spacing w:after="0"/>
              <w:rPr>
                <w:sz w:val="20"/>
                <w:szCs w:val="20"/>
                <w:color w:val="auto"/>
              </w:rPr>
            </w:pPr>
            <w:r>
              <w:rPr>
                <w:rFonts w:ascii="Arial" w:cs="Arial" w:eastAsia="Arial" w:hAnsi="Arial"/>
                <w:sz w:val="17"/>
                <w:szCs w:val="17"/>
                <w:color w:val="auto"/>
              </w:rPr>
              <w:t>Accounts payable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61,787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37,773</w:t>
            </w: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92,392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90,512</w:t>
            </w:r>
          </w:p>
        </w:tc>
        <w:tc>
          <w:tcPr>
            <w:tcW w:w="0" w:type="dxa"/>
            <w:vAlign w:val="bottom"/>
          </w:tcPr>
          <w:p>
            <w:pPr>
              <w:spacing w:after="0"/>
              <w:rPr>
                <w:sz w:val="1"/>
                <w:szCs w:val="1"/>
                <w:color w:val="auto"/>
              </w:rPr>
            </w:pPr>
          </w:p>
        </w:tc>
      </w:tr>
      <w:tr>
        <w:trPr>
          <w:trHeight w:val="222"/>
        </w:trPr>
        <w:tc>
          <w:tcPr>
            <w:tcW w:w="8280" w:type="dxa"/>
            <w:vAlign w:val="bottom"/>
            <w:gridSpan w:val="3"/>
          </w:tcPr>
          <w:p>
            <w:pPr>
              <w:ind w:left="240"/>
              <w:spacing w:after="0"/>
              <w:rPr>
                <w:sz w:val="20"/>
                <w:szCs w:val="20"/>
                <w:color w:val="auto"/>
              </w:rPr>
            </w:pPr>
            <w:r>
              <w:rPr>
                <w:rFonts w:ascii="Arial" w:cs="Arial" w:eastAsia="Arial" w:hAnsi="Arial"/>
                <w:sz w:val="17"/>
                <w:szCs w:val="17"/>
                <w:color w:val="auto"/>
              </w:rPr>
              <w:t>Related party accrued interest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11,231</w:t>
            </w: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Accrued interest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8,263</w:t>
            </w:r>
          </w:p>
        </w:tc>
        <w:tc>
          <w:tcPr>
            <w:tcW w:w="0" w:type="dxa"/>
            <w:vAlign w:val="bottom"/>
          </w:tcPr>
          <w:p>
            <w:pPr>
              <w:spacing w:after="0"/>
              <w:rPr>
                <w:sz w:val="1"/>
                <w:szCs w:val="1"/>
                <w:color w:val="auto"/>
              </w:rPr>
            </w:pPr>
          </w:p>
        </w:tc>
      </w:tr>
      <w:tr>
        <w:trPr>
          <w:trHeight w:val="222"/>
        </w:trPr>
        <w:tc>
          <w:tcPr>
            <w:tcW w:w="8280" w:type="dxa"/>
            <w:vAlign w:val="bottom"/>
            <w:gridSpan w:val="3"/>
          </w:tcPr>
          <w:p>
            <w:pPr>
              <w:ind w:left="240"/>
              <w:spacing w:after="0"/>
              <w:rPr>
                <w:sz w:val="20"/>
                <w:szCs w:val="20"/>
                <w:color w:val="auto"/>
              </w:rPr>
            </w:pPr>
            <w:r>
              <w:rPr>
                <w:rFonts w:ascii="Arial" w:cs="Arial" w:eastAsia="Arial" w:hAnsi="Arial"/>
                <w:sz w:val="17"/>
                <w:szCs w:val="17"/>
                <w:color w:val="auto"/>
              </w:rPr>
              <w:t>Operating lease liabilities, current portion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Finance lease liabilities, current portion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280" w:type="dxa"/>
            <w:vAlign w:val="bottom"/>
            <w:gridSpan w:val="3"/>
          </w:tcPr>
          <w:p>
            <w:pPr>
              <w:ind w:left="240"/>
              <w:spacing w:after="0"/>
              <w:rPr>
                <w:sz w:val="20"/>
                <w:szCs w:val="20"/>
                <w:color w:val="auto"/>
              </w:rPr>
            </w:pPr>
            <w:r>
              <w:rPr>
                <w:rFonts w:ascii="Arial" w:cs="Arial" w:eastAsia="Arial" w:hAnsi="Arial"/>
                <w:sz w:val="17"/>
                <w:szCs w:val="17"/>
                <w:color w:val="auto"/>
              </w:rPr>
              <w:t>Related party notes payable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13,655</w:t>
            </w: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Notes payable,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73,496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132,372</w:t>
            </w:r>
          </w:p>
        </w:tc>
        <w:tc>
          <w:tcPr>
            <w:tcW w:w="0" w:type="dxa"/>
            <w:vAlign w:val="bottom"/>
          </w:tcPr>
          <w:p>
            <w:pPr>
              <w:spacing w:after="0"/>
              <w:rPr>
                <w:sz w:val="1"/>
                <w:szCs w:val="1"/>
                <w:color w:val="auto"/>
              </w:rPr>
            </w:pPr>
          </w:p>
        </w:tc>
      </w:tr>
      <w:tr>
        <w:trPr>
          <w:trHeight w:val="216"/>
        </w:trPr>
        <w:tc>
          <w:tcPr>
            <w:tcW w:w="8280" w:type="dxa"/>
            <w:vAlign w:val="bottom"/>
            <w:gridSpan w:val="3"/>
          </w:tcPr>
          <w:p>
            <w:pPr>
              <w:ind w:left="340"/>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257,719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293,806</w:t>
            </w: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lease liabilities, less current portion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280" w:type="dxa"/>
            <w:vAlign w:val="bottom"/>
            <w:gridSpan w:val="3"/>
          </w:tcPr>
          <w:p>
            <w:pPr>
              <w:ind w:left="20"/>
              <w:spacing w:after="0"/>
              <w:rPr>
                <w:sz w:val="20"/>
                <w:szCs w:val="20"/>
                <w:color w:val="auto"/>
              </w:rPr>
            </w:pPr>
            <w:r>
              <w:rPr>
                <w:rFonts w:ascii="Arial" w:cs="Arial" w:eastAsia="Arial" w:hAnsi="Arial"/>
                <w:sz w:val="17"/>
                <w:szCs w:val="17"/>
                <w:color w:val="auto"/>
              </w:rPr>
              <w:t>Finance lease liabilities, less current portion</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7,295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7,570</w:t>
            </w: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liabilities, less current portion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w:t>
            </w:r>
          </w:p>
        </w:tc>
        <w:tc>
          <w:tcPr>
            <w:tcW w:w="0" w:type="dxa"/>
            <w:vAlign w:val="bottom"/>
          </w:tcPr>
          <w:p>
            <w:pPr>
              <w:spacing w:after="0"/>
              <w:rPr>
                <w:sz w:val="1"/>
                <w:szCs w:val="1"/>
                <w:color w:val="auto"/>
              </w:rPr>
            </w:pPr>
          </w:p>
        </w:tc>
      </w:tr>
      <w:tr>
        <w:trPr>
          <w:trHeight w:val="222"/>
        </w:trPr>
        <w:tc>
          <w:tcPr>
            <w:tcW w:w="8280" w:type="dxa"/>
            <w:vAlign w:val="bottom"/>
            <w:gridSpan w:val="3"/>
          </w:tcPr>
          <w:p>
            <w:pPr>
              <w:ind w:left="20"/>
              <w:spacing w:after="0"/>
              <w:rPr>
                <w:sz w:val="20"/>
                <w:szCs w:val="20"/>
                <w:color w:val="auto"/>
              </w:rPr>
            </w:pPr>
            <w:r>
              <w:rPr>
                <w:rFonts w:ascii="Arial" w:cs="Arial" w:eastAsia="Arial" w:hAnsi="Arial"/>
                <w:sz w:val="17"/>
                <w:szCs w:val="17"/>
                <w:color w:val="auto"/>
              </w:rPr>
              <w:t>Notes payable, less current portion</w:t>
            </w: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34,682</w:t>
            </w:r>
          </w:p>
        </w:tc>
        <w:tc>
          <w:tcPr>
            <w:tcW w:w="0" w:type="dxa"/>
            <w:vAlign w:val="bottom"/>
          </w:tcPr>
          <w:p>
            <w:pPr>
              <w:spacing w:after="0"/>
              <w:rPr>
                <w:sz w:val="1"/>
                <w:szCs w:val="1"/>
                <w:color w:val="auto"/>
              </w:rPr>
            </w:pPr>
          </w:p>
        </w:tc>
      </w:tr>
      <w:tr>
        <w:trPr>
          <w:trHeight w:val="216"/>
        </w:trPr>
        <w:tc>
          <w:tcPr>
            <w:tcW w:w="828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7"/>
                <w:szCs w:val="17"/>
                <w:b w:val="1"/>
                <w:bCs w:val="1"/>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286,840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339,778</w:t>
            </w:r>
          </w:p>
        </w:tc>
        <w:tc>
          <w:tcPr>
            <w:tcW w:w="0" w:type="dxa"/>
            <w:vAlign w:val="bottom"/>
          </w:tcPr>
          <w:p>
            <w:pPr>
              <w:spacing w:after="0"/>
              <w:rPr>
                <w:sz w:val="1"/>
                <w:szCs w:val="1"/>
                <w:color w:val="auto"/>
              </w:rPr>
            </w:pPr>
          </w:p>
        </w:tc>
      </w:tr>
      <w:tr>
        <w:trPr>
          <w:trHeight w:val="202"/>
        </w:trPr>
        <w:tc>
          <w:tcPr>
            <w:tcW w:w="8280" w:type="dxa"/>
            <w:vAlign w:val="bottom"/>
            <w:gridSpan w:val="3"/>
          </w:tcPr>
          <w:p>
            <w:pPr>
              <w:ind w:left="20"/>
              <w:spacing w:after="0"/>
              <w:rPr>
                <w:sz w:val="20"/>
                <w:szCs w:val="20"/>
                <w:color w:val="auto"/>
              </w:rPr>
            </w:pPr>
            <w:r>
              <w:rPr>
                <w:rFonts w:ascii="Arial" w:cs="Arial" w:eastAsia="Arial" w:hAnsi="Arial"/>
                <w:sz w:val="17"/>
                <w:szCs w:val="17"/>
                <w:color w:val="auto"/>
              </w:rPr>
              <w:t>Commitments and contingencies (Note 11)</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Commitment to issue Class A Common Stock</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280" w:type="dxa"/>
            <w:vAlign w:val="bottom"/>
            <w:gridSpan w:val="3"/>
          </w:tcPr>
          <w:p>
            <w:pPr>
              <w:ind w:left="20"/>
              <w:spacing w:after="0"/>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280" w:type="dxa"/>
            <w:vAlign w:val="bottom"/>
            <w:gridSpan w:val="3"/>
            <w:shd w:val="clear" w:color="auto" w:fill="CCEEFF"/>
          </w:tcPr>
          <w:p>
            <w:pPr>
              <w:ind w:left="240"/>
              <w:spacing w:after="0" w:line="172" w:lineRule="exact"/>
              <w:rPr>
                <w:sz w:val="20"/>
                <w:szCs w:val="20"/>
                <w:color w:val="auto"/>
              </w:rPr>
            </w:pPr>
            <w:r>
              <w:rPr>
                <w:rFonts w:ascii="Arial" w:cs="Arial" w:eastAsia="Arial" w:hAnsi="Arial"/>
                <w:sz w:val="17"/>
                <w:szCs w:val="17"/>
                <w:color w:val="auto"/>
                <w:w w:val="93"/>
              </w:rPr>
              <w:t>Class A Common Stock, $0.0001 par value; 750,000,000 shares authorized; 238,543,475 and 168,693,323 shares</w:t>
            </w: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8280" w:type="dxa"/>
            <w:vAlign w:val="bottom"/>
            <w:gridSpan w:val="3"/>
            <w:shd w:val="clear" w:color="auto" w:fill="CCEEFF"/>
          </w:tcPr>
          <w:p>
            <w:pPr>
              <w:ind w:left="380"/>
              <w:spacing w:after="0"/>
              <w:rPr>
                <w:sz w:val="20"/>
                <w:szCs w:val="20"/>
                <w:color w:val="auto"/>
              </w:rPr>
            </w:pPr>
            <w:r>
              <w:rPr>
                <w:rFonts w:ascii="Arial" w:cs="Arial" w:eastAsia="Arial" w:hAnsi="Arial"/>
                <w:sz w:val="17"/>
                <w:szCs w:val="17"/>
                <w:color w:val="auto"/>
              </w:rPr>
              <w:t>issued and outstanding as of June 30, 2022 and December 31, 2021, respectively</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71"/>
        </w:trPr>
        <w:tc>
          <w:tcPr>
            <w:tcW w:w="8280" w:type="dxa"/>
            <w:vAlign w:val="bottom"/>
            <w:gridSpan w:val="3"/>
          </w:tcPr>
          <w:p>
            <w:pPr>
              <w:ind w:left="240"/>
              <w:spacing w:after="0" w:line="171" w:lineRule="exact"/>
              <w:rPr>
                <w:sz w:val="20"/>
                <w:szCs w:val="20"/>
                <w:color w:val="auto"/>
              </w:rPr>
            </w:pPr>
            <w:r>
              <w:rPr>
                <w:rFonts w:ascii="Arial" w:cs="Arial" w:eastAsia="Arial" w:hAnsi="Arial"/>
                <w:sz w:val="17"/>
                <w:szCs w:val="17"/>
                <w:color w:val="auto"/>
                <w:w w:val="93"/>
              </w:rPr>
              <w:t>Class B Common Stock, $0.0001 par value; 75,000,000 shares authorized; 64,000,588 and no shares issued and</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8280" w:type="dxa"/>
            <w:vAlign w:val="bottom"/>
            <w:gridSpan w:val="3"/>
          </w:tcPr>
          <w:p>
            <w:pPr>
              <w:ind w:left="380"/>
              <w:spacing w:after="0"/>
              <w:rPr>
                <w:sz w:val="20"/>
                <w:szCs w:val="20"/>
                <w:color w:val="auto"/>
              </w:rPr>
            </w:pPr>
            <w:r>
              <w:rPr>
                <w:rFonts w:ascii="Arial" w:cs="Arial" w:eastAsia="Arial" w:hAnsi="Arial"/>
                <w:sz w:val="17"/>
                <w:szCs w:val="17"/>
                <w:color w:val="auto"/>
              </w:rPr>
              <w:t>outstanding as of June 30, 2022 and December 31, 2021, respectively</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3,491,041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3,482,226</w:t>
            </w:r>
          </w:p>
        </w:tc>
        <w:tc>
          <w:tcPr>
            <w:tcW w:w="0" w:type="dxa"/>
            <w:vAlign w:val="bottom"/>
          </w:tcPr>
          <w:p>
            <w:pPr>
              <w:spacing w:after="0"/>
              <w:rPr>
                <w:sz w:val="1"/>
                <w:szCs w:val="1"/>
                <w:color w:val="auto"/>
              </w:rPr>
            </w:pPr>
          </w:p>
        </w:tc>
      </w:tr>
      <w:tr>
        <w:trPr>
          <w:trHeight w:val="222"/>
        </w:trPr>
        <w:tc>
          <w:tcPr>
            <w:tcW w:w="8280" w:type="dxa"/>
            <w:vAlign w:val="bottom"/>
            <w:gridSpan w:val="3"/>
          </w:tcPr>
          <w:p>
            <w:pPr>
              <w:ind w:left="20"/>
              <w:spacing w:after="0"/>
              <w:rPr>
                <w:sz w:val="20"/>
                <w:szCs w:val="20"/>
                <w:color w:val="auto"/>
              </w:rPr>
            </w:pPr>
            <w:r>
              <w:rPr>
                <w:rFonts w:ascii="Arial" w:cs="Arial" w:eastAsia="Arial" w:hAnsi="Arial"/>
                <w:sz w:val="17"/>
                <w:szCs w:val="17"/>
                <w:color w:val="auto"/>
              </w:rPr>
              <w:t>Accumulated other comprehensive loss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(6,945)</w:t>
            </w:r>
          </w:p>
        </w:tc>
        <w:tc>
          <w:tcPr>
            <w:tcW w:w="0" w:type="dxa"/>
            <w:vAlign w:val="bottom"/>
          </w:tcPr>
          <w:p>
            <w:pPr>
              <w:spacing w:after="0"/>
              <w:rPr>
                <w:sz w:val="1"/>
                <w:szCs w:val="1"/>
                <w:color w:val="auto"/>
              </w:rPr>
            </w:pPr>
          </w:p>
        </w:tc>
      </w:tr>
      <w:tr>
        <w:trPr>
          <w:trHeight w:val="223"/>
        </w:trPr>
        <w:tc>
          <w:tcPr>
            <w:tcW w:w="82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(3,219,308)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(2,907,644)</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CCEEFF"/>
            </w:tcBorders>
            <w:gridSpan w:val="3"/>
          </w:tcPr>
          <w:p>
            <w:pPr>
              <w:ind w:left="340"/>
              <w:spacing w:after="0"/>
              <w:rPr>
                <w:sz w:val="20"/>
                <w:szCs w:val="20"/>
                <w:color w:val="auto"/>
              </w:rPr>
            </w:pPr>
            <w:r>
              <w:rPr>
                <w:rFonts w:ascii="Arial" w:cs="Arial" w:eastAsia="Arial" w:hAnsi="Arial"/>
                <w:sz w:val="17"/>
                <w:szCs w:val="17"/>
                <w:b w:val="1"/>
                <w:bCs w:val="1"/>
                <w:color w:val="auto"/>
              </w:rPr>
              <w:t>Total stockholders’ equity</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268,502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567,654</w:t>
            </w:r>
          </w:p>
        </w:tc>
        <w:tc>
          <w:tcPr>
            <w:tcW w:w="0" w:type="dxa"/>
            <w:vAlign w:val="bottom"/>
          </w:tcPr>
          <w:p>
            <w:pPr>
              <w:spacing w:after="0"/>
              <w:rPr>
                <w:sz w:val="1"/>
                <w:szCs w:val="1"/>
                <w:color w:val="auto"/>
              </w:rPr>
            </w:pPr>
          </w:p>
        </w:tc>
      </w:tr>
      <w:tr>
        <w:trPr>
          <w:trHeight w:val="241"/>
        </w:trPr>
        <w:tc>
          <w:tcPr>
            <w:tcW w:w="8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Total liabilities, commitment to issue Class A Common Stock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588,242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907,432</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70485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60" w:top="258"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5100" w:type="dxa"/>
            <w:vAlign w:val="bottom"/>
            <w:gridSpan w:val="3"/>
          </w:tcPr>
          <w:p>
            <w:pPr>
              <w:ind w:left="440"/>
              <w:spacing w:after="0"/>
              <w:rPr>
                <w:sz w:val="20"/>
                <w:szCs w:val="20"/>
                <w:color w:val="auto"/>
              </w:rPr>
            </w:pPr>
            <w:r>
              <w:rPr>
                <w:rFonts w:ascii="Arial" w:cs="Arial" w:eastAsia="Arial" w:hAnsi="Arial"/>
                <w:sz w:val="17"/>
                <w:szCs w:val="17"/>
                <w:color w:val="0000FF"/>
              </w:rPr>
              <w:t>Table of Contents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787"/>
        </w:trPr>
        <w:tc>
          <w:tcPr>
            <w:tcW w:w="440" w:type="dxa"/>
            <w:vAlign w:val="bottom"/>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5500" w:type="dxa"/>
            <w:vAlign w:val="bottom"/>
            <w:gridSpan w:val="6"/>
          </w:tcPr>
          <w:p>
            <w:pPr>
              <w:jc w:val="center"/>
              <w:ind w:left="2293"/>
              <w:spacing w:after="0"/>
              <w:rPr>
                <w:sz w:val="20"/>
                <w:szCs w:val="20"/>
                <w:color w:val="auto"/>
              </w:rPr>
            </w:pPr>
            <w:r>
              <w:rPr>
                <w:rFonts w:ascii="Arial" w:cs="Arial" w:eastAsia="Arial" w:hAnsi="Arial"/>
                <w:sz w:val="17"/>
                <w:szCs w:val="17"/>
                <w:b w:val="1"/>
                <w:bCs w:val="1"/>
                <w:color w:val="auto"/>
                <w:w w:val="96"/>
              </w:rPr>
              <w:t>Faraday Future Intelligent Electric Inc.</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0"/>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40" w:type="dxa"/>
            <w:vAlign w:val="bottom"/>
            <w:gridSpan w:val="9"/>
          </w:tcPr>
          <w:p>
            <w:pPr>
              <w:jc w:val="center"/>
              <w:ind w:left="873"/>
              <w:spacing w:after="0"/>
              <w:rPr>
                <w:sz w:val="20"/>
                <w:szCs w:val="20"/>
                <w:color w:val="auto"/>
              </w:rPr>
            </w:pPr>
            <w:r>
              <w:rPr>
                <w:rFonts w:ascii="Arial" w:cs="Arial" w:eastAsia="Arial" w:hAnsi="Arial"/>
                <w:sz w:val="17"/>
                <w:szCs w:val="17"/>
                <w:b w:val="1"/>
                <w:bCs w:val="1"/>
                <w:color w:val="auto"/>
                <w:w w:val="90"/>
              </w:rPr>
              <w:t>Condensed Consolidated Statements of Operations and Comprehensive Loss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20" w:type="dxa"/>
            <w:vAlign w:val="bottom"/>
            <w:gridSpan w:val="8"/>
          </w:tcPr>
          <w:p>
            <w:pPr>
              <w:jc w:val="center"/>
              <w:ind w:left="1193"/>
              <w:spacing w:after="0"/>
              <w:rPr>
                <w:sz w:val="20"/>
                <w:szCs w:val="20"/>
                <w:color w:val="auto"/>
              </w:rPr>
            </w:pPr>
            <w:r>
              <w:rPr>
                <w:rFonts w:ascii="Arial" w:cs="Arial" w:eastAsia="Arial" w:hAnsi="Arial"/>
                <w:sz w:val="17"/>
                <w:szCs w:val="17"/>
                <w:b w:val="1"/>
                <w:bCs w:val="1"/>
                <w:color w:val="auto"/>
                <w:w w:val="90"/>
              </w:rPr>
              <w:t>(</w:t>
            </w:r>
            <w:r>
              <w:rPr>
                <w:rFonts w:ascii="Arial" w:cs="Arial" w:eastAsia="Arial" w:hAnsi="Arial"/>
                <w:sz w:val="17"/>
                <w:szCs w:val="17"/>
                <w:b w:val="1"/>
                <w:bCs w:val="1"/>
                <w:i w:val="1"/>
                <w:iCs w:val="1"/>
                <w:color w:val="auto"/>
                <w:w w:val="90"/>
              </w:rPr>
              <w:t>in thousands</w:t>
            </w:r>
            <w:r>
              <w:rPr>
                <w:rFonts w:ascii="Arial" w:cs="Arial" w:eastAsia="Arial" w:hAnsi="Arial"/>
                <w:sz w:val="17"/>
                <w:szCs w:val="17"/>
                <w:b w:val="1"/>
                <w:bCs w:val="1"/>
                <w:color w:val="auto"/>
                <w:w w:val="90"/>
              </w:rPr>
              <w:t>, except share and per share data)</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8"/>
        </w:trPr>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680" w:type="dxa"/>
            <w:vAlign w:val="bottom"/>
            <w:gridSpan w:val="4"/>
          </w:tcPr>
          <w:p>
            <w:pPr>
              <w:jc w:val="center"/>
              <w:ind w:right="620"/>
              <w:spacing w:after="0"/>
              <w:rPr>
                <w:sz w:val="20"/>
                <w:szCs w:val="20"/>
                <w:color w:val="auto"/>
              </w:rPr>
            </w:pPr>
            <w:r>
              <w:rPr>
                <w:rFonts w:ascii="Arial" w:cs="Arial" w:eastAsia="Arial" w:hAnsi="Arial"/>
                <w:sz w:val="17"/>
                <w:szCs w:val="17"/>
                <w:b w:val="1"/>
                <w:bCs w:val="1"/>
                <w:color w:val="auto"/>
                <w:w w:val="95"/>
              </w:rPr>
              <w:t>(Unaudited)</w:t>
            </w: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06"/>
        </w:trPr>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380"/>
              <w:spacing w:after="0"/>
              <w:rPr>
                <w:sz w:val="20"/>
                <w:szCs w:val="20"/>
                <w:color w:val="auto"/>
              </w:rPr>
            </w:pPr>
            <w:r>
              <w:rPr>
                <w:rFonts w:ascii="Arial" w:cs="Arial" w:eastAsia="Arial" w:hAnsi="Arial"/>
                <w:sz w:val="17"/>
                <w:szCs w:val="17"/>
                <w:b w:val="1"/>
                <w:bCs w:val="1"/>
                <w:color w:val="auto"/>
              </w:rPr>
              <w:t>Three Months Ended</w:t>
            </w:r>
          </w:p>
        </w:tc>
        <w:tc>
          <w:tcPr>
            <w:tcW w:w="320" w:type="dxa"/>
            <w:vAlign w:val="bottom"/>
          </w:tcPr>
          <w:p>
            <w:pPr>
              <w:spacing w:after="0"/>
              <w:rPr>
                <w:sz w:val="24"/>
                <w:szCs w:val="24"/>
                <w:color w:val="auto"/>
              </w:rPr>
            </w:pPr>
          </w:p>
        </w:tc>
        <w:tc>
          <w:tcPr>
            <w:tcW w:w="2620" w:type="dxa"/>
            <w:vAlign w:val="bottom"/>
            <w:gridSpan w:val="4"/>
          </w:tcPr>
          <w:p>
            <w:pPr>
              <w:jc w:val="right"/>
              <w:ind w:right="693"/>
              <w:spacing w:after="0"/>
              <w:rPr>
                <w:sz w:val="20"/>
                <w:szCs w:val="20"/>
                <w:color w:val="auto"/>
              </w:rPr>
            </w:pPr>
            <w:r>
              <w:rPr>
                <w:rFonts w:ascii="Arial" w:cs="Arial" w:eastAsia="Arial" w:hAnsi="Arial"/>
                <w:sz w:val="17"/>
                <w:szCs w:val="17"/>
                <w:b w:val="1"/>
                <w:bCs w:val="1"/>
                <w:color w:val="auto"/>
              </w:rPr>
              <w:t>Six Months Ended</w:t>
            </w:r>
          </w:p>
        </w:tc>
      </w:tr>
      <w:tr>
        <w:trPr>
          <w:trHeight w:val="232"/>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7"/>
                <w:szCs w:val="17"/>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7"/>
                <w:szCs w:val="17"/>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0"/>
        </w:trPr>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2021</w:t>
            </w:r>
          </w:p>
        </w:tc>
      </w:tr>
      <w:tr>
        <w:trPr>
          <w:trHeight w:val="242"/>
        </w:trPr>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3"/>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2"/>
        </w:trPr>
        <w:tc>
          <w:tcPr>
            <w:tcW w:w="5100" w:type="dxa"/>
            <w:vAlign w:val="bottom"/>
            <w:gridSpan w:val="3"/>
          </w:tcPr>
          <w:p>
            <w:pPr>
              <w:ind w:left="20"/>
              <w:spacing w:after="0"/>
              <w:rPr>
                <w:sz w:val="20"/>
                <w:szCs w:val="20"/>
                <w:color w:val="auto"/>
              </w:rPr>
            </w:pPr>
            <w:r>
              <w:rPr>
                <w:rFonts w:ascii="Arial" w:cs="Arial" w:eastAsia="Arial" w:hAnsi="Arial"/>
                <w:sz w:val="17"/>
                <w:szCs w:val="17"/>
                <w:color w:val="auto"/>
              </w:rPr>
              <w:t>Research and development</w:t>
            </w: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98,015</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8,673</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212,950</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15,394</w:t>
            </w:r>
          </w:p>
        </w:tc>
      </w:tr>
      <w:tr>
        <w:trPr>
          <w:trHeight w:val="223"/>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4,267</w:t>
            </w:r>
          </w:p>
        </w:tc>
      </w:tr>
      <w:tr>
        <w:trPr>
          <w:trHeight w:val="222"/>
        </w:trPr>
        <w:tc>
          <w:tcPr>
            <w:tcW w:w="510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General and administrative</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61,133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27,423</w:t>
            </w:r>
          </w:p>
        </w:tc>
      </w:tr>
      <w:tr>
        <w:trPr>
          <w:trHeight w:val="216"/>
        </w:trPr>
        <w:tc>
          <w:tcPr>
            <w:tcW w:w="510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137,466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286,467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47,084</w:t>
            </w:r>
          </w:p>
        </w:tc>
      </w:tr>
      <w:tr>
        <w:trPr>
          <w:trHeight w:val="242"/>
        </w:trPr>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3"/>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Loss from operations</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(47,084)</w:t>
            </w:r>
          </w:p>
        </w:tc>
      </w:tr>
      <w:tr>
        <w:trPr>
          <w:trHeight w:val="222"/>
        </w:trPr>
        <w:tc>
          <w:tcPr>
            <w:tcW w:w="5100" w:type="dxa"/>
            <w:vAlign w:val="bottom"/>
            <w:gridSpan w:val="3"/>
          </w:tcPr>
          <w:p>
            <w:pPr>
              <w:ind w:left="20"/>
              <w:spacing w:after="0"/>
              <w:rPr>
                <w:sz w:val="20"/>
                <w:szCs w:val="20"/>
                <w:color w:val="auto"/>
              </w:rPr>
            </w:pPr>
            <w:r>
              <w:rPr>
                <w:rFonts w:ascii="Arial" w:cs="Arial" w:eastAsia="Arial" w:hAnsi="Arial"/>
                <w:sz w:val="17"/>
                <w:szCs w:val="17"/>
                <w:color w:val="auto"/>
              </w:rPr>
              <w:t>Change in fair value measurements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(10,730)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(37,647)</w:t>
            </w:r>
          </w:p>
        </w:tc>
      </w:tr>
      <w:tr>
        <w:trPr>
          <w:trHeight w:val="223"/>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(27,564)</w:t>
            </w:r>
          </w:p>
        </w:tc>
      </w:tr>
      <w:tr>
        <w:trPr>
          <w:trHeight w:val="222"/>
        </w:trPr>
        <w:tc>
          <w:tcPr>
            <w:tcW w:w="5100" w:type="dxa"/>
            <w:vAlign w:val="bottom"/>
            <w:gridSpan w:val="3"/>
          </w:tcPr>
          <w:p>
            <w:pPr>
              <w:ind w:left="20"/>
              <w:spacing w:after="0"/>
              <w:rPr>
                <w:sz w:val="20"/>
                <w:szCs w:val="20"/>
                <w:color w:val="auto"/>
              </w:rPr>
            </w:pPr>
            <w:r>
              <w:rPr>
                <w:rFonts w:ascii="Arial" w:cs="Arial" w:eastAsia="Arial" w:hAnsi="Arial"/>
                <w:sz w:val="17"/>
                <w:szCs w:val="17"/>
                <w:color w:val="auto"/>
              </w:rPr>
              <w:t>Related party interest expense</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(14,167)</w:t>
            </w:r>
          </w:p>
        </w:tc>
      </w:tr>
      <w:tr>
        <w:trPr>
          <w:trHeight w:val="223"/>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(7,851)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(1,835)</w:t>
            </w:r>
          </w:p>
        </w:tc>
      </w:tr>
      <w:tr>
        <w:trPr>
          <w:trHeight w:val="216"/>
        </w:trPr>
        <w:tc>
          <w:tcPr>
            <w:tcW w:w="5100" w:type="dxa"/>
            <w:vAlign w:val="bottom"/>
            <w:gridSpan w:val="3"/>
          </w:tcPr>
          <w:p>
            <w:pPr>
              <w:ind w:left="20"/>
              <w:spacing w:after="0"/>
              <w:rPr>
                <w:sz w:val="20"/>
                <w:szCs w:val="20"/>
                <w:color w:val="auto"/>
              </w:rPr>
            </w:pPr>
            <w:r>
              <w:rPr>
                <w:rFonts w:ascii="Arial" w:cs="Arial" w:eastAsia="Arial" w:hAnsi="Arial"/>
                <w:sz w:val="17"/>
                <w:szCs w:val="17"/>
                <w:b w:val="1"/>
                <w:bCs w:val="1"/>
                <w:color w:val="auto"/>
              </w:rPr>
              <w:t>Loss before income taxes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(141,685)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(52,775)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(294,783)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(128,297)</w:t>
            </w:r>
          </w:p>
        </w:tc>
      </w:tr>
      <w:tr>
        <w:trPr>
          <w:trHeight w:val="223"/>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6"/>
        </w:trPr>
        <w:tc>
          <w:tcPr>
            <w:tcW w:w="5100" w:type="dxa"/>
            <w:vAlign w:val="bottom"/>
            <w:gridSpan w:val="3"/>
          </w:tcPr>
          <w:p>
            <w:pPr>
              <w:ind w:left="340"/>
              <w:spacing w:after="0"/>
              <w:rPr>
                <w:sz w:val="20"/>
                <w:szCs w:val="20"/>
                <w:color w:val="auto"/>
              </w:rPr>
            </w:pPr>
            <w:r>
              <w:rPr>
                <w:rFonts w:ascii="Arial" w:cs="Arial" w:eastAsia="Arial" w:hAnsi="Arial"/>
                <w:sz w:val="17"/>
                <w:szCs w:val="17"/>
                <w:b w:val="1"/>
                <w:bCs w:val="1"/>
                <w:color w:val="auto"/>
              </w:rPr>
              <w:t>Net loss</w:t>
            </w: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(141,694)</w:t>
            </w:r>
          </w:p>
        </w:tc>
        <w:tc>
          <w:tcPr>
            <w:tcW w:w="100" w:type="dxa"/>
            <w:vAlign w:val="bottom"/>
          </w:tcPr>
          <w:p>
            <w:pPr>
              <w:spacing w:after="0"/>
              <w:rPr>
                <w:sz w:val="18"/>
                <w:szCs w:val="18"/>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(52,775)</w:t>
            </w:r>
          </w:p>
        </w:tc>
        <w:tc>
          <w:tcPr>
            <w:tcW w:w="10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(294,792)</w:t>
            </w:r>
          </w:p>
        </w:tc>
        <w:tc>
          <w:tcPr>
            <w:tcW w:w="100" w:type="dxa"/>
            <w:vAlign w:val="bottom"/>
          </w:tcPr>
          <w:p>
            <w:pPr>
              <w:spacing w:after="0"/>
              <w:rPr>
                <w:sz w:val="18"/>
                <w:szCs w:val="18"/>
                <w:color w:val="auto"/>
              </w:rPr>
            </w:pPr>
          </w:p>
        </w:tc>
        <w:tc>
          <w:tcPr>
            <w:tcW w:w="380" w:type="dxa"/>
            <w:vAlign w:val="bottom"/>
          </w:tcPr>
          <w:p>
            <w:pPr>
              <w:jc w:val="right"/>
              <w:ind w:right="193"/>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(128,300)</w:t>
            </w:r>
          </w:p>
        </w:tc>
      </w:tr>
      <w:tr>
        <w:trPr>
          <w:trHeight w:val="20"/>
        </w:trPr>
        <w:tc>
          <w:tcPr>
            <w:tcW w:w="4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5"/>
        </w:trPr>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3"/>
        </w:trPr>
        <w:tc>
          <w:tcPr>
            <w:tcW w:w="5100" w:type="dxa"/>
            <w:vAlign w:val="bottom"/>
            <w:gridSpan w:val="3"/>
          </w:tcPr>
          <w:p>
            <w:pPr>
              <w:ind w:left="20"/>
              <w:spacing w:after="0"/>
              <w:rPr>
                <w:sz w:val="20"/>
                <w:szCs w:val="20"/>
                <w:color w:val="auto"/>
              </w:rPr>
            </w:pPr>
            <w:r>
              <w:rPr>
                <w:rFonts w:ascii="Arial" w:cs="Arial" w:eastAsia="Arial" w:hAnsi="Arial"/>
                <w:sz w:val="17"/>
                <w:szCs w:val="17"/>
                <w:b w:val="1"/>
                <w:bCs w:val="1"/>
                <w:color w:val="auto"/>
              </w:rPr>
              <w:t>Per share information:</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95"/>
              </w:rPr>
              <w:t>Net loss per Common Stock – Class A and Class B – basic and diluted</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(0.79)</w:t>
            </w:r>
          </w:p>
        </w:tc>
      </w:tr>
      <w:tr>
        <w:trPr>
          <w:trHeight w:val="171"/>
        </w:trPr>
        <w:tc>
          <w:tcPr>
            <w:tcW w:w="5100" w:type="dxa"/>
            <w:vAlign w:val="bottom"/>
            <w:gridSpan w:val="3"/>
          </w:tcPr>
          <w:p>
            <w:pPr>
              <w:ind w:left="20"/>
              <w:spacing w:after="0" w:line="171" w:lineRule="exact"/>
              <w:rPr>
                <w:sz w:val="20"/>
                <w:szCs w:val="20"/>
                <w:color w:val="auto"/>
              </w:rPr>
            </w:pPr>
            <w:r>
              <w:rPr>
                <w:rFonts w:ascii="Arial" w:cs="Arial" w:eastAsia="Arial" w:hAnsi="Arial"/>
                <w:sz w:val="17"/>
                <w:szCs w:val="17"/>
                <w:color w:val="auto"/>
                <w:w w:val="92"/>
              </w:rPr>
              <w:t>Weighted average Common shares outstanding – Class A and Class B –</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35"/>
        </w:trPr>
        <w:tc>
          <w:tcPr>
            <w:tcW w:w="5100" w:type="dxa"/>
            <w:vAlign w:val="bottom"/>
            <w:gridSpan w:val="3"/>
          </w:tcPr>
          <w:p>
            <w:pPr>
              <w:ind w:left="180"/>
              <w:spacing w:after="0"/>
              <w:rPr>
                <w:sz w:val="20"/>
                <w:szCs w:val="20"/>
                <w:color w:val="auto"/>
              </w:rPr>
            </w:pPr>
            <w:r>
              <w:rPr>
                <w:rFonts w:ascii="Arial" w:cs="Arial" w:eastAsia="Arial" w:hAnsi="Arial"/>
                <w:sz w:val="17"/>
                <w:szCs w:val="17"/>
                <w:color w:val="auto"/>
              </w:rPr>
              <w:t>basic and diluted</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322,717,920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w w:val="99"/>
              </w:rPr>
              <w:t>164,870,354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322,466,055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161,498,339</w:t>
            </w:r>
          </w:p>
        </w:tc>
      </w:tr>
      <w:tr>
        <w:trPr>
          <w:trHeight w:val="472"/>
        </w:trPr>
        <w:tc>
          <w:tcPr>
            <w:tcW w:w="5100" w:type="dxa"/>
            <w:vAlign w:val="bottom"/>
            <w:gridSpan w:val="3"/>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23"/>
        </w:trPr>
        <w:tc>
          <w:tcPr>
            <w:tcW w:w="5100" w:type="dxa"/>
            <w:vAlign w:val="bottom"/>
            <w:gridSpan w:val="3"/>
          </w:tcPr>
          <w:p>
            <w:pPr>
              <w:ind w:left="20"/>
              <w:spacing w:after="0"/>
              <w:rPr>
                <w:sz w:val="20"/>
                <w:szCs w:val="20"/>
                <w:color w:val="auto"/>
              </w:rPr>
            </w:pPr>
            <w:r>
              <w:rPr>
                <w:rFonts w:ascii="Arial" w:cs="Arial" w:eastAsia="Arial" w:hAnsi="Arial"/>
                <w:sz w:val="17"/>
                <w:szCs w:val="17"/>
                <w:b w:val="1"/>
                <w:bCs w:val="1"/>
                <w:color w:val="auto"/>
              </w:rPr>
              <w:t>Total comprehensive loss:</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3"/>
        </w:trPr>
        <w:tc>
          <w:tcPr>
            <w:tcW w:w="51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(128,300)</w:t>
            </w:r>
          </w:p>
        </w:tc>
      </w:tr>
      <w:tr>
        <w:trPr>
          <w:trHeight w:val="222"/>
        </w:trPr>
        <w:tc>
          <w:tcPr>
            <w:tcW w:w="510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Change in foreign currency translation adjustment</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(676)</w:t>
            </w:r>
          </w:p>
        </w:tc>
      </w:tr>
      <w:tr>
        <w:trPr>
          <w:trHeight w:val="236"/>
        </w:trPr>
        <w:tc>
          <w:tcPr>
            <w:tcW w:w="5100" w:type="dxa"/>
            <w:vAlign w:val="bottom"/>
            <w:gridSpan w:val="3"/>
            <w:shd w:val="clear" w:color="auto" w:fill="CCEEFF"/>
          </w:tcPr>
          <w:p>
            <w:pPr>
              <w:ind w:left="340"/>
              <w:spacing w:after="0"/>
              <w:rPr>
                <w:sz w:val="20"/>
                <w:szCs w:val="20"/>
                <w:color w:val="auto"/>
              </w:rPr>
            </w:pPr>
            <w:r>
              <w:rPr>
                <w:rFonts w:ascii="Arial" w:cs="Arial" w:eastAsia="Arial" w:hAnsi="Arial"/>
                <w:sz w:val="17"/>
                <w:szCs w:val="17"/>
                <w:color w:val="auto"/>
              </w:rPr>
              <w:t>Total comprehensive loss</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(137,446)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(53,959)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(291,108)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(128,976)</w:t>
            </w:r>
          </w:p>
        </w:tc>
      </w:tr>
      <w:tr>
        <w:trPr>
          <w:trHeight w:val="20"/>
        </w:trPr>
        <w:tc>
          <w:tcPr>
            <w:tcW w:w="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58" w:right="339" w:bottom="1440" w:gutter="0" w:footer="0" w:header="0"/>
        </w:sectPr>
      </w:pPr>
    </w:p>
    <w:bookmarkStart w:id="5" w:name="page6"/>
    <w:bookmarkEnd w:id="5"/>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Commitment to Issue Class A Common Stock and Stockholders’ Equity (Deficit)</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tcBorders>
              <w:right w:val="single" w:sz="8" w:color="auto"/>
            </w:tcBorders>
            <w:gridSpan w:val="9"/>
          </w:tcPr>
          <w:p>
            <w:pPr>
              <w:jc w:val="center"/>
              <w:ind w:right="120"/>
              <w:spacing w:after="0"/>
              <w:rPr>
                <w:sz w:val="20"/>
                <w:szCs w:val="20"/>
                <w:color w:val="auto"/>
              </w:rPr>
            </w:pPr>
            <w:r>
              <w:rPr>
                <w:rFonts w:ascii="Arial" w:cs="Arial" w:eastAsia="Arial" w:hAnsi="Arial"/>
                <w:sz w:val="14"/>
                <w:szCs w:val="14"/>
                <w:b w:val="1"/>
                <w:bCs w:val="1"/>
                <w:color w:val="auto"/>
                <w:w w:val="89"/>
              </w:rPr>
              <w:t>Commitment to Issue</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6"/>
            <w:vMerge w:val="restart"/>
          </w:tcPr>
          <w:p>
            <w:pPr>
              <w:ind w:left="200"/>
              <w:spacing w:after="0"/>
              <w:rPr>
                <w:sz w:val="20"/>
                <w:szCs w:val="20"/>
                <w:color w:val="auto"/>
              </w:rPr>
            </w:pPr>
            <w:r>
              <w:rPr>
                <w:rFonts w:ascii="Arial" w:cs="Arial" w:eastAsia="Arial" w:hAnsi="Arial"/>
                <w:sz w:val="14"/>
                <w:szCs w:val="14"/>
                <w:b w:val="1"/>
                <w:bCs w:val="1"/>
                <w:color w:val="auto"/>
                <w:w w:val="91"/>
              </w:rPr>
              <w:t>Common 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40" w:type="dxa"/>
            <w:vAlign w:val="bottom"/>
            <w:tcBorders>
              <w:right w:val="single" w:sz="8" w:color="auto"/>
            </w:tcBorders>
            <w:gridSpan w:val="9"/>
            <w:vMerge w:val="restart"/>
          </w:tcPr>
          <w:p>
            <w:pPr>
              <w:jc w:val="center"/>
              <w:ind w:right="120"/>
              <w:spacing w:after="0" w:line="98" w:lineRule="exact"/>
              <w:rPr>
                <w:sz w:val="20"/>
                <w:szCs w:val="20"/>
                <w:color w:val="auto"/>
              </w:rPr>
            </w:pPr>
            <w:r>
              <w:rPr>
                <w:rFonts w:ascii="Arial" w:cs="Arial" w:eastAsia="Arial" w:hAnsi="Arial"/>
                <w:sz w:val="10"/>
                <w:szCs w:val="10"/>
                <w:b w:val="1"/>
                <w:bCs w:val="1"/>
                <w:color w:val="auto"/>
              </w:rPr>
              <w:t>Class A Common</w:t>
            </w: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gridSpan w:val="6"/>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52"/>
        </w:trPr>
        <w:tc>
          <w:tcPr>
            <w:tcW w:w="4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40" w:type="dxa"/>
            <w:vAlign w:val="bottom"/>
            <w:tcBorders>
              <w:right w:val="single" w:sz="8" w:color="auto"/>
            </w:tcBorders>
            <w:gridSpan w:val="9"/>
            <w:vMerge w:val="continue"/>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4"/>
            <w:vMerge w:val="restart"/>
          </w:tcPr>
          <w:p>
            <w:pPr>
              <w:jc w:val="center"/>
              <w:spacing w:after="0" w:line="144" w:lineRule="exact"/>
              <w:rPr>
                <w:sz w:val="20"/>
                <w:szCs w:val="20"/>
                <w:color w:val="auto"/>
              </w:rPr>
            </w:pPr>
            <w:r>
              <w:rPr>
                <w:rFonts w:ascii="Arial" w:cs="Arial" w:eastAsia="Arial" w:hAnsi="Arial"/>
                <w:sz w:val="14"/>
                <w:szCs w:val="14"/>
                <w:b w:val="1"/>
                <w:bCs w:val="1"/>
                <w:color w:val="auto"/>
                <w:w w:val="93"/>
              </w:rPr>
              <w:t>Additional</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4"/>
            <w:vMerge w:val="restart"/>
          </w:tcPr>
          <w:p>
            <w:pPr>
              <w:jc w:val="center"/>
              <w:ind w:left="161"/>
              <w:spacing w:after="0" w:line="144"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4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4"/>
            <w:vMerge w:val="restart"/>
          </w:tcPr>
          <w:p>
            <w:pPr>
              <w:jc w:val="center"/>
              <w:ind w:right="76"/>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gridSpan w:val="3"/>
            <w:vMerge w:val="restart"/>
          </w:tcPr>
          <w:p>
            <w:pPr>
              <w:jc w:val="right"/>
              <w:ind w:right="278"/>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Class B</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4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4"/>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gridSpan w:val="3"/>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4"/>
          </w:tcPr>
          <w:p>
            <w:pPr>
              <w:jc w:val="center"/>
              <w:spacing w:after="0" w:line="111" w:lineRule="exact"/>
              <w:rPr>
                <w:sz w:val="20"/>
                <w:szCs w:val="20"/>
                <w:color w:val="auto"/>
              </w:rPr>
            </w:pPr>
            <w:r>
              <w:rPr>
                <w:rFonts w:ascii="Arial" w:cs="Arial" w:eastAsia="Arial" w:hAnsi="Arial"/>
                <w:sz w:val="12"/>
                <w:szCs w:val="12"/>
                <w:b w:val="1"/>
                <w:bCs w:val="1"/>
                <w:color w:val="auto"/>
              </w:rPr>
              <w:t>Paid-in</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5"/>
          </w:tcPr>
          <w:p>
            <w:pPr>
              <w:jc w:val="center"/>
              <w:spacing w:after="0" w:line="111" w:lineRule="exact"/>
              <w:rPr>
                <w:sz w:val="20"/>
                <w:szCs w:val="20"/>
                <w:color w:val="auto"/>
              </w:rPr>
            </w:pPr>
            <w:r>
              <w:rPr>
                <w:rFonts w:ascii="Arial" w:cs="Arial" w:eastAsia="Arial" w:hAnsi="Arial"/>
                <w:sz w:val="12"/>
                <w:szCs w:val="12"/>
                <w:b w:val="1"/>
                <w:bCs w:val="1"/>
                <w:color w:val="auto"/>
              </w:rPr>
              <w:t>Comprehensive</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tcPr>
          <w:p>
            <w:pPr>
              <w:jc w:val="right"/>
              <w:spacing w:after="0" w:line="111" w:lineRule="exact"/>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5"/>
          </w:tcPr>
          <w:p>
            <w:pPr>
              <w:jc w:val="center"/>
              <w:ind w:right="220"/>
              <w:spacing w:after="0" w:line="111"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03"/>
        </w:trPr>
        <w:tc>
          <w:tcPr>
            <w:tcW w:w="460" w:type="dxa"/>
            <w:vAlign w:val="bottom"/>
            <w:tcBorders>
              <w:bottom w:val="single" w:sz="8" w:color="CCEEFF"/>
            </w:tcBorders>
          </w:tcPr>
          <w:p>
            <w:pPr>
              <w:spacing w:after="0"/>
              <w:rPr>
                <w:sz w:val="17"/>
                <w:szCs w:val="17"/>
                <w:color w:val="auto"/>
              </w:rPr>
            </w:pPr>
          </w:p>
        </w:tc>
        <w:tc>
          <w:tcPr>
            <w:tcW w:w="17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89"/>
              </w:rPr>
              <w:t>Shares</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Loss</w:t>
            </w: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3"/>
          </w:tcPr>
          <w:p>
            <w:pPr>
              <w:jc w:val="right"/>
              <w:ind w:right="177"/>
              <w:spacing w:after="0"/>
              <w:rPr>
                <w:sz w:val="20"/>
                <w:szCs w:val="20"/>
                <w:color w:val="auto"/>
              </w:rPr>
            </w:pPr>
            <w:r>
              <w:rPr>
                <w:rFonts w:ascii="Arial" w:cs="Arial" w:eastAsia="Arial" w:hAnsi="Arial"/>
                <w:sz w:val="14"/>
                <w:szCs w:val="14"/>
                <w:b w:val="1"/>
                <w:bCs w:val="1"/>
                <w:color w:val="auto"/>
              </w:rPr>
              <w:t>Deficit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4"/>
          </w:tcPr>
          <w:p>
            <w:pPr>
              <w:jc w:val="center"/>
              <w:ind w:right="37"/>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3"/>
              </w:rPr>
              <w:t>—</w:t>
            </w: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$32,900</w:t>
            </w: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w w:val="93"/>
              </w:rPr>
              <w:t>238,197,018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w w:val="84"/>
              </w:rPr>
              <w:t>24</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64,000,588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5"/>
              </w:rPr>
              <w:t>$ 3,487,415</w:t>
            </w:r>
          </w:p>
        </w:tc>
        <w:tc>
          <w:tcPr>
            <w:tcW w:w="480" w:type="dxa"/>
            <w:vAlign w:val="bottom"/>
            <w:gridSpan w:val="3"/>
            <w:shd w:val="clear" w:color="auto" w:fill="CCEEFF"/>
          </w:tcPr>
          <w:p>
            <w:pPr>
              <w:jc w:val="right"/>
              <w:ind w:right="161"/>
              <w:spacing w:after="0"/>
              <w:rPr>
                <w:sz w:val="20"/>
                <w:szCs w:val="20"/>
                <w:color w:val="auto"/>
              </w:rPr>
            </w:pPr>
            <w:r>
              <w:rPr>
                <w:rFonts w:ascii="Arial" w:cs="Arial" w:eastAsia="Arial" w:hAnsi="Arial"/>
                <w:sz w:val="17"/>
                <w:szCs w:val="17"/>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(7,509)</w:t>
            </w: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(3,077,614)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402,322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500" w:type="dxa"/>
            <w:vAlign w:val="bottom"/>
            <w:gridSpan w:val="3"/>
          </w:tcPr>
          <w:p>
            <w:pPr>
              <w:ind w:left="20"/>
              <w:spacing w:after="0" w:line="161" w:lineRule="exact"/>
              <w:rPr>
                <w:sz w:val="20"/>
                <w:szCs w:val="20"/>
                <w:color w:val="auto"/>
              </w:rPr>
            </w:pPr>
            <w:r>
              <w:rPr>
                <w:rFonts w:ascii="Arial" w:cs="Arial" w:eastAsia="Arial" w:hAnsi="Arial"/>
                <w:sz w:val="16"/>
                <w:szCs w:val="16"/>
                <w:color w:val="auto"/>
              </w:rPr>
              <w:t>Issuance of shares pursuant to</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00" w:type="dxa"/>
            <w:vAlign w:val="bottom"/>
            <w:gridSpan w:val="3"/>
          </w:tcPr>
          <w:p>
            <w:pPr>
              <w:ind w:left="180"/>
              <w:spacing w:after="0" w:line="158" w:lineRule="exact"/>
              <w:rPr>
                <w:sz w:val="20"/>
                <w:szCs w:val="20"/>
                <w:color w:val="auto"/>
              </w:rPr>
            </w:pPr>
            <w:r>
              <w:rPr>
                <w:rFonts w:ascii="Arial" w:cs="Arial" w:eastAsia="Arial" w:hAnsi="Arial"/>
                <w:sz w:val="16"/>
                <w:szCs w:val="16"/>
                <w:color w:val="auto"/>
              </w:rPr>
              <w:t>the commitment to issue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500" w:type="dxa"/>
            <w:vAlign w:val="bottom"/>
            <w:gridSpan w:val="3"/>
          </w:tcPr>
          <w:p>
            <w:pPr>
              <w:ind w:left="180"/>
              <w:spacing w:after="0" w:line="158" w:lineRule="exact"/>
              <w:rPr>
                <w:sz w:val="20"/>
                <w:szCs w:val="20"/>
                <w:color w:val="auto"/>
              </w:rPr>
            </w:pPr>
            <w:r>
              <w:rPr>
                <w:rFonts w:ascii="Arial" w:cs="Arial" w:eastAsia="Arial" w:hAnsi="Arial"/>
                <w:sz w:val="16"/>
                <w:szCs w:val="16"/>
                <w:color w:val="auto"/>
              </w:rPr>
              <w:t>Class A Common Stock</w:t>
            </w:r>
          </w:p>
        </w:tc>
        <w:tc>
          <w:tcPr>
            <w:tcW w:w="200" w:type="dxa"/>
            <w:vAlign w:val="bottom"/>
            <w:gridSpan w:val="2"/>
            <w:vMerge w:val="restart"/>
          </w:tcPr>
          <w:p>
            <w:pPr>
              <w:ind w:left="2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Borders>
              <w:right w:val="single" w:sz="8" w:color="auto"/>
            </w:tcBorders>
            <w:gridSpan w:val="3"/>
            <w:vMerge w:val="restart"/>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gridSpan w:val="4"/>
            <w:vMerge w:val="restart"/>
          </w:tcPr>
          <w:p>
            <w:pPr>
              <w:jc w:val="right"/>
              <w:spacing w:after="0"/>
              <w:rPr>
                <w:sz w:val="20"/>
                <w:szCs w:val="20"/>
                <w:color w:val="auto"/>
              </w:rPr>
            </w:pPr>
            <w:r>
              <w:rPr>
                <w:rFonts w:ascii="Arial" w:cs="Arial" w:eastAsia="Arial" w:hAnsi="Arial"/>
                <w:sz w:val="17"/>
                <w:szCs w:val="17"/>
                <w:color w:val="auto"/>
              </w:rPr>
              <w:t>145,396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gridSpan w:val="2"/>
            <w:vMerge w:val="restart"/>
          </w:tcPr>
          <w:p>
            <w:pPr>
              <w:jc w:val="right"/>
              <w:ind w:right="10"/>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gridSpan w:val="3"/>
            <w:vMerge w:val="restart"/>
          </w:tcPr>
          <w:p>
            <w:pPr>
              <w:jc w:val="right"/>
              <w:ind w:right="160"/>
              <w:spacing w:after="0"/>
              <w:rPr>
                <w:sz w:val="20"/>
                <w:szCs w:val="20"/>
                <w:color w:val="auto"/>
              </w:rPr>
            </w:pPr>
            <w:r>
              <w:rPr>
                <w:rFonts w:ascii="Arial" w:cs="Arial" w:eastAsia="Arial" w:hAnsi="Arial"/>
                <w:sz w:val="17"/>
                <w:szCs w:val="17"/>
                <w:color w:val="auto"/>
                <w:w w:val="93"/>
              </w:rPr>
              <w: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500" w:type="dxa"/>
            <w:vAlign w:val="bottom"/>
            <w:gridSpan w:val="3"/>
          </w:tcPr>
          <w:p>
            <w:pPr>
              <w:ind w:left="180"/>
              <w:spacing w:after="0"/>
              <w:rPr>
                <w:sz w:val="20"/>
                <w:szCs w:val="20"/>
                <w:color w:val="auto"/>
              </w:rPr>
            </w:pPr>
            <w:r>
              <w:rPr>
                <w:rFonts w:ascii="Arial" w:cs="Arial" w:eastAsia="Arial" w:hAnsi="Arial"/>
                <w:sz w:val="16"/>
                <w:szCs w:val="16"/>
                <w:color w:val="auto"/>
              </w:rPr>
              <w:t>(Note 3)</w:t>
            </w:r>
          </w:p>
        </w:tc>
        <w:tc>
          <w:tcPr>
            <w:tcW w:w="2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Borders>
              <w:right w:val="single" w:sz="8" w:color="auto"/>
            </w:tcBorders>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5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8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93"/>
              </w:rPr>
              <w:t>—</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3,127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8"/>
              </w:rPr>
              <w:t>3,127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500" w:type="dxa"/>
            <w:vAlign w:val="bottom"/>
            <w:gridSpan w:val="3"/>
          </w:tcPr>
          <w:p>
            <w:pPr>
              <w:ind w:left="20"/>
              <w:spacing w:after="0"/>
              <w:rPr>
                <w:sz w:val="20"/>
                <w:szCs w:val="20"/>
                <w:color w:val="auto"/>
              </w:rPr>
            </w:pPr>
            <w:r>
              <w:rPr>
                <w:rFonts w:ascii="Arial" w:cs="Arial" w:eastAsia="Arial" w:hAnsi="Arial"/>
                <w:sz w:val="16"/>
                <w:szCs w:val="16"/>
                <w:color w:val="auto"/>
              </w:rPr>
              <w:t>Exercise of stock options</w:t>
            </w:r>
          </w:p>
        </w:tc>
        <w:tc>
          <w:tcPr>
            <w:tcW w:w="200" w:type="dxa"/>
            <w:vAlign w:val="bottom"/>
            <w:gridSpan w:val="2"/>
          </w:tcPr>
          <w:p>
            <w:pPr>
              <w:ind w:left="2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201,061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gridSpan w:val="2"/>
          </w:tcPr>
          <w:p>
            <w:pPr>
              <w:jc w:val="right"/>
              <w:ind w:right="10"/>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gridSpan w:val="3"/>
          </w:tcPr>
          <w:p>
            <w:pPr>
              <w:jc w:val="right"/>
              <w:ind w:right="160"/>
              <w:spacing w:after="0"/>
              <w:rPr>
                <w:sz w:val="20"/>
                <w:szCs w:val="20"/>
                <w:color w:val="auto"/>
              </w:rPr>
            </w:pPr>
            <w:r>
              <w:rPr>
                <w:rFonts w:ascii="Arial" w:cs="Arial" w:eastAsia="Arial" w:hAnsi="Arial"/>
                <w:sz w:val="17"/>
                <w:szCs w:val="17"/>
                <w:color w:val="auto"/>
                <w:w w:val="93"/>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499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ind w:left="2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98"/>
              </w:rPr>
              <w:t>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500" w:type="dxa"/>
            <w:vAlign w:val="bottom"/>
            <w:gridSpan w:val="3"/>
            <w:shd w:val="clear" w:color="auto" w:fill="CCEEFF"/>
          </w:tcPr>
          <w:p>
            <w:pPr>
              <w:ind w:left="20"/>
              <w:spacing w:after="0" w:line="161" w:lineRule="exact"/>
              <w:rPr>
                <w:sz w:val="20"/>
                <w:szCs w:val="20"/>
                <w:color w:val="auto"/>
              </w:rPr>
            </w:pPr>
            <w:r>
              <w:rPr>
                <w:rFonts w:ascii="Arial" w:cs="Arial" w:eastAsia="Arial" w:hAnsi="Arial"/>
                <w:sz w:val="16"/>
                <w:szCs w:val="16"/>
                <w:color w:val="auto"/>
              </w:rPr>
              <w:t>Foreign currency translation</w:t>
            </w:r>
          </w:p>
        </w:tc>
        <w:tc>
          <w:tcPr>
            <w:tcW w:w="20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tcBorders>
              <w:right w:val="single" w:sz="8" w:color="auto"/>
            </w:tcBorders>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3"/>
                <w:szCs w:val="13"/>
                <w:color w:val="auto"/>
              </w:rPr>
            </w:pPr>
          </w:p>
        </w:tc>
        <w:tc>
          <w:tcPr>
            <w:tcW w:w="2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w w:val="93"/>
              </w:rPr>
              <w:t>—</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gridSpan w:val="4"/>
            <w:vMerge w:val="restart"/>
            <w:shd w:val="clear" w:color="auto" w:fill="CCEEFF"/>
          </w:tcPr>
          <w:p>
            <w:pPr>
              <w:jc w:val="right"/>
              <w:spacing w:after="0"/>
              <w:rPr>
                <w:sz w:val="20"/>
                <w:szCs w:val="20"/>
                <w:color w:val="auto"/>
              </w:rPr>
            </w:pPr>
            <w:r>
              <w:rPr>
                <w:rFonts w:ascii="Arial" w:cs="Arial" w:eastAsia="Arial" w:hAnsi="Arial"/>
                <w:sz w:val="17"/>
                <w:szCs w:val="17"/>
                <w:color w:val="auto"/>
              </w:rPr>
              <w:t>4,248</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w w:val="98"/>
              </w:rPr>
              <w:t>4,248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5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adjustment</w:t>
            </w:r>
          </w:p>
        </w:tc>
        <w:tc>
          <w:tcPr>
            <w:tcW w:w="20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tcBorders>
              <w:right w:val="single" w:sz="8" w:color="auto"/>
            </w:tcBorders>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gridSpan w:val="3"/>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gridSpan w:val="4"/>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vMerge w:val="continue"/>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1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7"/>
                <w:szCs w:val="17"/>
                <w:color w:val="auto"/>
                <w:w w:val="93"/>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7"/>
                <w:szCs w:val="17"/>
                <w:color w:val="auto"/>
                <w:w w:val="93"/>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(141,694)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(141,694)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34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32,900</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7"/>
                <w:szCs w:val="17"/>
                <w:color w:val="auto"/>
                <w:w w:val="93"/>
              </w:rPr>
              <w:t>238,543,475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7"/>
                <w:szCs w:val="17"/>
                <w:color w:val="auto"/>
                <w:w w:val="84"/>
              </w:rPr>
              <w:t>24</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64,000,588</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w w:val="95"/>
              </w:rPr>
              <w:t>$ 3,491,041</w:t>
            </w:r>
          </w:p>
        </w:tc>
        <w:tc>
          <w:tcPr>
            <w:tcW w:w="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(3,261)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90"/>
              </w:rPr>
              <w:t>$ (3,219,308)</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268,502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9"/>
            <w:vMerge w:val="restart"/>
          </w:tcPr>
          <w:p>
            <w:pPr>
              <w:jc w:val="center"/>
              <w:spacing w:after="0"/>
              <w:rPr>
                <w:sz w:val="20"/>
                <w:szCs w:val="20"/>
                <w:color w:val="auto"/>
              </w:rPr>
            </w:pPr>
            <w:r>
              <w:rPr>
                <w:rFonts w:ascii="Arial" w:cs="Arial" w:eastAsia="Arial" w:hAnsi="Arial"/>
                <w:sz w:val="14"/>
                <w:szCs w:val="14"/>
                <w:b w:val="1"/>
                <w:bCs w:val="1"/>
                <w:color w:val="auto"/>
                <w:w w:val="89"/>
              </w:rPr>
              <w:t>Commitment to Issue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9"/>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4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8"/>
            <w:vMerge w:val="restart"/>
          </w:tcPr>
          <w:p>
            <w:pPr>
              <w:jc w:val="center"/>
              <w:ind w:right="13"/>
              <w:spacing w:after="0"/>
              <w:rPr>
                <w:sz w:val="20"/>
                <w:szCs w:val="20"/>
                <w:color w:val="auto"/>
              </w:rPr>
            </w:pPr>
            <w:r>
              <w:rPr>
                <w:rFonts w:ascii="Arial" w:cs="Arial" w:eastAsia="Arial" w:hAnsi="Arial"/>
                <w:sz w:val="14"/>
                <w:szCs w:val="14"/>
                <w:b w:val="1"/>
                <w:bCs w:val="1"/>
                <w:color w:val="auto"/>
                <w:w w:val="89"/>
              </w:rPr>
              <w:t>Class A Common</w:t>
            </w:r>
          </w:p>
        </w:tc>
        <w:tc>
          <w:tcPr>
            <w:tcW w:w="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0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6"/>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4"/>
              </w:rPr>
              <w:t>Stockhol</w:t>
            </w:r>
          </w:p>
        </w:tc>
        <w:tc>
          <w:tcPr>
            <w:tcW w:w="0" w:type="dxa"/>
            <w:vAlign w:val="bottom"/>
          </w:tcPr>
          <w:p>
            <w:pPr>
              <w:spacing w:after="0"/>
              <w:rPr>
                <w:sz w:val="1"/>
                <w:szCs w:val="1"/>
                <w:color w:val="auto"/>
              </w:rPr>
            </w:pPr>
          </w:p>
        </w:tc>
      </w:tr>
      <w:tr>
        <w:trPr>
          <w:trHeight w:val="49"/>
        </w:trPr>
        <w:tc>
          <w:tcPr>
            <w:tcW w:w="4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4"/>
            <w:vMerge w:val="restart"/>
          </w:tcPr>
          <w:p>
            <w:pPr>
              <w:jc w:val="right"/>
              <w:ind w:right="81"/>
              <w:spacing w:after="0" w:line="141" w:lineRule="exact"/>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gridSpan w:val="5"/>
            <w:vMerge w:val="restart"/>
          </w:tcPr>
          <w:p>
            <w:pPr>
              <w:jc w:val="center"/>
              <w:ind w:right="360"/>
              <w:spacing w:after="0" w:line="141" w:lineRule="exact"/>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4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8"/>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w w:val="85"/>
              </w:rPr>
              <w:t>Class A</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Class B</w:t>
            </w: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gridSpan w:val="5"/>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4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5"/>
          </w:tcPr>
          <w:p>
            <w:pPr>
              <w:jc w:val="center"/>
              <w:spacing w:after="0" w:line="118" w:lineRule="exact"/>
              <w:rPr>
                <w:sz w:val="20"/>
                <w:szCs w:val="20"/>
                <w:color w:val="auto"/>
              </w:rPr>
            </w:pPr>
            <w:r>
              <w:rPr>
                <w:rFonts w:ascii="Arial" w:cs="Arial" w:eastAsia="Arial" w:hAnsi="Arial"/>
                <w:sz w:val="13"/>
                <w:szCs w:val="13"/>
                <w:b w:val="1"/>
                <w:bCs w:val="1"/>
                <w:color w:val="auto"/>
                <w:w w:val="95"/>
              </w:rPr>
              <w:t>Stock</w:t>
            </w: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3"/>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5"/>
            <w:vMerge w:val="continue"/>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4"/>
          </w:tcPr>
          <w:p>
            <w:pPr>
              <w:jc w:val="right"/>
              <w:ind w:right="181"/>
              <w:spacing w:after="0" w:line="118" w:lineRule="exact"/>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6"/>
          </w:tcPr>
          <w:p>
            <w:pPr>
              <w:jc w:val="center"/>
              <w:ind w:right="80"/>
              <w:spacing w:after="0" w:line="118" w:lineRule="exact"/>
              <w:rPr>
                <w:sz w:val="20"/>
                <w:szCs w:val="20"/>
                <w:color w:val="auto"/>
              </w:rPr>
            </w:pPr>
            <w:r>
              <w:rPr>
                <w:rFonts w:ascii="Arial" w:cs="Arial" w:eastAsia="Arial" w:hAnsi="Arial"/>
                <w:sz w:val="13"/>
                <w:szCs w:val="13"/>
                <w:b w:val="1"/>
                <w:bCs w:val="1"/>
                <w:color w:val="auto"/>
                <w:w w:val="94"/>
              </w:rPr>
              <w:t>Comprehensive</w:t>
            </w:r>
          </w:p>
        </w:tc>
        <w:tc>
          <w:tcPr>
            <w:tcW w:w="1060" w:type="dxa"/>
            <w:vAlign w:val="bottom"/>
            <w:gridSpan w:val="6"/>
          </w:tcPr>
          <w:p>
            <w:pPr>
              <w:ind w:left="80"/>
              <w:spacing w:after="0" w:line="118"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46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rPr>
              <w:t>Equit</w:t>
            </w:r>
          </w:p>
        </w:tc>
        <w:tc>
          <w:tcPr>
            <w:tcW w:w="0" w:type="dxa"/>
            <w:vAlign w:val="bottom"/>
          </w:tcPr>
          <w:p>
            <w:pPr>
              <w:spacing w:after="0"/>
              <w:rPr>
                <w:sz w:val="1"/>
                <w:szCs w:val="1"/>
                <w:color w:val="auto"/>
              </w:rPr>
            </w:pPr>
          </w:p>
        </w:tc>
      </w:tr>
      <w:tr>
        <w:trPr>
          <w:trHeight w:val="197"/>
        </w:trPr>
        <w:tc>
          <w:tcPr>
            <w:tcW w:w="460" w:type="dxa"/>
            <w:vAlign w:val="bottom"/>
          </w:tcPr>
          <w:p>
            <w:pPr>
              <w:spacing w:after="0"/>
              <w:rPr>
                <w:sz w:val="17"/>
                <w:szCs w:val="17"/>
                <w:color w:val="auto"/>
              </w:rPr>
            </w:pPr>
          </w:p>
        </w:tc>
        <w:tc>
          <w:tcPr>
            <w:tcW w:w="17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3"/>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4"/>
          </w:tcPr>
          <w:p>
            <w:pPr>
              <w:jc w:val="center"/>
              <w:ind w:right="157"/>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8"/>
              </w:rPr>
              <w:t>Deficit</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(Defici</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204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95"/>
              </w:rPr>
              <w:t>Balance as of December 31,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28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040" w:type="dxa"/>
            <w:vAlign w:val="bottom"/>
            <w:gridSpan w:val="4"/>
            <w:vMerge w:val="restart"/>
            <w:shd w:val="clear" w:color="auto" w:fill="CCEEFF"/>
          </w:tcPr>
          <w:p>
            <w:pPr>
              <w:jc w:val="right"/>
              <w:spacing w:after="0"/>
              <w:rPr>
                <w:sz w:val="20"/>
                <w:szCs w:val="20"/>
                <w:color w:val="auto"/>
              </w:rPr>
            </w:pPr>
            <w:r>
              <w:rPr>
                <w:rFonts w:ascii="Arial" w:cs="Arial" w:eastAsia="Arial" w:hAnsi="Arial"/>
                <w:sz w:val="17"/>
                <w:szCs w:val="17"/>
                <w:color w:val="auto"/>
                <w:w w:val="99"/>
              </w:rPr>
              <w:t>168,693,323</w:t>
            </w:r>
          </w:p>
        </w:tc>
        <w:tc>
          <w:tcPr>
            <w:tcW w:w="2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26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4"/>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3,482,226</w:t>
            </w:r>
          </w:p>
        </w:tc>
        <w:tc>
          <w:tcPr>
            <w:tcW w:w="340" w:type="dxa"/>
            <w:vAlign w:val="bottom"/>
            <w:gridSpan w:val="3"/>
            <w:vMerge w:val="restart"/>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720" w:type="dxa"/>
            <w:vAlign w:val="bottom"/>
            <w:gridSpan w:val="4"/>
            <w:vMerge w:val="restart"/>
            <w:shd w:val="clear" w:color="auto" w:fill="CCEEFF"/>
          </w:tcPr>
          <w:p>
            <w:pPr>
              <w:jc w:val="right"/>
              <w:spacing w:after="0"/>
              <w:rPr>
                <w:sz w:val="20"/>
                <w:szCs w:val="20"/>
                <w:color w:val="auto"/>
              </w:rPr>
            </w:pPr>
            <w:r>
              <w:rPr>
                <w:rFonts w:ascii="Arial" w:cs="Arial" w:eastAsia="Arial" w:hAnsi="Arial"/>
                <w:sz w:val="17"/>
                <w:szCs w:val="17"/>
                <w:color w:val="auto"/>
              </w:rPr>
              <w:t>(6,945)</w:t>
            </w:r>
          </w:p>
        </w:tc>
        <w:tc>
          <w:tcPr>
            <w:tcW w:w="80" w:type="dxa"/>
            <w:vAlign w:val="bottom"/>
            <w:shd w:val="clear" w:color="auto" w:fill="CCEEFF"/>
          </w:tcPr>
          <w:p>
            <w:pPr>
              <w:spacing w:after="0"/>
              <w:rPr>
                <w:sz w:val="12"/>
                <w:szCs w:val="12"/>
                <w:color w:val="auto"/>
              </w:rPr>
            </w:pPr>
          </w:p>
        </w:tc>
        <w:tc>
          <w:tcPr>
            <w:tcW w:w="980" w:type="dxa"/>
            <w:vAlign w:val="bottom"/>
            <w:gridSpan w:val="5"/>
            <w:vMerge w:val="restart"/>
            <w:shd w:val="clear" w:color="auto" w:fill="CCEEFF"/>
          </w:tcPr>
          <w:p>
            <w:pPr>
              <w:jc w:val="right"/>
              <w:spacing w:after="0"/>
              <w:rPr>
                <w:sz w:val="20"/>
                <w:szCs w:val="20"/>
                <w:color w:val="auto"/>
              </w:rPr>
            </w:pPr>
            <w:r>
              <w:rPr>
                <w:rFonts w:ascii="Arial" w:cs="Arial" w:eastAsia="Arial" w:hAnsi="Arial"/>
                <w:sz w:val="17"/>
                <w:szCs w:val="17"/>
                <w:color w:val="auto"/>
                <w:w w:val="90"/>
              </w:rPr>
              <w:t>$ (2,907,644)</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567,</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700" w:type="dxa"/>
            <w:vAlign w:val="bottom"/>
            <w:shd w:val="clear" w:color="auto" w:fill="CCEEFF"/>
          </w:tcPr>
          <w:p>
            <w:pPr>
              <w:ind w:left="160"/>
              <w:spacing w:after="0"/>
              <w:rPr>
                <w:sz w:val="20"/>
                <w:szCs w:val="20"/>
                <w:color w:val="auto"/>
              </w:rPr>
            </w:pPr>
            <w:r>
              <w:rPr>
                <w:rFonts w:ascii="Arial" w:cs="Arial" w:eastAsia="Arial" w:hAnsi="Arial"/>
                <w:sz w:val="16"/>
                <w:szCs w:val="16"/>
                <w:b w:val="1"/>
                <w:bCs w:val="1"/>
                <w:color w:val="auto"/>
              </w:rPr>
              <w:t>2021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gridSpan w:val="2"/>
            <w:shd w:val="clear" w:color="auto" w:fill="CCEEFF"/>
          </w:tcPr>
          <w:p>
            <w:pPr>
              <w:spacing w:after="0"/>
              <w:rPr>
                <w:sz w:val="18"/>
                <w:szCs w:val="18"/>
                <w:color w:val="auto"/>
              </w:rPr>
            </w:pPr>
          </w:p>
        </w:tc>
        <w:tc>
          <w:tcPr>
            <w:tcW w:w="1040" w:type="dxa"/>
            <w:vAlign w:val="bottom"/>
            <w:gridSpan w:val="4"/>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gridSpan w:val="4"/>
            <w:vMerge w:val="continue"/>
            <w:shd w:val="clear" w:color="auto" w:fill="CCEEFF"/>
          </w:tcPr>
          <w:p>
            <w:pPr>
              <w:spacing w:after="0"/>
              <w:rPr>
                <w:sz w:val="18"/>
                <w:szCs w:val="18"/>
                <w:color w:val="auto"/>
              </w:rPr>
            </w:pPr>
          </w:p>
        </w:tc>
        <w:tc>
          <w:tcPr>
            <w:tcW w:w="340" w:type="dxa"/>
            <w:vAlign w:val="bottom"/>
            <w:gridSpan w:val="3"/>
            <w:vMerge w:val="continue"/>
            <w:shd w:val="clear" w:color="auto" w:fill="CCEEFF"/>
          </w:tcPr>
          <w:p>
            <w:pPr>
              <w:spacing w:after="0"/>
              <w:rPr>
                <w:sz w:val="18"/>
                <w:szCs w:val="18"/>
                <w:color w:val="auto"/>
              </w:rPr>
            </w:pPr>
          </w:p>
        </w:tc>
        <w:tc>
          <w:tcPr>
            <w:tcW w:w="720" w:type="dxa"/>
            <w:vAlign w:val="bottom"/>
            <w:gridSpan w:val="4"/>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5"/>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2040" w:type="dxa"/>
            <w:vAlign w:val="bottom"/>
            <w:gridSpan w:val="2"/>
          </w:tcPr>
          <w:p>
            <w:pPr>
              <w:spacing w:after="0" w:line="161" w:lineRule="exact"/>
              <w:rPr>
                <w:sz w:val="20"/>
                <w:szCs w:val="20"/>
                <w:color w:val="auto"/>
              </w:rPr>
            </w:pPr>
            <w:r>
              <w:rPr>
                <w:rFonts w:ascii="Arial" w:cs="Arial" w:eastAsia="Arial" w:hAnsi="Arial"/>
                <w:sz w:val="16"/>
                <w:szCs w:val="16"/>
                <w:color w:val="auto"/>
                <w:w w:val="91"/>
              </w:rPr>
              <w:t>Reclassification of obligation to</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2040" w:type="dxa"/>
            <w:vAlign w:val="bottom"/>
            <w:gridSpan w:val="2"/>
          </w:tcPr>
          <w:p>
            <w:pPr>
              <w:ind w:left="160"/>
              <w:spacing w:after="0" w:line="158" w:lineRule="exact"/>
              <w:rPr>
                <w:sz w:val="20"/>
                <w:szCs w:val="20"/>
                <w:color w:val="auto"/>
              </w:rPr>
            </w:pPr>
            <w:r>
              <w:rPr>
                <w:rFonts w:ascii="Arial" w:cs="Arial" w:eastAsia="Arial" w:hAnsi="Arial"/>
                <w:sz w:val="16"/>
                <w:szCs w:val="16"/>
                <w:color w:val="auto"/>
              </w:rPr>
              <w:t>issue registered shares of</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2040" w:type="dxa"/>
            <w:vAlign w:val="bottom"/>
            <w:gridSpan w:val="2"/>
          </w:tcPr>
          <w:p>
            <w:pPr>
              <w:ind w:left="160"/>
              <w:spacing w:after="0" w:line="158" w:lineRule="exact"/>
              <w:rPr>
                <w:sz w:val="20"/>
                <w:szCs w:val="20"/>
                <w:color w:val="auto"/>
              </w:rPr>
            </w:pPr>
            <w:r>
              <w:rPr>
                <w:rFonts w:ascii="Arial" w:cs="Arial" w:eastAsia="Arial" w:hAnsi="Arial"/>
                <w:sz w:val="16"/>
                <w:szCs w:val="16"/>
                <w:color w:val="auto"/>
                <w:w w:val="88"/>
              </w:rPr>
              <w:t>Class A Common Stock upon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2040" w:type="dxa"/>
            <w:vAlign w:val="bottom"/>
            <w:gridSpan w:val="2"/>
          </w:tcPr>
          <w:p>
            <w:pPr>
              <w:ind w:left="160"/>
              <w:spacing w:after="0" w:line="158" w:lineRule="exact"/>
              <w:rPr>
                <w:sz w:val="20"/>
                <w:szCs w:val="20"/>
                <w:color w:val="auto"/>
              </w:rPr>
            </w:pPr>
            <w:r>
              <w:rPr>
                <w:rFonts w:ascii="Arial" w:cs="Arial" w:eastAsia="Arial" w:hAnsi="Arial"/>
                <w:sz w:val="16"/>
                <w:szCs w:val="16"/>
                <w:color w:val="auto"/>
              </w:rPr>
              <w:t>adoption of ASU 2020-06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vMerge w:val="restart"/>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5"/>
            <w:vMerge w:val="restart"/>
          </w:tcPr>
          <w:p>
            <w:pPr>
              <w:jc w:val="right"/>
              <w:spacing w:after="0"/>
              <w:rPr>
                <w:sz w:val="20"/>
                <w:szCs w:val="20"/>
                <w:color w:val="auto"/>
              </w:rPr>
            </w:pPr>
            <w:r>
              <w:rPr>
                <w:rFonts w:ascii="Arial" w:cs="Arial" w:eastAsia="Arial" w:hAnsi="Arial"/>
                <w:sz w:val="17"/>
                <w:szCs w:val="17"/>
                <w:color w:val="auto"/>
              </w:rPr>
              <w:t>32,900</w:t>
            </w: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980" w:type="dxa"/>
            <w:vAlign w:val="bottom"/>
            <w:gridSpan w:val="5"/>
            <w:vMerge w:val="restart"/>
          </w:tcPr>
          <w:p>
            <w:pPr>
              <w:jc w:val="right"/>
              <w:spacing w:after="0"/>
              <w:rPr>
                <w:sz w:val="20"/>
                <w:szCs w:val="20"/>
                <w:color w:val="auto"/>
              </w:rPr>
            </w:pPr>
            <w:r>
              <w:rPr>
                <w:rFonts w:ascii="Arial" w:cs="Arial" w:eastAsia="Arial" w:hAnsi="Arial"/>
                <w:sz w:val="17"/>
                <w:szCs w:val="17"/>
                <w:color w:val="auto"/>
              </w:rPr>
              <w:t>(20,265)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color w:val="auto"/>
              </w:rPr>
              <w:t>(Note 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700" w:type="dxa"/>
            <w:vAlign w:val="bottom"/>
            <w:gridSpan w:val="5"/>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980" w:type="dxa"/>
            <w:vAlign w:val="bottom"/>
            <w:gridSpan w:val="5"/>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3"/>
                <w:szCs w:val="13"/>
                <w:color w:val="auto"/>
              </w:rPr>
            </w:pPr>
          </w:p>
        </w:tc>
        <w:tc>
          <w:tcPr>
            <w:tcW w:w="2040" w:type="dxa"/>
            <w:vAlign w:val="bottom"/>
            <w:gridSpan w:val="2"/>
            <w:shd w:val="clear" w:color="auto" w:fill="CCEEFF"/>
          </w:tcPr>
          <w:p>
            <w:pPr>
              <w:spacing w:after="0" w:line="161" w:lineRule="exact"/>
              <w:rPr>
                <w:sz w:val="20"/>
                <w:szCs w:val="20"/>
                <w:color w:val="auto"/>
              </w:rPr>
            </w:pPr>
            <w:r>
              <w:rPr>
                <w:rFonts w:ascii="Arial" w:cs="Arial" w:eastAsia="Arial" w:hAnsi="Arial"/>
                <w:sz w:val="16"/>
                <w:szCs w:val="16"/>
                <w:color w:val="auto"/>
              </w:rPr>
              <w:t>Reclassification of deferred</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2040" w:type="dxa"/>
            <w:vAlign w:val="bottom"/>
            <w:gridSpan w:val="2"/>
            <w:shd w:val="clear" w:color="auto" w:fill="CCEEFF"/>
          </w:tcPr>
          <w:p>
            <w:pPr>
              <w:ind w:left="160"/>
              <w:spacing w:after="0" w:line="158" w:lineRule="exact"/>
              <w:rPr>
                <w:sz w:val="20"/>
                <w:szCs w:val="20"/>
                <w:color w:val="auto"/>
              </w:rPr>
            </w:pPr>
            <w:r>
              <w:rPr>
                <w:rFonts w:ascii="Arial" w:cs="Arial" w:eastAsia="Arial" w:hAnsi="Arial"/>
                <w:sz w:val="16"/>
                <w:szCs w:val="16"/>
                <w:color w:val="auto"/>
                <w:w w:val="97"/>
              </w:rPr>
              <w:t>gain upon adoption of ASC</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3"/>
                <w:szCs w:val="13"/>
                <w:color w:val="auto"/>
              </w:rPr>
            </w:pPr>
          </w:p>
        </w:tc>
        <w:tc>
          <w:tcPr>
            <w:tcW w:w="480" w:type="dxa"/>
            <w:vAlign w:val="bottom"/>
            <w:gridSpan w:val="4"/>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3,393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17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842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80" w:type="dxa"/>
            <w:vAlign w:val="bottom"/>
            <w:gridSpan w:val="4"/>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60" w:type="dxa"/>
            <w:vAlign w:val="bottom"/>
          </w:tcPr>
          <w:p>
            <w:pPr>
              <w:spacing w:after="0"/>
              <w:rPr>
                <w:sz w:val="13"/>
                <w:szCs w:val="13"/>
                <w:color w:val="auto"/>
              </w:rPr>
            </w:pPr>
          </w:p>
        </w:tc>
        <w:tc>
          <w:tcPr>
            <w:tcW w:w="2040" w:type="dxa"/>
            <w:vAlign w:val="bottom"/>
            <w:gridSpan w:val="2"/>
          </w:tcPr>
          <w:p>
            <w:pPr>
              <w:spacing w:after="0" w:line="161" w:lineRule="exact"/>
              <w:rPr>
                <w:sz w:val="20"/>
                <w:szCs w:val="20"/>
                <w:color w:val="auto"/>
              </w:rPr>
            </w:pPr>
            <w:r>
              <w:rPr>
                <w:rFonts w:ascii="Arial" w:cs="Arial" w:eastAsia="Arial" w:hAnsi="Arial"/>
                <w:sz w:val="16"/>
                <w:szCs w:val="16"/>
                <w:color w:val="auto"/>
                <w:w w:val="92"/>
              </w:rPr>
              <w:t>Issuance of shares pursuant to</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2040" w:type="dxa"/>
            <w:vAlign w:val="bottom"/>
            <w:gridSpan w:val="2"/>
          </w:tcPr>
          <w:p>
            <w:pPr>
              <w:ind w:left="160"/>
              <w:spacing w:after="0" w:line="158" w:lineRule="exact"/>
              <w:rPr>
                <w:sz w:val="20"/>
                <w:szCs w:val="20"/>
                <w:color w:val="auto"/>
              </w:rPr>
            </w:pPr>
            <w:r>
              <w:rPr>
                <w:rFonts w:ascii="Arial" w:cs="Arial" w:eastAsia="Arial" w:hAnsi="Arial"/>
                <w:sz w:val="16"/>
                <w:szCs w:val="16"/>
                <w:color w:val="auto"/>
              </w:rPr>
              <w:t>the commitment to issue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2040" w:type="dxa"/>
            <w:vAlign w:val="bottom"/>
            <w:gridSpan w:val="2"/>
          </w:tcPr>
          <w:p>
            <w:pPr>
              <w:ind w:left="160"/>
              <w:spacing w:after="0" w:line="158" w:lineRule="exact"/>
              <w:rPr>
                <w:sz w:val="20"/>
                <w:szCs w:val="20"/>
                <w:color w:val="auto"/>
              </w:rPr>
            </w:pPr>
            <w:r>
              <w:rPr>
                <w:rFonts w:ascii="Arial" w:cs="Arial" w:eastAsia="Arial" w:hAnsi="Arial"/>
                <w:sz w:val="16"/>
                <w:szCs w:val="16"/>
                <w:color w:val="auto"/>
              </w:rPr>
              <w:t>Class A and Class B</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vMerge w:val="restart"/>
          </w:tcPr>
          <w:p>
            <w:pPr>
              <w:ind w:lef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7"/>
                <w:szCs w:val="17"/>
                <w:color w:val="auto"/>
              </w:rPr>
              <w:t>68,887,416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3"/>
                <w:szCs w:val="13"/>
                <w:color w:val="auto"/>
              </w:rPr>
            </w:pPr>
          </w:p>
        </w:tc>
        <w:tc>
          <w:tcPr>
            <w:tcW w:w="960" w:type="dxa"/>
            <w:vAlign w:val="bottom"/>
            <w:gridSpan w:val="4"/>
            <w:vMerge w:val="restart"/>
          </w:tcPr>
          <w:p>
            <w:pPr>
              <w:jc w:val="right"/>
              <w:spacing w:after="0"/>
              <w:rPr>
                <w:sz w:val="20"/>
                <w:szCs w:val="20"/>
                <w:color w:val="auto"/>
              </w:rPr>
            </w:pPr>
            <w:r>
              <w:rPr>
                <w:rFonts w:ascii="Arial" w:cs="Arial" w:eastAsia="Arial" w:hAnsi="Arial"/>
                <w:sz w:val="17"/>
                <w:szCs w:val="17"/>
                <w:color w:val="auto"/>
              </w:rPr>
              <w:t>64,000,588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7"/>
                <w:szCs w:val="17"/>
                <w:color w:val="auto"/>
              </w:rPr>
              <w:t>(13)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color w:val="auto"/>
              </w:rPr>
              <w:t>Common Stock (Note 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20" w:type="dxa"/>
            <w:vAlign w:val="bottom"/>
            <w:tcBorders>
              <w:right w:val="single" w:sz="8" w:color="auto"/>
            </w:tcBorders>
            <w:gridSpan w:val="2"/>
          </w:tcPr>
          <w:p>
            <w:pPr>
              <w:spacing w:after="0"/>
              <w:rPr>
                <w:sz w:val="17"/>
                <w:szCs w:val="17"/>
                <w:color w:val="auto"/>
              </w:rPr>
            </w:pPr>
          </w:p>
        </w:tc>
        <w:tc>
          <w:tcPr>
            <w:tcW w:w="104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3"/>
              </w:rPr>
              <w:t>6,474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Arial" w:cs="Arial" w:eastAsia="Arial" w:hAnsi="Arial"/>
                <w:sz w:val="16"/>
                <w:szCs w:val="16"/>
                <w:color w:val="auto"/>
              </w:rPr>
              <w:t>Exercise of stock options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ind w:lef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gridSpan w:val="2"/>
          </w:tcPr>
          <w:p>
            <w:pPr>
              <w:spacing w:after="0"/>
              <w:rPr>
                <w:sz w:val="19"/>
                <w:szCs w:val="19"/>
                <w:color w:val="auto"/>
              </w:rPr>
            </w:pPr>
          </w:p>
        </w:tc>
        <w:tc>
          <w:tcPr>
            <w:tcW w:w="1040" w:type="dxa"/>
            <w:vAlign w:val="bottom"/>
            <w:gridSpan w:val="4"/>
          </w:tcPr>
          <w:p>
            <w:pPr>
              <w:jc w:val="right"/>
              <w:spacing w:after="0"/>
              <w:rPr>
                <w:sz w:val="20"/>
                <w:szCs w:val="20"/>
                <w:color w:val="auto"/>
              </w:rPr>
            </w:pPr>
            <w:r>
              <w:rPr>
                <w:rFonts w:ascii="Arial" w:cs="Arial" w:eastAsia="Arial" w:hAnsi="Arial"/>
                <w:sz w:val="17"/>
                <w:szCs w:val="17"/>
                <w:color w:val="auto"/>
              </w:rPr>
              <w:t>962,736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7"/>
                <w:szCs w:val="17"/>
                <w:color w:val="auto"/>
                <w:w w:val="93"/>
              </w:rPr>
              <w:t>2,354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3"/>
                <w:szCs w:val="13"/>
                <w:color w:val="auto"/>
              </w:rPr>
            </w:pPr>
          </w:p>
        </w:tc>
        <w:tc>
          <w:tcPr>
            <w:tcW w:w="2040" w:type="dxa"/>
            <w:vAlign w:val="bottom"/>
            <w:gridSpan w:val="2"/>
            <w:shd w:val="clear" w:color="auto" w:fill="CCEEFF"/>
          </w:tcPr>
          <w:p>
            <w:pPr>
              <w:spacing w:after="0" w:line="161" w:lineRule="exact"/>
              <w:rPr>
                <w:sz w:val="20"/>
                <w:szCs w:val="20"/>
                <w:color w:val="auto"/>
              </w:rPr>
            </w:pPr>
            <w:r>
              <w:rPr>
                <w:rFonts w:ascii="Arial" w:cs="Arial" w:eastAsia="Arial" w:hAnsi="Arial"/>
                <w:sz w:val="16"/>
                <w:szCs w:val="16"/>
                <w:color w:val="auto"/>
              </w:rPr>
              <w:t>Foreign currency translation</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3"/>
                <w:szCs w:val="13"/>
                <w:color w:val="auto"/>
              </w:rPr>
            </w:pPr>
          </w:p>
        </w:tc>
        <w:tc>
          <w:tcPr>
            <w:tcW w:w="10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60" w:type="dxa"/>
            <w:vAlign w:val="bottom"/>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3,684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w w:val="93"/>
              </w:rPr>
              <w:t>—</w:t>
            </w:r>
          </w:p>
        </w:tc>
        <w:tc>
          <w:tcPr>
            <w:tcW w:w="140" w:type="dxa"/>
            <w:vAlign w:val="bottom"/>
            <w:shd w:val="clear" w:color="auto" w:fill="CCEEFF"/>
          </w:tcPr>
          <w:p>
            <w:pPr>
              <w:spacing w:after="0"/>
              <w:rPr>
                <w:sz w:val="13"/>
                <w:szCs w:val="13"/>
                <w:color w:val="auto"/>
              </w:rPr>
            </w:pP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adjustment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204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loss</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(294,792)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(294,</w:t>
            </w:r>
          </w:p>
        </w:tc>
        <w:tc>
          <w:tcPr>
            <w:tcW w:w="0" w:type="dxa"/>
            <w:vAlign w:val="bottom"/>
          </w:tcPr>
          <w:p>
            <w:pPr>
              <w:spacing w:after="0"/>
              <w:rPr>
                <w:sz w:val="1"/>
                <w:szCs w:val="1"/>
                <w:color w:val="auto"/>
              </w:rPr>
            </w:pPr>
          </w:p>
        </w:tc>
      </w:tr>
      <w:tr>
        <w:trPr>
          <w:trHeight w:val="236"/>
        </w:trPr>
        <w:tc>
          <w:tcPr>
            <w:tcW w:w="460" w:type="dxa"/>
            <w:vAlign w:val="bottom"/>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5"/>
              </w:rPr>
              <w:t>Balance as of June 30, 2022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32,900</w:t>
            </w:r>
          </w:p>
        </w:tc>
        <w:tc>
          <w:tcPr>
            <w:tcW w:w="120" w:type="dxa"/>
            <w:vAlign w:val="bottom"/>
            <w:tcBorders>
              <w:right w:val="single" w:sz="8" w:color="auto"/>
            </w:tcBorders>
            <w:gridSpan w:val="2"/>
            <w:shd w:val="clear" w:color="auto" w:fill="CCEEFF"/>
          </w:tcPr>
          <w:p>
            <w:pPr>
              <w:spacing w:after="0"/>
              <w:rPr>
                <w:sz w:val="20"/>
                <w:szCs w:val="20"/>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9"/>
              </w:rPr>
              <w:t>238,543,475</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64,000,588</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w w:val="97"/>
              </w:rPr>
              <w:t>3,491,041</w:t>
            </w:r>
          </w:p>
        </w:tc>
        <w:tc>
          <w:tcPr>
            <w:tcW w:w="340" w:type="dxa"/>
            <w:vAlign w:val="bottom"/>
            <w:gridSpan w:val="3"/>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(3,261)</w:t>
            </w:r>
          </w:p>
        </w:tc>
        <w:tc>
          <w:tcPr>
            <w:tcW w:w="80" w:type="dxa"/>
            <w:vAlign w:val="bottom"/>
            <w:shd w:val="clear" w:color="auto" w:fill="CCEEFF"/>
          </w:tcPr>
          <w:p>
            <w:pPr>
              <w:spacing w:after="0"/>
              <w:rPr>
                <w:sz w:val="20"/>
                <w:szCs w:val="20"/>
                <w:color w:val="auto"/>
              </w:rPr>
            </w:pP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w w:val="90"/>
              </w:rPr>
              <w:t>$ (3,219,308)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271" w:right="239" w:bottom="1440" w:gutter="0" w:footer="0" w:header="0"/>
        </w:sectPr>
      </w:pPr>
    </w:p>
    <w:bookmarkStart w:id="6" w:name="page7"/>
    <w:bookmarkEnd w:id="6"/>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Condensed Consolidated Statements of Commitment to Issue Class A Common Stock and Stockholders’ Equity (Deficit)</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4"/>
          </w:tcPr>
          <w:p>
            <w:pPr>
              <w:ind w:left="6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Accumulated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36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40"/>
              <w:spacing w:after="0" w:line="144"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5"/>
                <w:szCs w:val="5"/>
                <w:color w:val="auto"/>
              </w:rPr>
            </w:pPr>
          </w:p>
        </w:tc>
        <w:tc>
          <w:tcPr>
            <w:tcW w:w="840" w:type="dxa"/>
            <w:vAlign w:val="bottom"/>
            <w:gridSpan w:val="2"/>
            <w:vMerge w:val="restart"/>
          </w:tcPr>
          <w:p>
            <w:pPr>
              <w:jc w:val="center"/>
              <w:ind w:right="320"/>
              <w:spacing w:after="0" w:line="144"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restart"/>
          </w:tcPr>
          <w:p>
            <w:pPr>
              <w:jc w:val="right"/>
              <w:ind w:right="235"/>
              <w:spacing w:after="0" w:line="144"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9"/>
        </w:trPr>
        <w:tc>
          <w:tcPr>
            <w:tcW w:w="3600" w:type="dxa"/>
            <w:vAlign w:val="bottom"/>
          </w:tcPr>
          <w:p>
            <w:pPr>
              <w:spacing w:after="0"/>
              <w:rPr>
                <w:sz w:val="5"/>
                <w:szCs w:val="5"/>
                <w:color w:val="auto"/>
              </w:rPr>
            </w:pPr>
          </w:p>
        </w:tc>
        <w:tc>
          <w:tcPr>
            <w:tcW w:w="120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Class A</w:t>
            </w: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restart"/>
          </w:tcPr>
          <w:p>
            <w:pPr>
              <w:jc w:val="right"/>
              <w:ind w:right="159"/>
              <w:spacing w:after="0"/>
              <w:rPr>
                <w:sz w:val="20"/>
                <w:szCs w:val="20"/>
                <w:color w:val="auto"/>
              </w:rPr>
            </w:pPr>
            <w:r>
              <w:rPr>
                <w:rFonts w:ascii="Arial" w:cs="Arial" w:eastAsia="Arial" w:hAnsi="Arial"/>
                <w:sz w:val="14"/>
                <w:szCs w:val="14"/>
                <w:b w:val="1"/>
                <w:bCs w:val="1"/>
                <w:color w:val="auto"/>
              </w:rPr>
              <w:t>Class B</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600" w:type="dxa"/>
            <w:vAlign w:val="bottom"/>
          </w:tcPr>
          <w:p>
            <w:pPr>
              <w:spacing w:after="0"/>
              <w:rPr>
                <w:sz w:val="10"/>
                <w:szCs w:val="10"/>
                <w:color w:val="auto"/>
              </w:rPr>
            </w:pPr>
          </w:p>
        </w:tc>
        <w:tc>
          <w:tcPr>
            <w:tcW w:w="1200" w:type="dxa"/>
            <w:vAlign w:val="bottom"/>
            <w:tcBorders>
              <w:bottom w:val="single" w:sz="8" w:color="auto"/>
            </w:tcBorders>
            <w:gridSpan w:val="3"/>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bottom w:val="single" w:sz="8" w:color="auto"/>
            </w:tcBorders>
            <w:gridSpan w:val="3"/>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4" w:lineRule="exact"/>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jc w:val="right"/>
              <w:ind w:right="100"/>
              <w:spacing w:after="0" w:line="124" w:lineRule="exact"/>
              <w:rPr>
                <w:sz w:val="20"/>
                <w:szCs w:val="20"/>
                <w:color w:val="auto"/>
              </w:rPr>
            </w:pPr>
            <w:r>
              <w:rPr>
                <w:rFonts w:ascii="Arial" w:cs="Arial" w:eastAsia="Arial" w:hAnsi="Arial"/>
                <w:sz w:val="14"/>
                <w:szCs w:val="14"/>
                <w:b w:val="1"/>
                <w:bCs w:val="1"/>
                <w:color w:val="auto"/>
                <w:w w:val="87"/>
              </w:rPr>
              <w:t>Comprehensive</w:t>
            </w:r>
          </w:p>
        </w:tc>
        <w:tc>
          <w:tcPr>
            <w:tcW w:w="1060" w:type="dxa"/>
            <w:vAlign w:val="bottom"/>
            <w:gridSpan w:val="2"/>
          </w:tcPr>
          <w:p>
            <w:pPr>
              <w:ind w:left="100"/>
              <w:spacing w:after="0" w:line="124"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2"/>
          </w:tcPr>
          <w:p>
            <w:pPr>
              <w:jc w:val="right"/>
              <w:spacing w:after="0" w:line="124"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90"/>
        </w:trPr>
        <w:tc>
          <w:tcPr>
            <w:tcW w:w="360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Loss</w:t>
            </w: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Deficit</w:t>
            </w: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Equity (Deficit)</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94,777,273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64,000,588</w:t>
            </w: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1,827,781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(5,466)</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 (2,466,664)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(644,334)</w:t>
            </w:r>
          </w:p>
        </w:tc>
        <w:tc>
          <w:tcPr>
            <w:tcW w:w="0" w:type="dxa"/>
            <w:vAlign w:val="bottom"/>
          </w:tcPr>
          <w:p>
            <w:pPr>
              <w:spacing w:after="0"/>
              <w:rPr>
                <w:sz w:val="1"/>
                <w:szCs w:val="1"/>
                <w:color w:val="auto"/>
              </w:rPr>
            </w:pPr>
          </w:p>
        </w:tc>
      </w:tr>
      <w:tr>
        <w:trPr>
          <w:trHeight w:val="160"/>
        </w:trPr>
        <w:tc>
          <w:tcPr>
            <w:tcW w:w="3600" w:type="dxa"/>
            <w:vAlign w:val="bottom"/>
          </w:tcPr>
          <w:p>
            <w:pPr>
              <w:ind w:left="20"/>
              <w:spacing w:after="0" w:line="161" w:lineRule="exact"/>
              <w:rPr>
                <w:sz w:val="20"/>
                <w:szCs w:val="20"/>
                <w:color w:val="auto"/>
              </w:rPr>
            </w:pPr>
            <w:r>
              <w:rPr>
                <w:rFonts w:ascii="Arial" w:cs="Arial" w:eastAsia="Arial" w:hAnsi="Arial"/>
                <w:sz w:val="16"/>
                <w:szCs w:val="16"/>
                <w:color w:val="auto"/>
                <w:w w:val="95"/>
              </w:rPr>
              <w:t>Conversion of related party notes payable to Class A</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10,888,580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3"/>
                <w:szCs w:val="13"/>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3"/>
                <w:szCs w:val="13"/>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134,358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7"/>
                <w:szCs w:val="17"/>
                <w:color w:val="auto"/>
              </w:rPr>
              <w:t>—</w:t>
            </w:r>
          </w:p>
        </w:tc>
        <w:tc>
          <w:tcPr>
            <w:tcW w:w="1060" w:type="dxa"/>
            <w:vAlign w:val="bottom"/>
            <w:gridSpan w:val="2"/>
            <w:vMerge w:val="restart"/>
          </w:tcPr>
          <w:p>
            <w:pPr>
              <w:ind w:left="7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134,359</w:t>
            </w:r>
          </w:p>
        </w:tc>
        <w:tc>
          <w:tcPr>
            <w:tcW w:w="0" w:type="dxa"/>
            <w:vAlign w:val="bottom"/>
          </w:tcPr>
          <w:p>
            <w:pPr>
              <w:spacing w:after="0"/>
              <w:rPr>
                <w:sz w:val="1"/>
                <w:szCs w:val="1"/>
                <w:color w:val="auto"/>
              </w:rPr>
            </w:pPr>
          </w:p>
        </w:tc>
      </w:tr>
      <w:tr>
        <w:trPr>
          <w:trHeight w:val="206"/>
        </w:trPr>
        <w:tc>
          <w:tcPr>
            <w:tcW w:w="360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948</w:t>
            </w:r>
          </w:p>
        </w:tc>
        <w:tc>
          <w:tcPr>
            <w:tcW w:w="0" w:type="dxa"/>
            <w:vAlign w:val="bottom"/>
          </w:tcPr>
          <w:p>
            <w:pPr>
              <w:spacing w:after="0"/>
              <w:rPr>
                <w:sz w:val="1"/>
                <w:szCs w:val="1"/>
                <w:color w:val="auto"/>
              </w:rPr>
            </w:pPr>
          </w:p>
        </w:tc>
      </w:tr>
      <w:tr>
        <w:trPr>
          <w:trHeight w:val="222"/>
        </w:trPr>
        <w:tc>
          <w:tcPr>
            <w:tcW w:w="360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960" w:type="dxa"/>
            <w:vAlign w:val="bottom"/>
          </w:tcPr>
          <w:p>
            <w:pPr>
              <w:jc w:val="right"/>
              <w:spacing w:after="0"/>
              <w:rPr>
                <w:sz w:val="20"/>
                <w:szCs w:val="20"/>
                <w:color w:val="auto"/>
              </w:rPr>
            </w:pPr>
            <w:r>
              <w:rPr>
                <w:rFonts w:ascii="Arial" w:cs="Arial" w:eastAsia="Arial" w:hAnsi="Arial"/>
                <w:sz w:val="17"/>
                <w:szCs w:val="17"/>
                <w:color w:val="auto"/>
              </w:rPr>
              <w:t>1,993,801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5,102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5,102</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warrants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5,125</w:t>
            </w:r>
          </w:p>
        </w:tc>
        <w:tc>
          <w:tcPr>
            <w:tcW w:w="0" w:type="dxa"/>
            <w:vAlign w:val="bottom"/>
          </w:tcPr>
          <w:p>
            <w:pPr>
              <w:spacing w:after="0"/>
              <w:rPr>
                <w:sz w:val="1"/>
                <w:szCs w:val="1"/>
                <w:color w:val="auto"/>
              </w:rPr>
            </w:pPr>
          </w:p>
        </w:tc>
      </w:tr>
      <w:tr>
        <w:trPr>
          <w:trHeight w:val="222"/>
        </w:trPr>
        <w:tc>
          <w:tcPr>
            <w:tcW w:w="3600" w:type="dxa"/>
            <w:vAlign w:val="bottom"/>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(1,184)</w:t>
            </w:r>
          </w:p>
        </w:tc>
        <w:tc>
          <w:tcPr>
            <w:tcW w:w="8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(1,184)</w:t>
            </w:r>
          </w:p>
        </w:tc>
        <w:tc>
          <w:tcPr>
            <w:tcW w:w="0" w:type="dxa"/>
            <w:vAlign w:val="bottom"/>
          </w:tcPr>
          <w:p>
            <w:pPr>
              <w:spacing w:after="0"/>
              <w:rPr>
                <w:sz w:val="1"/>
                <w:szCs w:val="1"/>
                <w:color w:val="auto"/>
              </w:rPr>
            </w:pPr>
          </w:p>
        </w:tc>
      </w:tr>
      <w:tr>
        <w:trPr>
          <w:trHeight w:val="223"/>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(52,775)</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107,659,654</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64,000,588</w:t>
            </w: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7"/>
                <w:szCs w:val="17"/>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1,973,314</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(6,650)</w:t>
            </w:r>
          </w:p>
        </w:tc>
        <w:tc>
          <w:tcPr>
            <w:tcW w:w="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0"/>
              </w:rPr>
              <w:t>$ (2,519,439)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(552,759)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4"/>
          </w:tcPr>
          <w:p>
            <w:pPr>
              <w:ind w:left="6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Accumulated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358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40"/>
              <w:spacing w:after="0" w:line="144"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5"/>
                <w:szCs w:val="5"/>
                <w:color w:val="auto"/>
              </w:rPr>
            </w:pPr>
          </w:p>
        </w:tc>
        <w:tc>
          <w:tcPr>
            <w:tcW w:w="860" w:type="dxa"/>
            <w:vAlign w:val="bottom"/>
            <w:gridSpan w:val="2"/>
            <w:vMerge w:val="restart"/>
          </w:tcPr>
          <w:p>
            <w:pPr>
              <w:jc w:val="center"/>
              <w:ind w:right="340"/>
              <w:spacing w:after="0" w:line="144" w:lineRule="exact"/>
              <w:rPr>
                <w:sz w:val="20"/>
                <w:szCs w:val="20"/>
                <w:color w:val="auto"/>
              </w:rPr>
            </w:pPr>
            <w:r>
              <w:rPr>
                <w:rFonts w:ascii="Arial" w:cs="Arial" w:eastAsia="Arial" w:hAnsi="Arial"/>
                <w:sz w:val="14"/>
                <w:szCs w:val="14"/>
                <w:b w:val="1"/>
                <w:bCs w:val="1"/>
                <w:color w:val="auto"/>
                <w:w w:val="96"/>
              </w:rPr>
              <w:t>Other</w:t>
            </w: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vMerge w:val="restart"/>
          </w:tcPr>
          <w:p>
            <w:pPr>
              <w:jc w:val="right"/>
              <w:spacing w:after="0" w:line="144"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2"/>
        </w:trPr>
        <w:tc>
          <w:tcPr>
            <w:tcW w:w="3580" w:type="dxa"/>
            <w:vAlign w:val="bottom"/>
          </w:tcPr>
          <w:p>
            <w:pPr>
              <w:spacing w:after="0"/>
              <w:rPr>
                <w:sz w:val="5"/>
                <w:szCs w:val="5"/>
                <w:color w:val="auto"/>
              </w:rPr>
            </w:pPr>
          </w:p>
        </w:tc>
        <w:tc>
          <w:tcPr>
            <w:tcW w:w="1200" w:type="dxa"/>
            <w:vAlign w:val="bottom"/>
            <w:gridSpan w:val="3"/>
            <w:vMerge w:val="restart"/>
          </w:tcPr>
          <w:p>
            <w:pPr>
              <w:jc w:val="right"/>
              <w:ind w:right="59"/>
              <w:spacing w:after="0"/>
              <w:rPr>
                <w:sz w:val="20"/>
                <w:szCs w:val="20"/>
                <w:color w:val="auto"/>
              </w:rPr>
            </w:pPr>
            <w:r>
              <w:rPr>
                <w:rFonts w:ascii="Arial" w:cs="Arial" w:eastAsia="Arial" w:hAnsi="Arial"/>
                <w:sz w:val="14"/>
                <w:szCs w:val="14"/>
                <w:b w:val="1"/>
                <w:bCs w:val="1"/>
                <w:color w:val="auto"/>
              </w:rPr>
              <w:t>Class A</w:t>
            </w: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restart"/>
          </w:tcPr>
          <w:p>
            <w:pPr>
              <w:jc w:val="right"/>
              <w:ind w:right="159"/>
              <w:spacing w:after="0"/>
              <w:rPr>
                <w:sz w:val="20"/>
                <w:szCs w:val="20"/>
                <w:color w:val="auto"/>
              </w:rPr>
            </w:pPr>
            <w:r>
              <w:rPr>
                <w:rFonts w:ascii="Arial" w:cs="Arial" w:eastAsia="Arial" w:hAnsi="Arial"/>
                <w:sz w:val="14"/>
                <w:szCs w:val="14"/>
                <w:b w:val="1"/>
                <w:bCs w:val="1"/>
                <w:color w:val="auto"/>
              </w:rPr>
              <w:t>Class B</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3580" w:type="dxa"/>
            <w:vAlign w:val="bottom"/>
          </w:tcPr>
          <w:p>
            <w:pPr>
              <w:spacing w:after="0"/>
              <w:rPr>
                <w:sz w:val="10"/>
                <w:szCs w:val="10"/>
                <w:color w:val="auto"/>
              </w:rPr>
            </w:pPr>
          </w:p>
        </w:tc>
        <w:tc>
          <w:tcPr>
            <w:tcW w:w="1200" w:type="dxa"/>
            <w:vAlign w:val="bottom"/>
            <w:tcBorders>
              <w:bottom w:val="single" w:sz="8" w:color="auto"/>
            </w:tcBorders>
            <w:gridSpan w:val="3"/>
            <w:vMerge w:val="continue"/>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bottom w:val="single" w:sz="8" w:color="auto"/>
            </w:tcBorders>
            <w:gridSpan w:val="3"/>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1" w:lineRule="exact"/>
              <w:rPr>
                <w:sz w:val="20"/>
                <w:szCs w:val="20"/>
                <w:color w:val="auto"/>
              </w:rPr>
            </w:pPr>
            <w:r>
              <w:rPr>
                <w:rFonts w:ascii="Arial" w:cs="Arial" w:eastAsia="Arial" w:hAnsi="Arial"/>
                <w:sz w:val="13"/>
                <w:szCs w:val="13"/>
                <w:b w:val="1"/>
                <w:bCs w:val="1"/>
                <w:color w:val="auto"/>
              </w:rPr>
              <w:t>Paid-in</w:t>
            </w:r>
          </w:p>
        </w:tc>
        <w:tc>
          <w:tcPr>
            <w:tcW w:w="1060" w:type="dxa"/>
            <w:vAlign w:val="bottom"/>
            <w:gridSpan w:val="3"/>
          </w:tcPr>
          <w:p>
            <w:pPr>
              <w:jc w:val="center"/>
              <w:ind w:right="100"/>
              <w:spacing w:after="0" w:line="121" w:lineRule="exact"/>
              <w:rPr>
                <w:sz w:val="20"/>
                <w:szCs w:val="20"/>
                <w:color w:val="auto"/>
              </w:rPr>
            </w:pPr>
            <w:r>
              <w:rPr>
                <w:rFonts w:ascii="Arial" w:cs="Arial" w:eastAsia="Arial" w:hAnsi="Arial"/>
                <w:sz w:val="13"/>
                <w:szCs w:val="13"/>
                <w:b w:val="1"/>
                <w:bCs w:val="1"/>
                <w:color w:val="auto"/>
                <w:w w:val="94"/>
              </w:rPr>
              <w:t>Comprehensive</w:t>
            </w:r>
          </w:p>
        </w:tc>
        <w:tc>
          <w:tcPr>
            <w:tcW w:w="1040" w:type="dxa"/>
            <w:vAlign w:val="bottom"/>
            <w:gridSpan w:val="2"/>
          </w:tcPr>
          <w:p>
            <w:pPr>
              <w:ind w:left="80"/>
              <w:spacing w:after="0" w:line="121" w:lineRule="exact"/>
              <w:rPr>
                <w:sz w:val="20"/>
                <w:szCs w:val="20"/>
                <w:color w:val="auto"/>
              </w:rPr>
            </w:pPr>
            <w:r>
              <w:rPr>
                <w:rFonts w:ascii="Arial" w:cs="Arial" w:eastAsia="Arial" w:hAnsi="Arial"/>
                <w:sz w:val="13"/>
                <w:szCs w:val="13"/>
                <w:b w:val="1"/>
                <w:bCs w:val="1"/>
                <w:color w:val="auto"/>
              </w:rPr>
              <w:t>Accumulated</w:t>
            </w:r>
          </w:p>
        </w:tc>
        <w:tc>
          <w:tcPr>
            <w:tcW w:w="620" w:type="dxa"/>
            <w:vAlign w:val="bottom"/>
            <w:gridSpan w:val="2"/>
          </w:tcPr>
          <w:p>
            <w:pPr>
              <w:jc w:val="right"/>
              <w:spacing w:after="0" w:line="121" w:lineRule="exact"/>
              <w:rPr>
                <w:sz w:val="20"/>
                <w:szCs w:val="20"/>
                <w:color w:val="auto"/>
              </w:rPr>
            </w:pPr>
            <w:r>
              <w:rPr>
                <w:rFonts w:ascii="Arial" w:cs="Arial" w:eastAsia="Arial" w:hAnsi="Arial"/>
                <w:sz w:val="13"/>
                <w:szCs w:val="13"/>
                <w:b w:val="1"/>
                <w:bCs w:val="1"/>
                <w:color w:val="auto"/>
              </w:rPr>
              <w:t>Stockhol</w:t>
            </w:r>
          </w:p>
        </w:tc>
        <w:tc>
          <w:tcPr>
            <w:tcW w:w="0" w:type="dxa"/>
            <w:vAlign w:val="bottom"/>
          </w:tcPr>
          <w:p>
            <w:pPr>
              <w:spacing w:after="0"/>
              <w:rPr>
                <w:sz w:val="1"/>
                <w:szCs w:val="1"/>
                <w:color w:val="auto"/>
              </w:rPr>
            </w:pPr>
          </w:p>
        </w:tc>
      </w:tr>
      <w:tr>
        <w:trPr>
          <w:trHeight w:val="191"/>
        </w:trPr>
        <w:tc>
          <w:tcPr>
            <w:tcW w:w="358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Deficit</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Equity (D</w:t>
            </w:r>
          </w:p>
        </w:tc>
        <w:tc>
          <w:tcPr>
            <w:tcW w:w="0" w:type="dxa"/>
            <w:vAlign w:val="bottom"/>
          </w:tcPr>
          <w:p>
            <w:pPr>
              <w:spacing w:after="0"/>
              <w:rPr>
                <w:sz w:val="1"/>
                <w:szCs w:val="1"/>
                <w:color w:val="auto"/>
              </w:rPr>
            </w:pPr>
          </w:p>
        </w:tc>
      </w:tr>
      <w:tr>
        <w:trPr>
          <w:trHeight w:val="221"/>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93,099,596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64,000,588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1,817,760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(5,974)</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(2,391,139)</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160"/>
        </w:trPr>
        <w:tc>
          <w:tcPr>
            <w:tcW w:w="3580" w:type="dxa"/>
            <w:vAlign w:val="bottom"/>
          </w:tcPr>
          <w:p>
            <w:pPr>
              <w:spacing w:after="0" w:line="161" w:lineRule="exact"/>
              <w:rPr>
                <w:sz w:val="20"/>
                <w:szCs w:val="20"/>
                <w:color w:val="auto"/>
              </w:rPr>
            </w:pPr>
            <w:r>
              <w:rPr>
                <w:rFonts w:ascii="Arial" w:cs="Arial" w:eastAsia="Arial" w:hAnsi="Arial"/>
                <w:sz w:val="16"/>
                <w:szCs w:val="16"/>
                <w:color w:val="auto"/>
                <w:w w:val="95"/>
              </w:rPr>
              <w:t>Conversion of related party notes payable to Class A</w:t>
            </w: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10,888,580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134,358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6"/>
        </w:trPr>
        <w:tc>
          <w:tcPr>
            <w:tcW w:w="3580" w:type="dxa"/>
            <w:vAlign w:val="bottom"/>
          </w:tcPr>
          <w:p>
            <w:pPr>
              <w:ind w:left="160"/>
              <w:spacing w:after="0"/>
              <w:rPr>
                <w:sz w:val="20"/>
                <w:szCs w:val="20"/>
                <w:color w:val="auto"/>
              </w:rPr>
            </w:pPr>
            <w:r>
              <w:rPr>
                <w:rFonts w:ascii="Arial" w:cs="Arial" w:eastAsia="Arial" w:hAnsi="Arial"/>
                <w:sz w:val="16"/>
                <w:szCs w:val="16"/>
                <w:color w:val="auto"/>
              </w:rPr>
              <w:t>Common Stock</w:t>
            </w:r>
          </w:p>
        </w:tc>
        <w:tc>
          <w:tcPr>
            <w:tcW w:w="9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Conversion of The9 Conditional Obligation</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423,053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3,248,425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6"/>
                <w:szCs w:val="16"/>
                <w:color w:val="auto"/>
              </w:rPr>
              <w:t>Issuance of warrants</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7,113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040" w:type="dxa"/>
            <w:vAlign w:val="bottom"/>
            <w:gridSpan w:val="2"/>
          </w:tcPr>
          <w:p>
            <w:pPr>
              <w:ind w:left="7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adjustment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58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(128,300)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41"/>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June 30,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107,659,654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64,000,588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w w:val="84"/>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1,973,314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 (2,519,439)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271" w:right="239" w:bottom="1440" w:gutter="0" w:footer="0" w:header="0"/>
        </w:sectPr>
      </w:pPr>
    </w:p>
    <w:bookmarkStart w:id="7" w:name="page8"/>
    <w:bookmarkEnd w:id="7"/>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7"/>
          <w:szCs w:val="17"/>
          <w:b w:val="1"/>
          <w:bCs w:val="1"/>
          <w:i w:val="1"/>
          <w:iCs w:val="1"/>
          <w:color w:val="auto"/>
        </w:rPr>
        <w:t>n thousands</w:t>
      </w:r>
      <w:r>
        <w:rPr>
          <w:rFonts w:ascii="Arial" w:cs="Arial" w:eastAsia="Arial" w:hAnsi="Arial"/>
          <w:sz w:val="17"/>
          <w:szCs w:val="17"/>
          <w:b w:val="1"/>
          <w:bCs w:val="1"/>
          <w:color w:val="auto"/>
        </w:rPr>
        <w: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8280"/>
        <w:spacing w:after="0"/>
        <w:rPr>
          <w:sz w:val="20"/>
          <w:szCs w:val="20"/>
          <w:color w:val="auto"/>
        </w:rPr>
      </w:pPr>
      <w:r>
        <w:rPr>
          <w:rFonts w:ascii="Arial" w:cs="Arial" w:eastAsia="Arial" w:hAnsi="Arial"/>
          <w:sz w:val="17"/>
          <w:szCs w:val="17"/>
          <w:b w:val="1"/>
          <w:bCs w:val="1"/>
          <w:color w:val="auto"/>
        </w:rPr>
        <w:t>Six Months Ended</w:t>
      </w:r>
    </w:p>
    <w:p>
      <w:pPr>
        <w:spacing w:after="0" w:line="8" w:lineRule="exact"/>
        <w:rPr>
          <w:sz w:val="20"/>
          <w:szCs w:val="20"/>
          <w:color w:val="auto"/>
        </w:rPr>
      </w:pPr>
    </w:p>
    <w:p>
      <w:pPr>
        <w:jc w:val="center"/>
        <w:ind w:left="8280"/>
        <w:spacing w:after="0"/>
        <w:rPr>
          <w:sz w:val="20"/>
          <w:szCs w:val="20"/>
          <w:color w:val="auto"/>
        </w:rPr>
      </w:pPr>
      <w:r>
        <w:rPr>
          <w:rFonts w:ascii="Arial" w:cs="Arial" w:eastAsia="Arial" w:hAnsi="Arial"/>
          <w:sz w:val="17"/>
          <w:szCs w:val="17"/>
          <w:b w:val="1"/>
          <w:bCs w:val="1"/>
          <w:color w:val="auto"/>
        </w:rPr>
        <w:t>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9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(294,792)</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(128,300)</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2,047</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3,468</w:t>
            </w:r>
          </w:p>
        </w:tc>
        <w:tc>
          <w:tcPr>
            <w:tcW w:w="0" w:type="dxa"/>
            <w:vAlign w:val="bottom"/>
          </w:tcPr>
          <w:p>
            <w:pPr>
              <w:spacing w:after="0"/>
              <w:rPr>
                <w:sz w:val="1"/>
                <w:szCs w:val="1"/>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Loss on disposal of property and equipment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647</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fair value measurements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37,647</w:t>
            </w:r>
          </w:p>
        </w:tc>
        <w:tc>
          <w:tcPr>
            <w:tcW w:w="0" w:type="dxa"/>
            <w:vAlign w:val="bottom"/>
          </w:tcPr>
          <w:p>
            <w:pPr>
              <w:spacing w:after="0"/>
              <w:rPr>
                <w:sz w:val="1"/>
                <w:szCs w:val="1"/>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Loss (gain) on foreign exchange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2,484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(1,823)</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(gain) on forgiveness of accounts payable and deposits,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0" w:type="dxa"/>
            <w:vAlign w:val="bottom"/>
          </w:tcPr>
          <w:p>
            <w:pPr>
              <w:spacing w:after="0"/>
              <w:rPr>
                <w:sz w:val="1"/>
                <w:szCs w:val="1"/>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Non-cash interest expense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37,938</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on extinguishment of related party notes payable, notes payable and vendor payables in trust, net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0" w:type="dxa"/>
            <w:vAlign w:val="bottom"/>
          </w:tcPr>
          <w:p>
            <w:pPr>
              <w:spacing w:after="0"/>
              <w:rPr>
                <w:sz w:val="1"/>
                <w:szCs w:val="1"/>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Gain on forgiveness of vendor payables in trust</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26"/>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830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Deposits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Other current and other non-current assets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(15,206)</w:t>
            </w:r>
          </w:p>
        </w:tc>
        <w:tc>
          <w:tcPr>
            <w:tcW w:w="0" w:type="dxa"/>
            <w:vAlign w:val="bottom"/>
          </w:tcPr>
          <w:p>
            <w:pPr>
              <w:spacing w:after="0"/>
              <w:rPr>
                <w:sz w:val="1"/>
                <w:szCs w:val="1"/>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12,785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11,510</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Accrued interest expense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3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(235,104)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(52,311)</w:t>
            </w:r>
          </w:p>
        </w:tc>
        <w:tc>
          <w:tcPr>
            <w:tcW w:w="0" w:type="dxa"/>
            <w:vAlign w:val="bottom"/>
          </w:tcPr>
          <w:p>
            <w:pPr>
              <w:spacing w:after="0"/>
              <w:rPr>
                <w:sz w:val="1"/>
                <w:szCs w:val="1"/>
                <w:color w:val="auto"/>
              </w:rPr>
            </w:pPr>
          </w:p>
        </w:tc>
      </w:tr>
      <w:tr>
        <w:trPr>
          <w:trHeight w:val="187"/>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for property and equipment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(90,234)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199"/>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(90,234)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w:t>
            </w:r>
          </w:p>
        </w:tc>
        <w:tc>
          <w:tcPr>
            <w:tcW w:w="0" w:type="dxa"/>
            <w:vAlign w:val="bottom"/>
          </w:tcPr>
          <w:p>
            <w:pPr>
              <w:spacing w:after="0"/>
              <w:rPr>
                <w:sz w:val="1"/>
                <w:szCs w:val="1"/>
                <w:color w:val="auto"/>
              </w:rPr>
            </w:pPr>
          </w:p>
        </w:tc>
      </w:tr>
      <w:tr>
        <w:trPr>
          <w:trHeight w:val="19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Proceeds from related party notes payable</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notes payable, net of original issuance discount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111,740</w:t>
            </w:r>
          </w:p>
        </w:tc>
        <w:tc>
          <w:tcPr>
            <w:tcW w:w="0" w:type="dxa"/>
            <w:vAlign w:val="bottom"/>
          </w:tcPr>
          <w:p>
            <w:pPr>
              <w:spacing w:after="0"/>
              <w:rPr>
                <w:sz w:val="1"/>
                <w:szCs w:val="1"/>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Payments of related party notes payable</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(1,528)</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of notes payable, including Payment Premium</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Payments of notes payable issuance costs</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(3,355)</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of finance lease obligations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0" w:type="dxa"/>
            <w:vAlign w:val="bottom"/>
          </w:tcPr>
          <w:p>
            <w:pPr>
              <w:spacing w:after="0"/>
              <w:rPr>
                <w:sz w:val="1"/>
                <w:szCs w:val="1"/>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Proceeds from exercise of stock options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7,751</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Payments of stock issuance costs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199"/>
        </w:trPr>
        <w:tc>
          <w:tcPr>
            <w:tcW w:w="83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(85,840)</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111,525</w:t>
            </w:r>
          </w:p>
        </w:tc>
        <w:tc>
          <w:tcPr>
            <w:tcW w:w="0" w:type="dxa"/>
            <w:vAlign w:val="bottom"/>
          </w:tcPr>
          <w:p>
            <w:pPr>
              <w:spacing w:after="0"/>
              <w:rPr>
                <w:sz w:val="1"/>
                <w:szCs w:val="1"/>
                <w:color w:val="auto"/>
              </w:rPr>
            </w:pPr>
          </w:p>
        </w:tc>
      </w:tr>
      <w:tr>
        <w:trPr>
          <w:trHeight w:val="206"/>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Effect of exchange rate changes on cash and restricted cash</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199"/>
        </w:trPr>
        <w:tc>
          <w:tcPr>
            <w:tcW w:w="8300" w:type="dxa"/>
            <w:vAlign w:val="bottom"/>
          </w:tcPr>
          <w:p>
            <w:pPr>
              <w:ind w:left="340"/>
              <w:spacing w:after="0"/>
              <w:rPr>
                <w:sz w:val="20"/>
                <w:szCs w:val="20"/>
                <w:color w:val="auto"/>
              </w:rPr>
            </w:pPr>
            <w:r>
              <w:rPr>
                <w:rFonts w:ascii="Arial" w:cs="Arial" w:eastAsia="Arial" w:hAnsi="Arial"/>
                <w:sz w:val="16"/>
                <w:szCs w:val="16"/>
                <w:color w:val="auto"/>
              </w:rPr>
              <w:t>Net (decrease) increase in cash and restricted cash</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(408,943)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56,421</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restricted cash,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530,477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206"/>
        </w:trPr>
        <w:tc>
          <w:tcPr>
            <w:tcW w:w="8300" w:type="dxa"/>
            <w:vAlign w:val="bottom"/>
          </w:tcPr>
          <w:p>
            <w:pPr>
              <w:ind w:left="340"/>
              <w:spacing w:after="0"/>
              <w:rPr>
                <w:sz w:val="20"/>
                <w:szCs w:val="20"/>
                <w:color w:val="auto"/>
              </w:rPr>
            </w:pPr>
            <w:r>
              <w:rPr>
                <w:rFonts w:ascii="Arial" w:cs="Arial" w:eastAsia="Arial" w:hAnsi="Arial"/>
                <w:sz w:val="16"/>
                <w:szCs w:val="16"/>
                <w:color w:val="auto"/>
              </w:rPr>
              <w:t>Cash and restricted cash, end of period</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121,534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58,248</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5800"/>
              <w:spacing w:after="0"/>
              <w:rPr>
                <w:sz w:val="20"/>
                <w:szCs w:val="20"/>
                <w:color w:val="auto"/>
              </w:rPr>
            </w:pPr>
            <w:r>
              <w:rPr>
                <w:rFonts w:ascii="Arial" w:cs="Arial" w:eastAsia="Arial" w:hAnsi="Arial"/>
                <w:sz w:val="17"/>
                <w:szCs w:val="17"/>
                <w:color w:val="auto"/>
              </w:rPr>
              <w:t>7</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0"/>
        </w:trPr>
        <w:tc>
          <w:tcPr>
            <w:tcW w:w="83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83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8" w:name="page9"/>
    <w:bookmarkEnd w:id="8"/>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7"/>
          <w:szCs w:val="17"/>
          <w:b w:val="1"/>
          <w:bCs w:val="1"/>
          <w:i w:val="1"/>
          <w:iCs w:val="1"/>
          <w:color w:val="auto"/>
        </w:rPr>
        <w:t>n thousands</w:t>
      </w:r>
      <w:r>
        <w:rPr>
          <w:rFonts w:ascii="Arial" w:cs="Arial" w:eastAsia="Arial" w:hAnsi="Arial"/>
          <w:sz w:val="17"/>
          <w:szCs w:val="17"/>
          <w:b w:val="1"/>
          <w:bCs w:val="1"/>
          <w:color w:val="auto"/>
        </w:rPr>
        <w: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color w:val="auto"/>
        </w:rPr>
        <w:t>The following table provides a reconciliation of cash and restricted cash reported within the Condensed Consolidated Balance Sheets that aggregate to the total of the same such amounts shown in the Condensed Consolidated Statements of Cash Flows:</w:t>
      </w:r>
    </w:p>
    <w:p>
      <w:pPr>
        <w:spacing w:after="0" w:line="121" w:lineRule="exact"/>
        <w:rPr>
          <w:sz w:val="20"/>
          <w:szCs w:val="20"/>
          <w:color w:val="auto"/>
        </w:rPr>
      </w:pPr>
    </w:p>
    <w:p>
      <w:pPr>
        <w:jc w:val="center"/>
        <w:ind w:left="8280"/>
        <w:spacing w:after="0"/>
        <w:rPr>
          <w:sz w:val="20"/>
          <w:szCs w:val="20"/>
          <w:color w:val="auto"/>
        </w:rPr>
      </w:pPr>
      <w:r>
        <w:rPr>
          <w:rFonts w:ascii="Arial" w:cs="Arial" w:eastAsia="Arial" w:hAnsi="Arial"/>
          <w:sz w:val="17"/>
          <w:szCs w:val="17"/>
          <w:b w:val="1"/>
          <w:bCs w:val="1"/>
          <w:color w:val="auto"/>
        </w:rPr>
        <w:t>Six Months Ended</w:t>
      </w:r>
    </w:p>
    <w:p>
      <w:pPr>
        <w:jc w:val="center"/>
        <w:ind w:left="8280"/>
        <w:spacing w:after="0"/>
        <w:rPr>
          <w:sz w:val="20"/>
          <w:szCs w:val="20"/>
          <w:color w:val="auto"/>
        </w:rPr>
      </w:pPr>
      <w:r>
        <w:rPr>
          <w:rFonts w:ascii="Arial" w:cs="Arial" w:eastAsia="Arial" w:hAnsi="Arial"/>
          <w:sz w:val="17"/>
          <w:szCs w:val="17"/>
          <w:b w:val="1"/>
          <w:bCs w:val="1"/>
          <w:color w:val="auto"/>
        </w:rPr>
        <w:t>June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7"/>
                <w:szCs w:val="17"/>
                <w:b w:val="1"/>
                <w:bCs w:val="1"/>
                <w:color w:val="auto"/>
              </w:rPr>
              <w:t>2021</w:t>
            </w:r>
          </w:p>
        </w:tc>
      </w:tr>
      <w:tr>
        <w:trPr>
          <w:trHeight w:val="203"/>
        </w:trPr>
        <w:tc>
          <w:tcPr>
            <w:tcW w:w="8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w:t>
            </w:r>
          </w:p>
        </w:tc>
      </w:tr>
      <w:tr>
        <w:trPr>
          <w:trHeight w:val="206"/>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25,386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cash and restricted cash, beginning of period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530,477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1,827</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8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8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52,527</w:t>
            </w:r>
          </w:p>
        </w:tc>
      </w:tr>
      <w:tr>
        <w:trPr>
          <w:trHeight w:val="206"/>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5,721</w:t>
            </w: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cash and restricted cash, end of period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121,534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58,248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8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6"/>
        </w:trPr>
        <w:tc>
          <w:tcPr>
            <w:tcW w:w="8300" w:type="dxa"/>
            <w:vAlign w:val="bottom"/>
          </w:tcPr>
          <w:p>
            <w:pPr>
              <w:ind w:left="20"/>
              <w:spacing w:after="0"/>
              <w:rPr>
                <w:sz w:val="20"/>
                <w:szCs w:val="20"/>
                <w:color w:val="auto"/>
              </w:rPr>
            </w:pPr>
            <w:r>
              <w:rPr>
                <w:rFonts w:ascii="Arial" w:cs="Arial" w:eastAsia="Arial" w:hAnsi="Arial"/>
                <w:sz w:val="16"/>
                <w:szCs w:val="16"/>
                <w:color w:val="auto"/>
              </w:rPr>
              <w:t>Recognition of operating right of use assets and lease liabilities for new leases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9,991</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of property and equipment included in accounts payable and accrued expenses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w:t>
            </w:r>
          </w:p>
        </w:tc>
      </w:tr>
      <w:tr>
        <w:trPr>
          <w:trHeight w:val="206"/>
        </w:trPr>
        <w:tc>
          <w:tcPr>
            <w:tcW w:w="8300" w:type="dxa"/>
            <w:vAlign w:val="bottom"/>
          </w:tcPr>
          <w:p>
            <w:pPr>
              <w:ind w:left="20"/>
              <w:spacing w:after="0"/>
              <w:rPr>
                <w:sz w:val="20"/>
                <w:szCs w:val="20"/>
                <w:color w:val="auto"/>
              </w:rPr>
            </w:pPr>
            <w:r>
              <w:rPr>
                <w:rFonts w:ascii="Arial" w:cs="Arial" w:eastAsia="Arial" w:hAnsi="Arial"/>
                <w:sz w:val="16"/>
                <w:szCs w:val="16"/>
                <w:color w:val="auto"/>
              </w:rPr>
              <w:t>Conversion of The9 Conditional Obligation to equity</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2,863</w:t>
            </w: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of related party notes payable and related party accrued interest to Class A common stock</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134,359</w:t>
            </w:r>
          </w:p>
        </w:tc>
      </w:tr>
      <w:tr>
        <w:trPr>
          <w:trHeight w:val="262"/>
        </w:trPr>
        <w:tc>
          <w:tcPr>
            <w:tcW w:w="8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0"/>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830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12,937</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6,584</w:t>
            </w:r>
          </w:p>
        </w:tc>
      </w:tr>
    </w:tbl>
    <w:p>
      <w:pPr>
        <w:spacing w:after="0" w:line="217"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9" w:name="page10"/>
    <w:bookmarkEnd w:id="9"/>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Nature of Business and Organization and Basis of Presentation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Nature of Business and Organization</w:t>
      </w:r>
    </w:p>
    <w:p>
      <w:pPr>
        <w:spacing w:after="0" w:line="171" w:lineRule="exact"/>
        <w:rPr>
          <w:sz w:val="20"/>
          <w:szCs w:val="20"/>
          <w:color w:val="auto"/>
        </w:rPr>
      </w:pPr>
    </w:p>
    <w:p>
      <w:pPr>
        <w:ind w:right="400" w:firstLine="440"/>
        <w:spacing w:after="0" w:line="273" w:lineRule="auto"/>
        <w:rPr>
          <w:sz w:val="20"/>
          <w:szCs w:val="20"/>
          <w:color w:val="auto"/>
        </w:rPr>
      </w:pPr>
      <w:r>
        <w:rPr>
          <w:rFonts w:ascii="Arial" w:cs="Arial" w:eastAsia="Arial" w:hAnsi="Arial"/>
          <w:sz w:val="17"/>
          <w:szCs w:val="17"/>
          <w:color w:val="auto"/>
        </w:rPr>
        <w:t>Faraday Future Intelligent Electric Inc. (the “Company” or “FF”), a holding company incorporated in the State of Delaware on February 11, 2020, conducts its operations through the subsidiaries of FF Intelligent Mobility Global Holdings Ltd. (“Legacy FF”), founded in 2014 and headquartered in Los Angeles, California.</w:t>
      </w:r>
    </w:p>
    <w:p>
      <w:pPr>
        <w:spacing w:after="0" w:line="119" w:lineRule="exact"/>
        <w:rPr>
          <w:sz w:val="20"/>
          <w:szCs w:val="20"/>
          <w:color w:val="auto"/>
        </w:rPr>
      </w:pPr>
    </w:p>
    <w:p>
      <w:pPr>
        <w:ind w:firstLine="440"/>
        <w:spacing w:after="0" w:line="305" w:lineRule="auto"/>
        <w:rPr>
          <w:sz w:val="20"/>
          <w:szCs w:val="20"/>
          <w:color w:val="auto"/>
        </w:rPr>
      </w:pPr>
      <w:r>
        <w:rPr>
          <w:rFonts w:ascii="Arial" w:cs="Arial" w:eastAsia="Arial" w:hAnsi="Arial"/>
          <w:sz w:val="15"/>
          <w:szCs w:val="15"/>
          <w:color w:val="auto"/>
        </w:rPr>
        <w:t>On July 21, 2021 (the “Closing”), the Company consummated a business combination pursuant to an Agreement and Plan of Merger dated January 27, 2021, by and among Property Solutions Acquisition Corp (“PSAC”). and Legacy FF (the “Business Combination”). Upon the consummation of the Business Combination (the “Closing”), PSAC changed its name from “Property Solutions Acquisition Corp.” to “Faraday Future Intelligent Electric Inc.” Concurrently with the Closing of the Business Combination, the Company entered into separate agreements with a number of investors (“PIPE Investors”) pursuant to which, on the Closing Date, the PIPE Investors purchased, and the Company issued, an aggregate of 76,140,000 shares of Class A Common Stock, for a purchase price of $10.00 per share with an aggregate purchase price of $761,400 (“PIPE Financing”). Shares sold and issued in the PIPE Financing included registration rights.</w:t>
      </w:r>
    </w:p>
    <w:p>
      <w:pPr>
        <w:spacing w:after="0" w:line="99" w:lineRule="exact"/>
        <w:rPr>
          <w:sz w:val="20"/>
          <w:szCs w:val="20"/>
          <w:color w:val="auto"/>
        </w:rPr>
      </w:pPr>
    </w:p>
    <w:p>
      <w:pPr>
        <w:jc w:val="both"/>
        <w:ind w:right="120" w:firstLine="440"/>
        <w:spacing w:after="0" w:line="325" w:lineRule="auto"/>
        <w:rPr>
          <w:sz w:val="20"/>
          <w:szCs w:val="20"/>
          <w:color w:val="auto"/>
        </w:rPr>
      </w:pPr>
      <w:r>
        <w:rPr>
          <w:rFonts w:ascii="Arial" w:cs="Arial" w:eastAsia="Arial" w:hAnsi="Arial"/>
          <w:sz w:val="15"/>
          <w:szCs w:val="15"/>
          <w:color w:val="auto"/>
        </w:rPr>
        <w:t>The Company operates in a single operating segment and designs and engineers next-generation, intelligent, electric vehicles. The Company expects to manufacture vehicles at its production facility in Hanford, California and has additional engineering, sales, and operations capabilities in China. The Company has created innovations in technology, products, and a user-centered business model that are being incorporated into its planned electric vehicle platform.</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Principles of Consolidation and Basis of Presentation</w:t>
      </w:r>
    </w:p>
    <w:p>
      <w:pPr>
        <w:spacing w:after="0" w:line="171"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The Company consolidates the financial statements of all entities in which it has a controlling financial interest, including the accounts of any Variable Interest Entity (“VIE”) in which the Company has a controlling financial interest and for which it is the primary beneficiary. All intercompany transactions and balances have been eliminated upon consolidation.</w:t>
      </w:r>
    </w:p>
    <w:p>
      <w:pPr>
        <w:spacing w:after="0" w:line="119" w:lineRule="exact"/>
        <w:rPr>
          <w:sz w:val="20"/>
          <w:szCs w:val="20"/>
          <w:color w:val="auto"/>
        </w:rPr>
      </w:pPr>
    </w:p>
    <w:p>
      <w:pPr>
        <w:ind w:right="380" w:firstLine="440"/>
        <w:spacing w:after="0" w:line="289" w:lineRule="auto"/>
        <w:rPr>
          <w:sz w:val="20"/>
          <w:szCs w:val="20"/>
          <w:color w:val="auto"/>
        </w:rPr>
      </w:pPr>
      <w:r>
        <w:rPr>
          <w:rFonts w:ascii="Arial" w:cs="Arial" w:eastAsia="Arial" w:hAnsi="Arial"/>
          <w:sz w:val="17"/>
          <w:szCs w:val="17"/>
          <w:color w:val="auto"/>
        </w:rPr>
        <w:t>The unaudited Condensed Consolidated Financial Statements have been prepared in conformity with generally accepted accounting principles in the United States (“GAAP”) for interim financial information and are unaudited.</w:t>
      </w:r>
    </w:p>
    <w:p>
      <w:pPr>
        <w:spacing w:after="0" w:line="106" w:lineRule="exact"/>
        <w:rPr>
          <w:sz w:val="20"/>
          <w:szCs w:val="20"/>
          <w:color w:val="auto"/>
        </w:rPr>
      </w:pPr>
    </w:p>
    <w:p>
      <w:pPr>
        <w:ind w:right="200" w:firstLine="440"/>
        <w:spacing w:after="0" w:line="285" w:lineRule="auto"/>
        <w:rPr>
          <w:sz w:val="20"/>
          <w:szCs w:val="20"/>
          <w:color w:val="auto"/>
        </w:rPr>
      </w:pPr>
      <w:r>
        <w:rPr>
          <w:rFonts w:ascii="Arial" w:cs="Arial" w:eastAsia="Arial" w:hAnsi="Arial"/>
          <w:sz w:val="16"/>
          <w:szCs w:val="16"/>
          <w:color w:val="auto"/>
        </w:rPr>
        <w:t>These unaudited Condensed Consolidated Financial Statements do not include all disclosures that are normally included in annual audited financial statements prepared in accordance with GAAP and should be read in conjunction with the Company’s audited Consolidated Financial Statements for the year ended December 31, 2021, included in the Company’s Form 10-K filed with Securities and Exchange Commission (“SEC”) on May 13, 2022 (the “Form 10-K”). Accordingly, the Condensed Consolidated Balance Sheet as of December 31, 2021, has been derived from the Company’s annual audited Consolidated Financial Statements but does not contain all of the footnote disclosures from the annual financial statements.</w:t>
      </w:r>
    </w:p>
    <w:p>
      <w:pPr>
        <w:spacing w:after="0" w:line="113" w:lineRule="exact"/>
        <w:rPr>
          <w:sz w:val="20"/>
          <w:szCs w:val="20"/>
          <w:color w:val="auto"/>
        </w:rPr>
      </w:pPr>
    </w:p>
    <w:p>
      <w:pPr>
        <w:ind w:right="80" w:firstLine="440"/>
        <w:spacing w:after="0" w:line="289" w:lineRule="auto"/>
        <w:rPr>
          <w:sz w:val="20"/>
          <w:szCs w:val="20"/>
          <w:color w:val="auto"/>
        </w:rPr>
      </w:pPr>
      <w:r>
        <w:rPr>
          <w:rFonts w:ascii="Arial" w:cs="Arial" w:eastAsia="Arial" w:hAnsi="Arial"/>
          <w:sz w:val="16"/>
          <w:szCs w:val="16"/>
          <w:color w:val="auto"/>
        </w:rPr>
        <w:t>In the opinion of the Company, the unaudited Condensed Consolidated Financial Statements contain all adjustments, consisting of only normal recurring adjustments, necessary for a fair statement of its financial position, its results of operations, and cash flows for the periods presented. The accounting policies used in the preparation of these unaudited Condensed Consolidated Financial Statements are the same as those disclosed in the audited Consolidated Financial Statements for the year ended December 31, 2021, included in the Form 10-K, except as described below.</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Reclassification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reclassified certain amounts in the Condensed Consolidated Financial Statements to conform to the current period's presentation.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Revision</w:t>
      </w:r>
    </w:p>
    <w:p>
      <w:pPr>
        <w:spacing w:after="0" w:line="171" w:lineRule="exact"/>
        <w:rPr>
          <w:sz w:val="20"/>
          <w:szCs w:val="20"/>
          <w:color w:val="auto"/>
        </w:rPr>
      </w:pPr>
    </w:p>
    <w:p>
      <w:pPr>
        <w:ind w:firstLine="629"/>
        <w:spacing w:after="0" w:line="267" w:lineRule="auto"/>
        <w:rPr>
          <w:sz w:val="20"/>
          <w:szCs w:val="20"/>
          <w:color w:val="auto"/>
        </w:rPr>
      </w:pPr>
      <w:r>
        <w:rPr>
          <w:rFonts w:ascii="Arial" w:cs="Arial" w:eastAsia="Arial" w:hAnsi="Arial"/>
          <w:sz w:val="17"/>
          <w:szCs w:val="17"/>
          <w:color w:val="auto"/>
        </w:rPr>
        <w:t>As previously disclosed in the Company’s annual financial statements for the fiscal year ended December 31, 2021, in connection with the findings of the Special Committee Investigation, the Company found misclassifications in the unaudited Condensed Consolidated Financial Statements for the three and six months ended June 30, 2021, resulting in an overstatement of interest expense and understatement of related party interest expense of $687 and $1,369, respectively. The misstatements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71" w:right="379" w:bottom="1440" w:gutter="0" w:footer="0" w:header="0"/>
        </w:sectPr>
      </w:pPr>
    </w:p>
    <w:bookmarkStart w:id="10" w:name="page11"/>
    <w:bookmarkEnd w:id="10"/>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80"/>
        <w:spacing w:after="0" w:line="267" w:lineRule="auto"/>
        <w:rPr>
          <w:sz w:val="20"/>
          <w:szCs w:val="20"/>
          <w:color w:val="auto"/>
        </w:rPr>
      </w:pPr>
      <w:r>
        <w:rPr>
          <w:rFonts w:ascii="Arial" w:cs="Arial" w:eastAsia="Arial" w:hAnsi="Arial"/>
          <w:sz w:val="17"/>
          <w:szCs w:val="17"/>
          <w:color w:val="auto"/>
        </w:rPr>
        <w:t>did not affect any subtotals or totals on the Condensed Consolidated Statements of Operations and Comprehensive Loss for the three and six months ended June 30, 2021. The Company concluded that such misstatements were not material to the previously issued financial statements, however, the Condensed Consolidated Statements of Operations and Comprehensive Loss for the three and six months ended June 30, 2021 have been revised to correct for these misstatements.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Use of Estimates</w:t>
      </w:r>
    </w:p>
    <w:p>
      <w:pPr>
        <w:spacing w:after="0" w:line="171" w:lineRule="exact"/>
        <w:rPr>
          <w:sz w:val="20"/>
          <w:szCs w:val="20"/>
          <w:color w:val="auto"/>
        </w:rPr>
      </w:pPr>
    </w:p>
    <w:p>
      <w:pPr>
        <w:ind w:right="40" w:firstLine="440"/>
        <w:spacing w:after="0" w:line="261" w:lineRule="auto"/>
        <w:rPr>
          <w:sz w:val="20"/>
          <w:szCs w:val="20"/>
          <w:color w:val="auto"/>
        </w:rPr>
      </w:pPr>
      <w:r>
        <w:rPr>
          <w:rFonts w:ascii="Arial" w:cs="Arial" w:eastAsia="Arial" w:hAnsi="Arial"/>
          <w:sz w:val="17"/>
          <w:szCs w:val="17"/>
          <w:color w:val="auto"/>
        </w:rPr>
        <w:t>The preparation of the financial statements in conformity with GAAP requires management to make estimates and assumptions, which affect the reported amounts in the financial statements. Estimates are based on historical experience, where applicable, and other assumptions which management believes are reasonable under the circumstances. On an ongoing basis, management evaluates its estimates, including those related to the: (i) realization of tax assets and estimates of tax liabilities; (ii) valuation of equity securities; (iii) recognition and disclosure of contingent liabilities, including litigation reserves; (iv) fair value of related party notes payable and notes payable; (v) estimated useful lives and impairment of long-lived assets; (vi) fair value of options granted to employees and non-employees; (vii) fair value of warrants, and (viii) incremental borrowing rate used to measure operating lease liabilities. Such estimates often require the selection of appropriate valuation methodologies and financial models and may involve significant judgment in evaluating ranges of assumptions and financial inputs. Actual results may differ from those estimates.</w:t>
      </w:r>
    </w:p>
    <w:p>
      <w:pPr>
        <w:spacing w:after="0" w:line="133" w:lineRule="exact"/>
        <w:rPr>
          <w:sz w:val="20"/>
          <w:szCs w:val="20"/>
          <w:color w:val="auto"/>
        </w:rPr>
      </w:pPr>
    </w:p>
    <w:p>
      <w:pPr>
        <w:ind w:right="80" w:firstLine="440"/>
        <w:spacing w:after="0" w:line="261" w:lineRule="auto"/>
        <w:rPr>
          <w:sz w:val="20"/>
          <w:szCs w:val="20"/>
          <w:color w:val="auto"/>
        </w:rPr>
      </w:pPr>
      <w:r>
        <w:rPr>
          <w:rFonts w:ascii="Arial" w:cs="Arial" w:eastAsia="Arial" w:hAnsi="Arial"/>
          <w:sz w:val="17"/>
          <w:szCs w:val="17"/>
          <w:color w:val="auto"/>
        </w:rPr>
        <w:t>As of the date the Company’s unaudited Condensed Consolidated Financial Statements were issued, the Company is not aware of any specific event or circumstance that would require it to update its estimates or judgments or to revise the carrying value of its assets or liabilities. However, these estimates and judgments may change as new events occur and additional information is obtained, which may result in changes being recognized in the Company’s condensed consolidated financial statements in future periods. While the Company considered the effects of COVID-19 on its estimates and assumptions, due to the level of uncertainty regarding the economic and operational impacts of COVID-19 on the Company’s business, there may be other judgments and assumptions that the Company has not considered. Such judgments and assumptions could result in a material impact on the Company’s financial statements in future periods. Actual results could differ from these estimates and any such differences may have a material impact on the Company’s Condensed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w:t>
      </w:r>
    </w:p>
    <w:p>
      <w:pPr>
        <w:spacing w:after="0" w:line="171" w:lineRule="exact"/>
        <w:rPr>
          <w:sz w:val="20"/>
          <w:szCs w:val="20"/>
          <w:color w:val="auto"/>
        </w:rPr>
      </w:pPr>
    </w:p>
    <w:p>
      <w:pPr>
        <w:ind w:right="180" w:firstLine="440"/>
        <w:spacing w:after="0" w:line="285" w:lineRule="auto"/>
        <w:rPr>
          <w:sz w:val="20"/>
          <w:szCs w:val="20"/>
          <w:color w:val="auto"/>
        </w:rPr>
      </w:pPr>
      <w:r>
        <w:rPr>
          <w:rFonts w:ascii="Arial" w:cs="Arial" w:eastAsia="Arial" w:hAnsi="Arial"/>
          <w:sz w:val="16"/>
          <w:szCs w:val="16"/>
          <w:color w:val="auto"/>
        </w:rPr>
        <w:t>The Company recorded an income tax provision of $9 for the three and six months ended June 30, 2022 and $3 for the six months ended June 30, 2021, on the unaudited Condensed Consolidated Statements of Operations and Comprehensive Loss. The difference in the Company’s effective tax rate from the federal statutory rate of 21% is due to the ratio of domestic and international loss before taxes. The Company records a valuation allowance to reflect limited benefits for income taxes in jurisdictions that historically reported losses and a provision for income taxes in jurisdictions that are profitable. The income tax provision for each period was the combined calculated tax expenses/benefits for various jurisdictions.</w:t>
      </w:r>
    </w:p>
    <w:p>
      <w:pPr>
        <w:spacing w:after="0" w:line="113" w:lineRule="exact"/>
        <w:rPr>
          <w:sz w:val="20"/>
          <w:szCs w:val="20"/>
          <w:color w:val="auto"/>
        </w:rPr>
      </w:pPr>
    </w:p>
    <w:p>
      <w:pPr>
        <w:jc w:val="both"/>
        <w:ind w:right="220" w:firstLine="440"/>
        <w:spacing w:after="0" w:line="267" w:lineRule="auto"/>
        <w:rPr>
          <w:sz w:val="20"/>
          <w:szCs w:val="20"/>
          <w:color w:val="auto"/>
        </w:rPr>
      </w:pPr>
      <w:r>
        <w:rPr>
          <w:rFonts w:ascii="Arial" w:cs="Arial" w:eastAsia="Arial" w:hAnsi="Arial"/>
          <w:sz w:val="17"/>
          <w:szCs w:val="17"/>
          <w:color w:val="auto"/>
        </w:rPr>
        <w:t>The Company is subject to taxation and files income tax returns with the U.S. federal government, California and China. As of June 30, 2022, the 2017 through 2021 federal returns and 2017 through 2021 state returns are open to examination. The Company’s 2017 and 2018 federal returns are currently under audit by the Internal Revenue Service (“IRS”). The Company is not under any tax audits on its China tax returns. All of the prior year tax returns, from 2016 through 2021, are open under China tax law.</w:t>
      </w:r>
    </w:p>
    <w:p>
      <w:pPr>
        <w:spacing w:after="0" w:line="126" w:lineRule="exact"/>
        <w:rPr>
          <w:sz w:val="20"/>
          <w:szCs w:val="20"/>
          <w:color w:val="auto"/>
        </w:rPr>
      </w:pPr>
    </w:p>
    <w:p>
      <w:pPr>
        <w:jc w:val="both"/>
        <w:ind w:firstLine="440"/>
        <w:spacing w:after="0" w:line="273" w:lineRule="auto"/>
        <w:rPr>
          <w:sz w:val="20"/>
          <w:szCs w:val="20"/>
          <w:color w:val="auto"/>
        </w:rPr>
      </w:pPr>
      <w:r>
        <w:rPr>
          <w:rFonts w:ascii="Arial" w:cs="Arial" w:eastAsia="Arial" w:hAnsi="Arial"/>
          <w:sz w:val="17"/>
          <w:szCs w:val="17"/>
          <w:color w:val="auto"/>
        </w:rPr>
        <w:t>The Company did not accrue any interest or penalties related to the Company's unrecognized tax benefits as of June 30, 2022, as the uncertain tax benefits only reduced the net operating losses. The Company does not expect the uncertain tax benefits to have material impact on its Condenses Consolidated Financial Statements within the next twelve months.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Pronouncements</w:t>
      </w:r>
    </w:p>
    <w:p>
      <w:pPr>
        <w:spacing w:after="0" w:line="171" w:lineRule="exact"/>
        <w:rPr>
          <w:sz w:val="20"/>
          <w:szCs w:val="20"/>
          <w:color w:val="auto"/>
        </w:rPr>
      </w:pPr>
    </w:p>
    <w:p>
      <w:pPr>
        <w:ind w:right="40" w:firstLine="472"/>
        <w:spacing w:after="0" w:line="262"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(“Topic 842”), which outlines a comprehensive lease accounting model that supersedes the previous lease guidance. The guidance requires lessees to recognize lease liabilities and corresponding right-of-use assets for all leases with lease terms greater than 12 months. It also changes the definition of a lease and expands the disclosure requirements of lease arrangements. In July 2018, the FASB issued ASU 2018-11, </w:t>
      </w:r>
      <w:r>
        <w:rPr>
          <w:rFonts w:ascii="Arial" w:cs="Arial" w:eastAsia="Arial" w:hAnsi="Arial"/>
          <w:sz w:val="17"/>
          <w:szCs w:val="17"/>
          <w:i w:val="1"/>
          <w:iCs w:val="1"/>
          <w:color w:val="auto"/>
        </w:rPr>
        <w:t>Leases (Topic 842) - Targeted Improvements</w:t>
      </w:r>
      <w:r>
        <w:rPr>
          <w:rFonts w:ascii="Arial" w:cs="Arial" w:eastAsia="Arial" w:hAnsi="Arial"/>
          <w:sz w:val="17"/>
          <w:szCs w:val="17"/>
          <w:color w:val="auto"/>
        </w:rPr>
        <w:t>, which provides the option of an additional transition method that allows entities to initially apply the new lease guidance at the adoption date and recognize a cumulative-effect adjustment to the opening balance of retained earnings in the period of adoption. The Company adopted the standard on January 1, 2022 using the modified retrospective basis and recorded operating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71" w:right="359" w:bottom="1440" w:gutter="0" w:footer="0" w:header="0"/>
        </w:sectPr>
      </w:pPr>
    </w:p>
    <w:bookmarkStart w:id="11" w:name="page12"/>
    <w:bookmarkEnd w:id="11"/>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 xml:space="preserve">lease right-of-use assets (“ROU”) of $11,191 and operating lease liabilities of $11,191 on that date. As part of this adoption, the Company reclassified the deferred gain related to a previous sale and leaseback of $3,393 to accumulated deficit. The Company elected to apply the package of practical expedients permitted under the transition guidance within ASC 842 which does not require reassessment of initial direct costs, reassessment of the classification of leases as operating or financing, or reassessment of the definition of a lease (see Note 10, </w:t>
      </w:r>
      <w:r>
        <w:rPr>
          <w:rFonts w:ascii="Arial" w:cs="Arial" w:eastAsia="Arial" w:hAnsi="Arial"/>
          <w:sz w:val="17"/>
          <w:szCs w:val="17"/>
          <w:i w:val="1"/>
          <w:iCs w:val="1"/>
          <w:color w:val="auto"/>
        </w:rPr>
        <w:t>Leases</w:t>
      </w:r>
      <w:r>
        <w:rPr>
          <w:rFonts w:ascii="Arial" w:cs="Arial" w:eastAsia="Arial" w:hAnsi="Arial"/>
          <w:sz w:val="17"/>
          <w:szCs w:val="17"/>
          <w:color w:val="auto"/>
        </w:rPr>
        <w:t>). Finance lease liabilities and related property and equipment assets did not change as a result of the adoption of this standard.</w:t>
      </w:r>
    </w:p>
    <w:p>
      <w:pPr>
        <w:spacing w:after="0" w:line="126" w:lineRule="exact"/>
        <w:rPr>
          <w:sz w:val="20"/>
          <w:szCs w:val="20"/>
          <w:color w:val="auto"/>
        </w:rPr>
      </w:pPr>
    </w:p>
    <w:p>
      <w:pPr>
        <w:ind w:right="20" w:firstLine="472"/>
        <w:spacing w:after="0" w:line="277"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xml:space="preserve"> (“ASU 2020-06”). The ASU simplifies the accounting for convertible instruments by removing certain separation models in ASC 470- 20, </w:t>
      </w:r>
      <w:r>
        <w:rPr>
          <w:rFonts w:ascii="Arial" w:cs="Arial" w:eastAsia="Arial" w:hAnsi="Arial"/>
          <w:sz w:val="16"/>
          <w:szCs w:val="16"/>
          <w:i w:val="1"/>
          <w:iCs w:val="1"/>
          <w:color w:val="auto"/>
        </w:rPr>
        <w:t>Debt — Debt with Conversion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Options</w:t>
      </w:r>
      <w:r>
        <w:rPr>
          <w:rFonts w:ascii="Arial" w:cs="Arial" w:eastAsia="Arial" w:hAnsi="Arial"/>
          <w:sz w:val="16"/>
          <w:szCs w:val="16"/>
          <w:color w:val="auto"/>
        </w:rPr>
        <w:t>, for convertible instruments. The ASU updates the guidance on certain embedded conversion features that are not required to be accounted for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derivatives under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or that do not result in substantial premiums accounted for as paid-in capital, such that those features are no longer required to be separated from the host contract. The convertible debt instruments will be accounted for as a single liability measured at amortized cost. Further, the ASU made amendments to the earnings per share guidance in Topic 260 for convertible instruments, the most significant impact of which is requiring the use of the if-converted method for the diluted EPS calculation, and no longer allowing the net share settlement method. The ASU also made revisions to Topic 815-40, which provides guidance on how an entity must determine whether a contract qualifies for a scope exception from derivative accounting. The amendments to Topic 815-40 change the scope of contracts that are recognized as assets or liabilities. ASU 2020-06 is effective for interim and annual periods beginning after December 15, 2023, with early adoption permitted. Adoption of the ASU can either be on a modified retrospective or full retrospective basis. The Company adopted the standard on January 1, 2022 on a modified retrospective basis and reclassified the Obligation to issue registered shares of Class A Common Stock of $12,635 from Accrued expenses and other current liabilities and reclassified $20,265 from Accumulated deficit to Commitment to issue Class A Common Stock on the Condensed Consolidated Balance Sheets.</w:t>
      </w:r>
    </w:p>
    <w:p>
      <w:pPr>
        <w:spacing w:after="0" w:line="121" w:lineRule="exact"/>
        <w:rPr>
          <w:sz w:val="20"/>
          <w:szCs w:val="20"/>
          <w:color w:val="auto"/>
        </w:rPr>
      </w:pPr>
    </w:p>
    <w:p>
      <w:pPr>
        <w:ind w:right="40" w:firstLine="472"/>
        <w:spacing w:after="0" w:line="260" w:lineRule="auto"/>
        <w:rPr>
          <w:sz w:val="20"/>
          <w:szCs w:val="20"/>
          <w:color w:val="auto"/>
        </w:rPr>
      </w:pPr>
      <w:r>
        <w:rPr>
          <w:rFonts w:ascii="Arial" w:cs="Arial" w:eastAsia="Arial" w:hAnsi="Arial"/>
          <w:sz w:val="17"/>
          <w:szCs w:val="17"/>
          <w:color w:val="auto"/>
        </w:rPr>
        <w:t xml:space="preserve">In May 2021, the FASB issued ASU 2021-04, </w:t>
      </w:r>
      <w:r>
        <w:rPr>
          <w:rFonts w:ascii="Arial" w:cs="Arial" w:eastAsia="Arial" w:hAnsi="Arial"/>
          <w:sz w:val="17"/>
          <w:szCs w:val="17"/>
          <w:i w:val="1"/>
          <w:iCs w:val="1"/>
          <w:color w:val="auto"/>
        </w:rPr>
        <w:t>Issuer’s Accounting for Certain Modifications or Exchanges of Freestanding Equity-Classified Written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Call Options </w:t>
      </w:r>
      <w:r>
        <w:rPr>
          <w:rFonts w:ascii="Arial" w:cs="Arial" w:eastAsia="Arial" w:hAnsi="Arial"/>
          <w:sz w:val="17"/>
          <w:szCs w:val="17"/>
          <w:color w:val="auto"/>
        </w:rPr>
        <w:t xml:space="preserve">(“ASU 2021-04”). The ASU clarifies and reduces diversity in an issuer’s accounting for modifications or exchanges of freestanding equity-classified written call options (for example, warrants) that remain equity classified after modification or exchange. The ASU made amendments to the earnings per share guidance in Topic 260 for an issuer’s accounting for modifications or exchanges of freestanding equity-classified written call options. Further, the ASU made amendments to the </w:t>
      </w:r>
      <w:r>
        <w:rPr>
          <w:rFonts w:ascii="Arial" w:cs="Arial" w:eastAsia="Arial" w:hAnsi="Arial"/>
          <w:sz w:val="17"/>
          <w:szCs w:val="17"/>
          <w:i w:val="1"/>
          <w:iCs w:val="1"/>
          <w:color w:val="auto"/>
        </w:rPr>
        <w:t>Debt—Modifications and Extinguishments</w:t>
      </w:r>
      <w:r>
        <w:rPr>
          <w:rFonts w:ascii="Arial" w:cs="Arial" w:eastAsia="Arial" w:hAnsi="Arial"/>
          <w:sz w:val="17"/>
          <w:szCs w:val="17"/>
          <w:color w:val="auto"/>
        </w:rPr>
        <w:t xml:space="preserve"> guidance in Topic 470-50. The ASU also added references to revised guidance within Topic 505 and 718. Additionally, the ASU made additions to Topic 815-40 related to the issuer’s accounting for modifications or exchanges of freestanding equity-classified written call options. ASU 2021-04 is effective for interim and annual periods beginning after December 15, 2021, with early adoption permitted. Adoption of the amendments in the ASU should be applied prospectively to modifications or exchanges occurring on or after the effective date of the amendments. The Company adopted the standard as of January 1, 2022. There was an immaterial effect on the condensed consolidated financial statements as a result of the adoption of ASU 2021-04.</w:t>
      </w:r>
    </w:p>
    <w:p>
      <w:pPr>
        <w:spacing w:after="0" w:line="182"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5"/>
          <w:szCs w:val="15"/>
          <w:b w:val="1"/>
          <w:bCs w:val="1"/>
          <w:color w:val="auto"/>
        </w:rPr>
        <w:t>Liquidity and Capital Resources</w:t>
      </w:r>
    </w:p>
    <w:p>
      <w:pPr>
        <w:spacing w:after="0" w:line="177" w:lineRule="exact"/>
        <w:rPr>
          <w:sz w:val="20"/>
          <w:szCs w:val="20"/>
          <w:color w:val="auto"/>
        </w:rPr>
      </w:pPr>
    </w:p>
    <w:p>
      <w:pPr>
        <w:ind w:firstLine="440"/>
        <w:spacing w:after="0" w:line="265" w:lineRule="auto"/>
        <w:rPr>
          <w:sz w:val="20"/>
          <w:szCs w:val="20"/>
          <w:color w:val="auto"/>
        </w:rPr>
      </w:pPr>
      <w:r>
        <w:rPr>
          <w:rFonts w:ascii="Arial" w:cs="Arial" w:eastAsia="Arial" w:hAnsi="Arial"/>
          <w:sz w:val="17"/>
          <w:szCs w:val="17"/>
          <w:color w:val="auto"/>
        </w:rPr>
        <w:t>The Company has evaluated whether there are certain conditions and events, considered in the aggregate, that raise substantial doubt about the Company’s ability to continue as a going concern within one year after the date that the unaudited Condensed Consolidated Financial Statements are issued. Based on its recurring losses from operations since inception and continued cash outflows from operating activities (all as described below), the Company has concluded that there is substantial doubt about its ability to continue as a going concern for a period of one year from the date that these unaudited Condensed Consolidated Financial Statements were issued.</w:t>
      </w:r>
    </w:p>
    <w:p>
      <w:pPr>
        <w:spacing w:after="0" w:line="126" w:lineRule="exact"/>
        <w:rPr>
          <w:sz w:val="20"/>
          <w:szCs w:val="20"/>
          <w:color w:val="auto"/>
        </w:rPr>
      </w:pPr>
    </w:p>
    <w:p>
      <w:pPr>
        <w:ind w:right="60" w:firstLine="440"/>
        <w:spacing w:after="0" w:line="262" w:lineRule="auto"/>
        <w:rPr>
          <w:sz w:val="20"/>
          <w:szCs w:val="20"/>
          <w:color w:val="auto"/>
        </w:rPr>
      </w:pPr>
      <w:r>
        <w:rPr>
          <w:rFonts w:ascii="Arial" w:cs="Arial" w:eastAsia="Arial" w:hAnsi="Arial"/>
          <w:sz w:val="17"/>
          <w:szCs w:val="17"/>
          <w:color w:val="auto"/>
        </w:rPr>
        <w:t>The Company’s business plan contemplates that it will begin deliveries of the FF 91 in the third or fourth quarter of 2022, with testing, validation, and certification also completed in the third or fourth quarter of 2022. In order to fund its ongoing operations and business plan, including to launch the FF 91, FF is seeking to raise additional capital from various fundraising efforts currently underway to supplement its cash on hand of $120,585 as of June 30, 2022. Although the Company has taken steps to preserve its cash position, including reducing spending, extending payment cycles and other similar measures, it projects that it will require additional funds by early September 2022 in order to continue operations, and will also need to raise additional financing during the remainder of 2022 and beyond 2022 to support the ramp-up of production of the FF 91 to generate revenues to put the Company on a path to cash flow break-even. Incremental capital needs beyond 2022 to fund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2" w:name="page13"/>
    <w:bookmarkEnd w:id="12"/>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development of the Company’s remaining product portfolio will be highly dependent on the market success and profitability of the FF 91 and the Company’s ability to accurately estimate and control costs.</w:t>
      </w:r>
    </w:p>
    <w:p>
      <w:pPr>
        <w:spacing w:after="0" w:line="106"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Since its formation, the Company has devoted substantial effort and capital resources to strategic planning, engineering, design, and development of its electric vehicle platform, development of initial electric vehicle models, and capital raising. Since inception, the Company has incurred cumulative losses from operations, negative cash flows from operating activities, and has an accumulated deficit of $3,219,308 as of June 30, 2022. After the closing of the Business Combination and the PIPE Financing on July 21, 2021, the Company received gross proceeds aggregating $990,983 which it used to settle certain liabilities and the remainder of which management has used to finance the ongoing operations of the business.</w:t>
      </w:r>
    </w:p>
    <w:p>
      <w:pPr>
        <w:spacing w:after="0" w:line="113" w:lineRule="exact"/>
        <w:rPr>
          <w:sz w:val="20"/>
          <w:szCs w:val="20"/>
          <w:color w:val="auto"/>
        </w:rPr>
      </w:pPr>
    </w:p>
    <w:p>
      <w:pPr>
        <w:ind w:firstLine="440"/>
        <w:spacing w:after="0" w:line="325" w:lineRule="auto"/>
        <w:rPr>
          <w:sz w:val="20"/>
          <w:szCs w:val="20"/>
          <w:color w:val="auto"/>
        </w:rPr>
      </w:pPr>
      <w:r>
        <w:rPr>
          <w:rFonts w:ascii="Arial" w:cs="Arial" w:eastAsia="Arial" w:hAnsi="Arial"/>
          <w:sz w:val="15"/>
          <w:szCs w:val="15"/>
          <w:color w:val="auto"/>
        </w:rPr>
        <w:t xml:space="preserve">The Company has funded its operations and capital needs primarily through the net proceeds received from capital contributions, the issuance of related party notes payable and notes payable (see Note 8, </w:t>
      </w:r>
      <w:r>
        <w:rPr>
          <w:rFonts w:ascii="Arial" w:cs="Arial" w:eastAsia="Arial" w:hAnsi="Arial"/>
          <w:sz w:val="15"/>
          <w:szCs w:val="15"/>
          <w:i w:val="1"/>
          <w:iCs w:val="1"/>
          <w:color w:val="auto"/>
        </w:rPr>
        <w:t>Related Party Notes Payable</w:t>
      </w:r>
      <w:r>
        <w:rPr>
          <w:rFonts w:ascii="Arial" w:cs="Arial" w:eastAsia="Arial" w:hAnsi="Arial"/>
          <w:sz w:val="15"/>
          <w:szCs w:val="15"/>
          <w:color w:val="auto"/>
        </w:rPr>
        <w:t xml:space="preserve"> and Note 9, </w:t>
      </w:r>
      <w:r>
        <w:rPr>
          <w:rFonts w:ascii="Arial" w:cs="Arial" w:eastAsia="Arial" w:hAnsi="Arial"/>
          <w:sz w:val="15"/>
          <w:szCs w:val="15"/>
          <w:i w:val="1"/>
          <w:iCs w:val="1"/>
          <w:color w:val="auto"/>
        </w:rPr>
        <w:t>Notes Payable</w:t>
      </w:r>
      <w:r>
        <w:rPr>
          <w:rFonts w:ascii="Arial" w:cs="Arial" w:eastAsia="Arial" w:hAnsi="Arial"/>
          <w:sz w:val="15"/>
          <w:szCs w:val="15"/>
          <w:color w:val="auto"/>
        </w:rPr>
        <w:t xml:space="preserve">), the sale of Preferred and Common Stock (see Note 12, </w:t>
      </w:r>
      <w:r>
        <w:rPr>
          <w:rFonts w:ascii="Arial" w:cs="Arial" w:eastAsia="Arial" w:hAnsi="Arial"/>
          <w:sz w:val="15"/>
          <w:szCs w:val="15"/>
          <w:i w:val="1"/>
          <w:iCs w:val="1"/>
          <w:color w:val="auto"/>
        </w:rPr>
        <w:t>Stockholders' Equity</w:t>
      </w:r>
      <w:r>
        <w:rPr>
          <w:rFonts w:ascii="Arial" w:cs="Arial" w:eastAsia="Arial" w:hAnsi="Arial"/>
          <w:sz w:val="15"/>
          <w:szCs w:val="15"/>
          <w:color w:val="auto"/>
        </w:rPr>
        <w:t xml:space="preserve">) and the net proceeds received from the Business Combination and the PIPE Financing (see Note 3, </w:t>
      </w:r>
      <w:r>
        <w:rPr>
          <w:rFonts w:ascii="Arial" w:cs="Arial" w:eastAsia="Arial" w:hAnsi="Arial"/>
          <w:sz w:val="15"/>
          <w:szCs w:val="15"/>
          <w:i w:val="1"/>
          <w:iCs w:val="1"/>
          <w:color w:val="auto"/>
        </w:rPr>
        <w:t>Business Combination</w:t>
      </w:r>
      <w:r>
        <w:rPr>
          <w:rFonts w:ascii="Arial" w:cs="Arial" w:eastAsia="Arial" w:hAnsi="Arial"/>
          <w:sz w:val="15"/>
          <w:szCs w:val="15"/>
          <w:color w:val="auto"/>
        </w:rPr>
        <w:t>).</w:t>
      </w:r>
    </w:p>
    <w:p>
      <w:pPr>
        <w:spacing w:after="0" w:line="85" w:lineRule="exact"/>
        <w:rPr>
          <w:sz w:val="20"/>
          <w:szCs w:val="20"/>
          <w:color w:val="auto"/>
        </w:rPr>
      </w:pPr>
    </w:p>
    <w:p>
      <w:pPr>
        <w:ind w:right="20" w:firstLine="440"/>
        <w:spacing w:after="0" w:line="280" w:lineRule="auto"/>
        <w:rPr>
          <w:sz w:val="20"/>
          <w:szCs w:val="20"/>
          <w:color w:val="auto"/>
        </w:rPr>
      </w:pPr>
      <w:r>
        <w:rPr>
          <w:rFonts w:ascii="Arial" w:cs="Arial" w:eastAsia="Arial" w:hAnsi="Arial"/>
          <w:sz w:val="16"/>
          <w:szCs w:val="16"/>
          <w:color w:val="auto"/>
        </w:rPr>
        <w:t>The Company’s ongoing liquidity needs will depend on the extent to which the Company’s actual costs vary from the Company’s estimates and the Company’s ability to control these costs, as well as the Company’s ability to raise additional funds. The timely achievement of the Company’s operating plan as well as its ability to maintain an adequate level of liquidity are subject to various risks associated with the Company’s ability to continue to successfully close additional sources of funding, control and effectively manage its costs, as well as factors outside of the Company’s control, including those related to global supply chain disruptions, the rising prices of materials, potential impact of the COVID-19 pandemic, and general macroeconomic conditions. The Company’s forecasts and projections of working capital reflect significant judgment and estimates for which there are inherent risks and uncertainties. The Company expects to continue to generate significant operating losses for the foreseeable future. The plans are dependent on the Company being able to continue to raise significant amounts of capital through the issuance of additional notes payable and equity securities.</w:t>
      </w:r>
    </w:p>
    <w:p>
      <w:pPr>
        <w:spacing w:after="0" w:line="117" w:lineRule="exact"/>
        <w:rPr>
          <w:sz w:val="20"/>
          <w:szCs w:val="20"/>
          <w:color w:val="auto"/>
        </w:rPr>
      </w:pPr>
    </w:p>
    <w:p>
      <w:pPr>
        <w:ind w:right="20" w:firstLine="440"/>
        <w:spacing w:after="0" w:line="308" w:lineRule="auto"/>
        <w:rPr>
          <w:sz w:val="20"/>
          <w:szCs w:val="20"/>
          <w:color w:val="auto"/>
        </w:rPr>
      </w:pPr>
      <w:r>
        <w:rPr>
          <w:rFonts w:ascii="Arial" w:cs="Arial" w:eastAsia="Arial" w:hAnsi="Arial"/>
          <w:sz w:val="15"/>
          <w:szCs w:val="15"/>
          <w:color w:val="auto"/>
        </w:rPr>
        <w:t>There can be no assurance that the Company will be successful in achieving its strategic plans, that the Company’s future funding raises will be sufficient to support its ongoing operations, or that any additional financing will be available in a timely manner or on acceptable terms, if at all. If events or circumstances occur such that the Company does not meet its strategic plans, the Company will be required to reduce discretionary spending, alter or scale back vehicle development programs, be unable to develop new or enhanced production methods, or be unable to fund capital expenditures. Any such events would have a material adverse effect on the Company’s financial position, results of operations, cash flows, and ability to achieve its intended business objectives.</w:t>
      </w:r>
    </w:p>
    <w:p>
      <w:pPr>
        <w:spacing w:after="0" w:line="98" w:lineRule="exact"/>
        <w:rPr>
          <w:sz w:val="20"/>
          <w:szCs w:val="20"/>
          <w:color w:val="auto"/>
        </w:rPr>
      </w:pPr>
    </w:p>
    <w:p>
      <w:pPr>
        <w:ind w:right="460" w:firstLine="440"/>
        <w:spacing w:after="0" w:line="289" w:lineRule="auto"/>
        <w:rPr>
          <w:sz w:val="20"/>
          <w:szCs w:val="20"/>
          <w:color w:val="auto"/>
        </w:rPr>
      </w:pPr>
      <w:r>
        <w:rPr>
          <w:rFonts w:ascii="Arial" w:cs="Arial" w:eastAsia="Arial" w:hAnsi="Arial"/>
          <w:sz w:val="17"/>
          <w:szCs w:val="17"/>
          <w:color w:val="auto"/>
        </w:rPr>
        <w:t xml:space="preserve">As of June 30, 2022, the Company was in default on a related party note payable with a principal amount of $8,940. In January 2022, the Company defaulted on the Optional Notes (see Note 9, </w:t>
      </w:r>
      <w:r>
        <w:rPr>
          <w:rFonts w:ascii="Arial" w:cs="Arial" w:eastAsia="Arial" w:hAnsi="Arial"/>
          <w:sz w:val="17"/>
          <w:szCs w:val="17"/>
          <w:i w:val="1"/>
          <w:iCs w:val="1"/>
          <w:color w:val="auto"/>
        </w:rPr>
        <w:t>Notes Payable</w:t>
      </w:r>
      <w:r>
        <w:rPr>
          <w:rFonts w:ascii="Arial" w:cs="Arial" w:eastAsia="Arial" w:hAnsi="Arial"/>
          <w:sz w:val="17"/>
          <w:szCs w:val="17"/>
          <w:color w:val="auto"/>
        </w:rPr>
        <w:t>). The holders of the Optional Notes have waived the default.</w:t>
      </w:r>
    </w:p>
    <w:p>
      <w:pPr>
        <w:spacing w:after="0" w:line="106" w:lineRule="exact"/>
        <w:rPr>
          <w:sz w:val="20"/>
          <w:szCs w:val="20"/>
          <w:color w:val="auto"/>
        </w:rPr>
      </w:pPr>
    </w:p>
    <w:p>
      <w:pPr>
        <w:ind w:right="260" w:firstLine="440"/>
        <w:spacing w:after="0" w:line="297" w:lineRule="auto"/>
        <w:rPr>
          <w:sz w:val="20"/>
          <w:szCs w:val="20"/>
          <w:color w:val="auto"/>
        </w:rPr>
      </w:pPr>
      <w:r>
        <w:rPr>
          <w:rFonts w:ascii="Arial" w:cs="Arial" w:eastAsia="Arial" w:hAnsi="Arial"/>
          <w:sz w:val="16"/>
          <w:szCs w:val="16"/>
          <w:color w:val="auto"/>
        </w:rPr>
        <w:t>The unaudited Condensed Consolidated Financial Statements do not include any adjustments that might result from the outcome of this uncertainty. Accordingly, the unaudited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49"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Business Combination</w:t>
      </w:r>
    </w:p>
    <w:p>
      <w:pPr>
        <w:spacing w:after="0" w:line="177" w:lineRule="exact"/>
        <w:rPr>
          <w:sz w:val="20"/>
          <w:szCs w:val="20"/>
          <w:color w:val="auto"/>
        </w:rPr>
      </w:pPr>
    </w:p>
    <w:p>
      <w:pPr>
        <w:ind w:right="40" w:firstLine="440"/>
        <w:spacing w:after="0" w:line="297" w:lineRule="auto"/>
        <w:rPr>
          <w:sz w:val="20"/>
          <w:szCs w:val="20"/>
          <w:color w:val="auto"/>
        </w:rPr>
      </w:pPr>
      <w:r>
        <w:rPr>
          <w:rFonts w:ascii="Arial" w:cs="Arial" w:eastAsia="Arial" w:hAnsi="Arial"/>
          <w:sz w:val="16"/>
          <w:szCs w:val="16"/>
          <w:color w:val="auto"/>
        </w:rPr>
        <w:t>On July 21, 2021, the Company consummated the Business Combination (the “Closing”). Pursuant to the terms of the Merger Agreement, Merger Sub merged with and into Legacy FF, with Legacy FF surviving the merger as a wholly-owned subsidiary of the Company. Upon the consummation of the Business Combination, the registrant changed its name from Property Solutions Acquisition Corp. to Faraday Future Intelligent Electric Inc.</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 to Issue Class A and Class B Common Stock</w:t>
      </w:r>
    </w:p>
    <w:p>
      <w:pPr>
        <w:spacing w:after="0" w:line="171"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As part of the Closing of the Business Combination, former stockholders and noteholders of Legacy FF are required to submit a signed Company share letter of transmittal or converting debt letter of transmittal along with a lockup agreement to the Company’s transfer agent in order for shares of the Company to be issued in their name in exchange for their shares in, notes from, vendor trust or other supplier agreements with, Legacy FF. As of June 30, 2022, 20,264,715 shares of Class A Common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271" w:right="379" w:bottom="1440" w:gutter="0" w:footer="0" w:header="0"/>
        </w:sectPr>
      </w:pPr>
    </w:p>
    <w:bookmarkStart w:id="13" w:name="page14"/>
    <w:bookmarkEnd w:id="13"/>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color w:val="auto"/>
        </w:rPr>
        <w:t>Stock remain unissued. Until the holder of the right to receive shares of the Company’s Class A Common Stock is issued shares, that holder does not have any of the rights of a stockholder.</w:t>
      </w:r>
    </w:p>
    <w:p>
      <w:pPr>
        <w:spacing w:after="0" w:line="106" w:lineRule="exact"/>
        <w:rPr>
          <w:sz w:val="20"/>
          <w:szCs w:val="20"/>
          <w:color w:val="auto"/>
        </w:rPr>
      </w:pPr>
    </w:p>
    <w:p>
      <w:pPr>
        <w:ind w:right="120" w:firstLine="440"/>
        <w:spacing w:after="0" w:line="289" w:lineRule="auto"/>
        <w:rPr>
          <w:sz w:val="20"/>
          <w:szCs w:val="20"/>
          <w:color w:val="auto"/>
        </w:rPr>
      </w:pPr>
      <w:r>
        <w:rPr>
          <w:rFonts w:ascii="Arial" w:cs="Arial" w:eastAsia="Arial" w:hAnsi="Arial"/>
          <w:sz w:val="17"/>
          <w:szCs w:val="17"/>
          <w:color w:val="auto"/>
        </w:rPr>
        <w:t>Subsequent to June 30, 2022, the Company issued 20,264,715 shares of Class A Common Stock related to the commitment to issue shares. As of August 1, 2022, there are no shares of Class A Common Stock that have not been issued related to the commitment to issue shares.</w:t>
      </w:r>
    </w:p>
    <w:p>
      <w:pPr>
        <w:spacing w:after="0" w:line="10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Company determined that the commitment to issue shares of Class A and Class B Common Stock is indexed to the Company’s own equity, within the meaning in ASC 815-10-15-74 and met the scope exception to not be subject to derivative accounting under ASC 815-40-25. As such, the Company classified the commitment to issue shares of Class A and Class B Common Stock in equity.</w:t>
      </w:r>
    </w:p>
    <w:p>
      <w:pPr>
        <w:spacing w:after="0" w:line="119"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For purposes of presentation of shares outstanding in the Company’s financial statements, the unaudited Condensed Consolidated Balance Sheets and unaudited Condensed Consolidated Statements of Commitment to Issue Class A Common Stock and Stockholders’ Equity (Deficit) present legally issued and outstanding shares.</w:t>
      </w:r>
    </w:p>
    <w:p>
      <w:pPr>
        <w:spacing w:after="0" w:line="119"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For purposes of presentation of basic and diluted net loss per share in the unaudited Condensed Consolidated Statements of Operations and Comprehensive Loss, the Company includes shares to be issued in the denominator in accordance with ASC 710-10-54-4 and ASC 260-10-45-48 as if they had been issued on the date of the merger, as such shares are non-contingent and are issuable for no consideration.</w:t>
      </w:r>
    </w:p>
    <w:p>
      <w:pPr>
        <w:spacing w:after="0" w:line="165"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Deposits and Other Current Assets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Deposits and other current assets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00" w:type="dxa"/>
            <w:vAlign w:val="bottom"/>
          </w:tcPr>
          <w:p>
            <w:pPr>
              <w:ind w:left="20"/>
              <w:spacing w:after="0"/>
              <w:rPr>
                <w:sz w:val="20"/>
                <w:szCs w:val="20"/>
                <w:color w:val="auto"/>
              </w:rPr>
            </w:pPr>
            <w:r>
              <w:rPr>
                <w:rFonts w:ascii="Arial" w:cs="Arial" w:eastAsia="Arial" w:hAnsi="Arial"/>
                <w:sz w:val="17"/>
                <w:szCs w:val="17"/>
                <w:b w:val="1"/>
                <w:bCs w:val="1"/>
                <w:color w:val="auto"/>
              </w:rPr>
              <w:t>Deposits:</w:t>
            </w:r>
          </w:p>
        </w:tc>
        <w:tc>
          <w:tcPr>
            <w:tcW w:w="180" w:type="dxa"/>
            <w:vAlign w:val="bottom"/>
          </w:tcPr>
          <w:p>
            <w:pPr>
              <w:spacing w:after="0"/>
              <w:rPr>
                <w:sz w:val="19"/>
                <w:szCs w:val="19"/>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December 31, 2021</w:t>
            </w:r>
          </w:p>
        </w:tc>
      </w:tr>
      <w:tr>
        <w:trPr>
          <w:trHeight w:val="216"/>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Deposits for research and development, prototype and production parts, and other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41,402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54,990</w:t>
            </w:r>
          </w:p>
        </w:tc>
      </w:tr>
      <w:tr>
        <w:trPr>
          <w:trHeight w:val="222"/>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Deposits for “Future Work”</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6,190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8,380</w:t>
            </w: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deposits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47,592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63,370</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8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current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Prepaid expenses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2,881</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11,119</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2,291</w:t>
            </w:r>
          </w:p>
        </w:tc>
      </w:tr>
      <w:tr>
        <w:trPr>
          <w:trHeight w:val="216"/>
        </w:trPr>
        <w:tc>
          <w:tcPr>
            <w:tcW w:w="8300" w:type="dxa"/>
            <w:vAlign w:val="bottom"/>
          </w:tcPr>
          <w:p>
            <w:pPr>
              <w:ind w:left="20"/>
              <w:spacing w:after="0"/>
              <w:rPr>
                <w:sz w:val="20"/>
                <w:szCs w:val="20"/>
                <w:color w:val="auto"/>
              </w:rPr>
            </w:pPr>
            <w:r>
              <w:rPr>
                <w:rFonts w:ascii="Arial" w:cs="Arial" w:eastAsia="Arial" w:hAnsi="Arial"/>
                <w:sz w:val="17"/>
                <w:szCs w:val="17"/>
                <w:color w:val="auto"/>
              </w:rPr>
              <w:t>Total other current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13,410</w:t>
            </w: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320" w:firstLine="472"/>
        <w:spacing w:after="0" w:line="273" w:lineRule="auto"/>
        <w:rPr>
          <w:sz w:val="20"/>
          <w:szCs w:val="20"/>
          <w:color w:val="auto"/>
        </w:rPr>
      </w:pPr>
      <w:r>
        <w:rPr>
          <w:rFonts w:ascii="Arial" w:cs="Arial" w:eastAsia="Arial" w:hAnsi="Arial"/>
          <w:sz w:val="17"/>
          <w:szCs w:val="17"/>
          <w:color w:val="auto"/>
        </w:rPr>
        <w:t>During the three and six months ended June 30, 2022, the Company made deposits for research and development (“R&amp;D”), prototype and production parts, and other with its vendors, which support the Company’s ongoing R&amp;D efforts and operations. The Company expenses deposits as the services are provided and prototype parts are received.</w:t>
      </w:r>
    </w:p>
    <w:p>
      <w:pPr>
        <w:spacing w:after="0" w:line="119" w:lineRule="exact"/>
        <w:rPr>
          <w:sz w:val="20"/>
          <w:szCs w:val="20"/>
          <w:color w:val="auto"/>
        </w:rPr>
      </w:pPr>
    </w:p>
    <w:p>
      <w:pPr>
        <w:ind w:right="360" w:firstLine="440"/>
        <w:spacing w:after="0" w:line="289" w:lineRule="auto"/>
        <w:rPr>
          <w:sz w:val="20"/>
          <w:szCs w:val="20"/>
          <w:color w:val="auto"/>
        </w:rPr>
      </w:pPr>
      <w:r>
        <w:rPr>
          <w:rFonts w:ascii="Arial" w:cs="Arial" w:eastAsia="Arial" w:hAnsi="Arial"/>
          <w:sz w:val="17"/>
          <w:szCs w:val="17"/>
          <w:color w:val="auto"/>
        </w:rPr>
        <w:t>Amortization expense related to the Palantir hosting arrangement and other prepaid software subscriptions totaled $2,792 and $0 for the three months ended June 30, 2022 and 2021, and $5,662 and $0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4" w:name="page15"/>
    <w:bookmarkEnd w:id="14"/>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5"/>
          <w:szCs w:val="15"/>
          <w:b w:val="1"/>
          <w:bCs w:val="1"/>
          <w:color w:val="auto"/>
        </w:rPr>
        <w:t>Property and Equipment, Net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Property and equipment, net, consists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December 31, 2021</w:t>
            </w:r>
          </w:p>
        </w:tc>
      </w:tr>
      <w:tr>
        <w:trPr>
          <w:trHeight w:val="223"/>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Buildings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14,180</w:t>
            </w: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Computer hardware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3,112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3,051</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Tooling, machinery, and equipment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8,868</w:t>
            </w: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Vehicles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337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337</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 software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w:t>
            </w: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297</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process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366,517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275,048</w:t>
            </w:r>
          </w:p>
        </w:tc>
      </w:tr>
      <w:tr>
        <w:trPr>
          <w:trHeight w:val="222"/>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(10,537)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(9,678)</w:t>
            </w: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387,075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293,135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360" w:firstLine="472"/>
        <w:spacing w:after="0" w:line="289" w:lineRule="auto"/>
        <w:rPr>
          <w:sz w:val="20"/>
          <w:szCs w:val="20"/>
          <w:color w:val="auto"/>
        </w:rPr>
      </w:pPr>
      <w:r>
        <w:rPr>
          <w:rFonts w:ascii="Arial" w:cs="Arial" w:eastAsia="Arial" w:hAnsi="Arial"/>
          <w:sz w:val="17"/>
          <w:szCs w:val="17"/>
          <w:color w:val="auto"/>
        </w:rPr>
        <w:t>Depreciation expense related to property and equipment totaled $830 and $529 for the three months ended June 30, 2022 and 2021, respectively, and $1,620 and $1,058 for the six months ended June 30, 2022 and 2021, respectively.</w:t>
      </w:r>
    </w:p>
    <w:p>
      <w:pPr>
        <w:spacing w:after="0" w:line="152"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5"/>
          <w:szCs w:val="15"/>
          <w:b w:val="1"/>
          <w:bCs w:val="1"/>
          <w:color w:val="auto"/>
        </w:rPr>
        <w:t>Accrued Expenses and Other Current Liabilities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Accrued expenses and other current liabilities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8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December 31, 2021</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payroll and benefits</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21,752</w:t>
            </w: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Accrued legal contingencies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14,808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16,881</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Engineering, design and testing services received not invoiced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6,620</w:t>
            </w: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Deposits from customers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3,975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4,354</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to affiliates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6,673</w:t>
            </w:r>
          </w:p>
        </w:tc>
      </w:tr>
      <w:tr>
        <w:trPr>
          <w:trHeight w:val="223"/>
        </w:trPr>
        <w:tc>
          <w:tcPr>
            <w:tcW w:w="8300" w:type="dxa"/>
            <w:vAlign w:val="bottom"/>
          </w:tcPr>
          <w:p>
            <w:pPr>
              <w:ind w:left="20"/>
              <w:spacing w:after="0" w:line="223" w:lineRule="exact"/>
              <w:rPr>
                <w:sz w:val="20"/>
                <w:szCs w:val="20"/>
                <w:color w:val="auto"/>
              </w:rPr>
            </w:pPr>
            <w:r>
              <w:rPr>
                <w:rFonts w:ascii="Arial" w:cs="Arial" w:eastAsia="Arial" w:hAnsi="Arial"/>
                <w:sz w:val="17"/>
                <w:szCs w:val="17"/>
                <w:color w:val="auto"/>
              </w:rPr>
              <w:t xml:space="preserve">Obligation to issue registered shares of Class A Common Stock </w:t>
            </w:r>
            <w:r>
              <w:rPr>
                <w:rFonts w:ascii="Arial" w:cs="Arial" w:eastAsia="Arial" w:hAnsi="Arial"/>
                <w:sz w:val="22"/>
                <w:szCs w:val="22"/>
                <w:color w:val="auto"/>
                <w:vertAlign w:val="superscript"/>
              </w:rPr>
              <w:t>(1)</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12,635</w:t>
            </w:r>
          </w:p>
        </w:tc>
      </w:tr>
      <w:tr>
        <w:trPr>
          <w:trHeight w:val="222"/>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21,597</w:t>
            </w:r>
          </w:p>
        </w:tc>
      </w:tr>
      <w:tr>
        <w:trPr>
          <w:trHeight w:val="216"/>
        </w:trPr>
        <w:tc>
          <w:tcPr>
            <w:tcW w:w="8300" w:type="dxa"/>
            <w:vAlign w:val="bottom"/>
          </w:tcPr>
          <w:p>
            <w:pPr>
              <w:ind w:left="20"/>
              <w:spacing w:after="0"/>
              <w:rPr>
                <w:sz w:val="20"/>
                <w:szCs w:val="20"/>
                <w:color w:val="auto"/>
              </w:rPr>
            </w:pPr>
            <w:r>
              <w:rPr>
                <w:rFonts w:ascii="Arial" w:cs="Arial" w:eastAsia="Arial" w:hAnsi="Arial"/>
                <w:sz w:val="17"/>
                <w:szCs w:val="17"/>
                <w:color w:val="auto"/>
              </w:rPr>
              <w:t>Total accrued expenses and other current liabilities</w:t>
            </w: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92,392</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90,512</w:t>
            </w:r>
          </w:p>
        </w:tc>
      </w:tr>
      <w:tr>
        <w:trPr>
          <w:trHeight w:val="20"/>
        </w:trPr>
        <w:tc>
          <w:tcPr>
            <w:tcW w:w="8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ind w:right="240" w:firstLine="5"/>
        <w:spacing w:after="0" w:line="279" w:lineRule="auto"/>
        <w:tabs>
          <w:tab w:leader="none" w:pos="176"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 xml:space="preserve">The obligation to issue registered shares of Class A Common Stock was reclassified to Commitment to issue Class A Common Stock upon the adoption of ASU 2020-06 (see Note 7, </w:t>
      </w:r>
      <w:r>
        <w:rPr>
          <w:rFonts w:ascii="Arial" w:cs="Arial" w:eastAsia="Arial" w:hAnsi="Arial"/>
          <w:sz w:val="15"/>
          <w:szCs w:val="15"/>
          <w:i w:val="1"/>
          <w:iCs w:val="1"/>
          <w:color w:val="auto"/>
        </w:rPr>
        <w:t>Fair Value of Financial Instruments).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6"/>
          <w:szCs w:val="16"/>
          <w:b w:val="1"/>
          <w:bCs w:val="1"/>
          <w:color w:val="auto"/>
        </w:rPr>
        <w:t>Fair Value of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Measurements</w:t>
      </w:r>
    </w:p>
    <w:p>
      <w:pPr>
        <w:spacing w:after="0" w:line="171" w:lineRule="exact"/>
        <w:rPr>
          <w:sz w:val="20"/>
          <w:szCs w:val="20"/>
          <w:color w:val="auto"/>
        </w:rPr>
      </w:pPr>
    </w:p>
    <w:p>
      <w:pPr>
        <w:ind w:right="20" w:firstLine="440"/>
        <w:spacing w:after="0" w:line="262" w:lineRule="auto"/>
        <w:rPr>
          <w:sz w:val="20"/>
          <w:szCs w:val="20"/>
          <w:color w:val="auto"/>
        </w:rPr>
      </w:pPr>
      <w:r>
        <w:rPr>
          <w:rFonts w:ascii="Arial" w:cs="Arial" w:eastAsia="Arial" w:hAnsi="Arial"/>
          <w:sz w:val="17"/>
          <w:szCs w:val="17"/>
          <w:color w:val="auto"/>
        </w:rPr>
        <w:t xml:space="preserve">The Company applies the provisions of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which defines a single authoritative definition of fair value, sets out a framework for measuring fair value and expands on required disclosures about fair value measurements. The provisions of ASC 820 relate to financial assets and liabilities as well as other assets and liabilities carried at fair value on a recurring and nonrecurring basis. The standard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standard establishes a three-tier value hierarchy, which prioritizes the inputs used in measuring fair value as follows:</w:t>
      </w:r>
    </w:p>
    <w:p>
      <w:pPr>
        <w:spacing w:after="0" w:line="130" w:lineRule="exact"/>
        <w:rPr>
          <w:sz w:val="20"/>
          <w:szCs w:val="20"/>
          <w:color w:val="auto"/>
        </w:rPr>
      </w:pPr>
    </w:p>
    <w:p>
      <w:pPr>
        <w:ind w:left="1100" w:right="60" w:hanging="628"/>
        <w:spacing w:after="0" w:line="273" w:lineRule="auto"/>
        <w:rPr>
          <w:sz w:val="20"/>
          <w:szCs w:val="20"/>
          <w:color w:val="auto"/>
        </w:rPr>
      </w:pPr>
      <w:r>
        <w:rPr>
          <w:rFonts w:ascii="Arial" w:cs="Arial" w:eastAsia="Arial" w:hAnsi="Arial"/>
          <w:sz w:val="17"/>
          <w:szCs w:val="17"/>
          <w:color w:val="auto"/>
        </w:rPr>
        <w:t>Level 1 Valuations for assets and liabilities traded in active exchange markets, or interest in open-end mutual funds that allow a company to sell its ownership interest back at net asset value on a daily basis. Valuations are obtained from readily available pricing sources for market transactions involving identical assets, liabilities, or funds.</w:t>
      </w:r>
    </w:p>
    <w:p>
      <w:pPr>
        <w:sectPr>
          <w:pgSz w:w="11900" w:h="16838" w:orient="portrait"/>
          <w:cols w:equalWidth="0" w:num="1">
            <w:col w:w="11240"/>
          </w:cols>
          <w:pgMar w:left="320" w:top="2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type w:val="continuous"/>
        </w:sectPr>
      </w:pPr>
    </w:p>
    <w:bookmarkStart w:id="15" w:name="page16"/>
    <w:bookmarkEnd w:id="15"/>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100" w:right="100" w:hanging="628"/>
        <w:spacing w:after="0" w:line="267" w:lineRule="auto"/>
        <w:rPr>
          <w:sz w:val="20"/>
          <w:szCs w:val="20"/>
          <w:color w:val="auto"/>
        </w:rPr>
      </w:pPr>
      <w:r>
        <w:rPr>
          <w:rFonts w:ascii="Arial" w:cs="Arial" w:eastAsia="Arial" w:hAnsi="Arial"/>
          <w:sz w:val="17"/>
          <w:szCs w:val="17"/>
          <w:color w:val="auto"/>
        </w:rPr>
        <w:t>Level 2 Valuations for assets and liabilities traded in less active dealer, or broker markets, such as quoted prices for similar assets or liabilities or quoted prices in markets that are not active. Level 2 instruments typically include U.S. Government and agency debt securities and corporate obligations. Valuations are usually obtained through market data of the investment itself as well as market transactions involving comparable assets, liabilities or funds.</w:t>
      </w:r>
    </w:p>
    <w:p>
      <w:pPr>
        <w:spacing w:after="0" w:line="126" w:lineRule="exact"/>
        <w:rPr>
          <w:sz w:val="20"/>
          <w:szCs w:val="20"/>
          <w:color w:val="auto"/>
        </w:rPr>
      </w:pPr>
    </w:p>
    <w:p>
      <w:pPr>
        <w:jc w:val="both"/>
        <w:ind w:left="1100" w:right="260" w:hanging="628"/>
        <w:spacing w:after="0" w:line="273" w:lineRule="auto"/>
        <w:rPr>
          <w:sz w:val="20"/>
          <w:szCs w:val="20"/>
          <w:color w:val="auto"/>
        </w:rPr>
      </w:pPr>
      <w:r>
        <w:rPr>
          <w:rFonts w:ascii="Arial" w:cs="Arial" w:eastAsia="Arial" w:hAnsi="Arial"/>
          <w:sz w:val="17"/>
          <w:szCs w:val="17"/>
          <w:color w:val="auto"/>
        </w:rPr>
        <w:t>Level 3 Valuations for assets and liabilities that are derived from other valuation methodologies, such as option pricing models, discounted cash flow models or similar techniques, and not based on market exchange, dealer, or broker-traded transactions. Level 3 valuations incorporate certain assumptions and projections in determining the fair value assigned to such assets or liabilities.</w:t>
      </w:r>
    </w:p>
    <w:p>
      <w:pPr>
        <w:spacing w:after="0" w:line="119" w:lineRule="exact"/>
        <w:rPr>
          <w:sz w:val="20"/>
          <w:szCs w:val="20"/>
          <w:color w:val="auto"/>
        </w:rPr>
      </w:pPr>
    </w:p>
    <w:p>
      <w:pPr>
        <w:ind w:right="60" w:firstLine="415"/>
        <w:spacing w:after="0" w:line="289" w:lineRule="auto"/>
        <w:rPr>
          <w:sz w:val="20"/>
          <w:szCs w:val="20"/>
          <w:color w:val="auto"/>
        </w:rPr>
      </w:pPr>
      <w:r>
        <w:rPr>
          <w:rFonts w:ascii="Arial" w:cs="Arial" w:eastAsia="Arial" w:hAnsi="Arial"/>
          <w:sz w:val="17"/>
          <w:szCs w:val="17"/>
          <w:color w:val="auto"/>
        </w:rPr>
        <w:t>Fair value estimates are made at a specific point in time based on relevant market information and information about the financial or nonfinancial asset or liability.</w:t>
      </w:r>
    </w:p>
    <w:p>
      <w:pPr>
        <w:spacing w:after="0" w:line="106" w:lineRule="exact"/>
        <w:rPr>
          <w:sz w:val="20"/>
          <w:szCs w:val="20"/>
          <w:color w:val="auto"/>
        </w:rPr>
      </w:pPr>
    </w:p>
    <w:p>
      <w:pPr>
        <w:ind w:right="380" w:firstLine="440"/>
        <w:spacing w:after="0" w:line="322" w:lineRule="auto"/>
        <w:rPr>
          <w:sz w:val="20"/>
          <w:szCs w:val="20"/>
          <w:color w:val="auto"/>
        </w:rPr>
      </w:pPr>
      <w:r>
        <w:rPr>
          <w:rFonts w:ascii="Arial" w:cs="Arial" w:eastAsia="Arial" w:hAnsi="Arial"/>
          <w:sz w:val="16"/>
          <w:szCs w:val="16"/>
          <w:color w:val="auto"/>
        </w:rPr>
        <w:t xml:space="preserve">The Company has elected to apply the fair value option to certain notes payable with conversion features as discussed in Note 9, </w:t>
      </w:r>
      <w:r>
        <w:rPr>
          <w:rFonts w:ascii="Arial" w:cs="Arial" w:eastAsia="Arial" w:hAnsi="Arial"/>
          <w:sz w:val="16"/>
          <w:szCs w:val="16"/>
          <w:i w:val="1"/>
          <w:iCs w:val="1"/>
          <w:color w:val="auto"/>
        </w:rPr>
        <w:t>Notes Payable</w:t>
      </w:r>
      <w:r>
        <w:rPr>
          <w:rFonts w:ascii="Arial" w:cs="Arial" w:eastAsia="Arial" w:hAnsi="Arial"/>
          <w:sz w:val="16"/>
          <w:szCs w:val="16"/>
          <w:color w:val="auto"/>
        </w:rPr>
        <w:t>. Fair value measurements associated with the warrant liabilities, and notes payable represent Level 3 valuations under the fair value hierarchy.</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Notes Payable at Fair Value</w:t>
      </w:r>
    </w:p>
    <w:p>
      <w:pPr>
        <w:spacing w:after="0" w:line="171" w:lineRule="exact"/>
        <w:rPr>
          <w:sz w:val="20"/>
          <w:szCs w:val="20"/>
          <w:color w:val="auto"/>
        </w:rPr>
      </w:pPr>
    </w:p>
    <w:p>
      <w:pPr>
        <w:ind w:firstLine="440"/>
        <w:spacing w:after="0" w:line="265" w:lineRule="auto"/>
        <w:rPr>
          <w:sz w:val="20"/>
          <w:szCs w:val="20"/>
          <w:color w:val="auto"/>
        </w:rPr>
      </w:pPr>
      <w:r>
        <w:rPr>
          <w:rFonts w:ascii="Arial" w:cs="Arial" w:eastAsia="Arial" w:hAnsi="Arial"/>
          <w:sz w:val="17"/>
          <w:szCs w:val="17"/>
          <w:color w:val="auto"/>
        </w:rPr>
        <w:t xml:space="preserve">The Company has elected to measure certain notes payable at fair value issued under the Notes Purchase Agreement, as amended (“NPA”) as they contain embedded liquidation premiums with conversion rights that represent embedded derivatives (see Note 9, </w:t>
      </w:r>
      <w:r>
        <w:rPr>
          <w:rFonts w:ascii="Arial" w:cs="Arial" w:eastAsia="Arial" w:hAnsi="Arial"/>
          <w:sz w:val="17"/>
          <w:szCs w:val="17"/>
          <w:i w:val="1"/>
          <w:iCs w:val="1"/>
          <w:color w:val="auto"/>
        </w:rPr>
        <w:t>Notes Payable</w:t>
      </w:r>
      <w:r>
        <w:rPr>
          <w:rFonts w:ascii="Arial" w:cs="Arial" w:eastAsia="Arial" w:hAnsi="Arial"/>
          <w:sz w:val="17"/>
          <w:szCs w:val="17"/>
          <w:color w:val="auto"/>
        </w:rPr>
        <w:t>). The Company used a binomial lattice model to value the notes payable issued on June 9, 2021 and August 10, 2021 to a US-based investment firm. A binomial lattice model is widely used for valuing convertible notes. The significant assumptions used in the binomial lattice model include the risk-free rate, annual dividend yield, expected life, and volatility of the Company's stock.</w:t>
      </w:r>
    </w:p>
    <w:p>
      <w:pPr>
        <w:spacing w:after="0" w:line="126" w:lineRule="exact"/>
        <w:rPr>
          <w:sz w:val="20"/>
          <w:szCs w:val="20"/>
          <w:color w:val="auto"/>
        </w:rPr>
      </w:pPr>
    </w:p>
    <w:p>
      <w:pPr>
        <w:ind w:right="580" w:firstLine="440"/>
        <w:spacing w:after="0" w:line="289" w:lineRule="auto"/>
        <w:rPr>
          <w:sz w:val="20"/>
          <w:szCs w:val="20"/>
          <w:color w:val="auto"/>
        </w:rPr>
      </w:pPr>
      <w:r>
        <w:rPr>
          <w:rFonts w:ascii="Arial" w:cs="Arial" w:eastAsia="Arial" w:hAnsi="Arial"/>
          <w:sz w:val="17"/>
          <w:szCs w:val="17"/>
          <w:color w:val="auto"/>
        </w:rPr>
        <w:t>The fair value adjustments related to warrant liabilities and notes payables were recorded in Change in Fair Value Measurements on the unaudited Condensed Consolidated Statements of Operations and Comprehensive Loss.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 to Issue Class A Common Stock</w:t>
      </w:r>
    </w:p>
    <w:p>
      <w:pPr>
        <w:spacing w:after="0" w:line="171"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Upon the Closing of the Business Combination, the Company assumed an obligation of PSAC to deliver 2,387,500 registered shares of Class A Common Stock to an entity that provided consulting and advisory services in connection with the Business Combination to PSAC for no consideration. As of June 30, 2022, the Company’s registration statement covering these shares is not effective.</w:t>
      </w:r>
    </w:p>
    <w:p>
      <w:pPr>
        <w:spacing w:after="0" w:line="119" w:lineRule="exact"/>
        <w:rPr>
          <w:sz w:val="20"/>
          <w:szCs w:val="20"/>
          <w:color w:val="auto"/>
        </w:rPr>
      </w:pPr>
    </w:p>
    <w:p>
      <w:pPr>
        <w:ind w:right="240" w:firstLine="440"/>
        <w:spacing w:after="0" w:line="273" w:lineRule="auto"/>
        <w:rPr>
          <w:sz w:val="20"/>
          <w:szCs w:val="20"/>
          <w:color w:val="auto"/>
        </w:rPr>
      </w:pPr>
      <w:r>
        <w:rPr>
          <w:rFonts w:ascii="Arial" w:cs="Arial" w:eastAsia="Arial" w:hAnsi="Arial"/>
          <w:sz w:val="17"/>
          <w:szCs w:val="17"/>
          <w:color w:val="auto"/>
        </w:rPr>
        <w:t>Prior to the adoption of ASU 2020-06, the agreement with the service provider specified that the shares to be delivered are required to be registered, which is considered to be outside of the control of the Company, and therefore this obligation failed to qualify for equity treatment under ASC 815-40-25-10, and net cash settlement was assumed.</w:t>
      </w:r>
    </w:p>
    <w:p>
      <w:pPr>
        <w:spacing w:after="0" w:line="119"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As a result, in conjunction with recording the assets and liabilities of PSAC on the Closing of the Business Combination, the Company recorded a liability of $32,900 for the Obligation to issue registered shares of Class A Common Stock in the Consolidated Balance Sheets during the year ended December 31, 2021. As of December 31, 2021, the fair value of the liability was $12,635 resulting in a gain of $20,265 recorded in the Change in Fair value measurements in the Consolidated Statements of Operations and Comprehensive Loss for the year ended December 31, 2021.</w:t>
      </w:r>
    </w:p>
    <w:p>
      <w:pPr>
        <w:spacing w:after="0" w:line="126" w:lineRule="exact"/>
        <w:rPr>
          <w:sz w:val="20"/>
          <w:szCs w:val="20"/>
          <w:color w:val="auto"/>
        </w:rPr>
      </w:pPr>
    </w:p>
    <w:p>
      <w:pPr>
        <w:jc w:val="both"/>
        <w:ind w:right="60" w:firstLine="440"/>
        <w:spacing w:after="0" w:line="314" w:lineRule="auto"/>
        <w:rPr>
          <w:sz w:val="20"/>
          <w:szCs w:val="20"/>
          <w:color w:val="auto"/>
        </w:rPr>
      </w:pPr>
      <w:r>
        <w:rPr>
          <w:rFonts w:ascii="Arial" w:cs="Arial" w:eastAsia="Arial" w:hAnsi="Arial"/>
          <w:sz w:val="15"/>
          <w:szCs w:val="15"/>
          <w:color w:val="auto"/>
        </w:rPr>
        <w:t>On January 1, 2022, upon the adoption of ASU 2020-06, the requirement to consider whether settlement is required to be in registered shares is no longer required to be considered in an entity’s evaluation of net cash settlement, however ASC 480-10-S99-3a was not amended in a similar fashion and therefore the Company, as part of the adjustments due to the adoption of ASU 2020-06, reclassified the Obligation to issue registered shares of Class A Common Stock from liabilities to the Commitment to issue Class A Common Stock within temporary equity in the Condensed Consolidated Balance Sheets as of June 30, 2022.</w:t>
      </w:r>
    </w:p>
    <w:p>
      <w:pPr>
        <w:spacing w:after="0" w:line="93" w:lineRule="exact"/>
        <w:rPr>
          <w:sz w:val="20"/>
          <w:szCs w:val="20"/>
          <w:color w:val="auto"/>
        </w:rPr>
      </w:pPr>
    </w:p>
    <w:p>
      <w:pPr>
        <w:ind w:right="460" w:firstLine="440"/>
        <w:spacing w:after="0" w:line="289" w:lineRule="auto"/>
        <w:rPr>
          <w:sz w:val="20"/>
          <w:szCs w:val="20"/>
          <w:color w:val="auto"/>
        </w:rPr>
      </w:pPr>
      <w:r>
        <w:rPr>
          <w:rFonts w:ascii="Arial" w:cs="Arial" w:eastAsia="Arial" w:hAnsi="Arial"/>
          <w:sz w:val="17"/>
          <w:szCs w:val="17"/>
          <w:color w:val="auto"/>
        </w:rPr>
        <w:t>On July 21, 2022, the Company amended its agreement with the service provider to permit the delivery of 2,387,500 unregistered shares of Class A Common Stock in satisfaction of its obligation. The shares were issued on July 22, 2022.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71" w:right="359" w:bottom="1440" w:gutter="0" w:footer="0" w:header="0"/>
        </w:sectPr>
      </w:pPr>
    </w:p>
    <w:bookmarkStart w:id="16" w:name="page17"/>
    <w:bookmarkEnd w:id="16"/>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Recurring Fair Value Measurements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Financial assets and financial liabilities are classified in their entirety based on the lowest level of input that is significant to the fair value measurement.</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financial assets and liabilities remeasured on a recurring basis by level within the fair value hierarchy: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6"/>
              </w:rPr>
              <w:t>June 30, 2022</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203"/>
        </w:trPr>
        <w:tc>
          <w:tcPr>
            <w:tcW w:w="6780" w:type="dxa"/>
            <w:vAlign w:val="bottom"/>
          </w:tcPr>
          <w:p>
            <w:pPr>
              <w:spacing w:after="0"/>
              <w:rPr>
                <w:sz w:val="17"/>
                <w:szCs w:val="17"/>
                <w:color w:val="auto"/>
              </w:rPr>
            </w:pPr>
          </w:p>
        </w:tc>
        <w:tc>
          <w:tcPr>
            <w:tcW w:w="1060" w:type="dxa"/>
            <w:vAlign w:val="bottom"/>
          </w:tcPr>
          <w:p>
            <w:pPr>
              <w:jc w:val="right"/>
              <w:ind w:right="17"/>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7"/>
                <w:szCs w:val="17"/>
                <w:color w:val="auto"/>
              </w:rPr>
            </w:pPr>
          </w:p>
        </w:tc>
        <w:tc>
          <w:tcPr>
            <w:tcW w:w="1140" w:type="dxa"/>
            <w:vAlign w:val="bottom"/>
          </w:tcPr>
          <w:p>
            <w:pPr>
              <w:jc w:val="right"/>
              <w:ind w:right="375"/>
              <w:spacing w:after="0"/>
              <w:rPr>
                <w:sz w:val="20"/>
                <w:szCs w:val="20"/>
                <w:color w:val="auto"/>
              </w:rPr>
            </w:pPr>
            <w:r>
              <w:rPr>
                <w:rFonts w:ascii="Arial" w:cs="Arial" w:eastAsia="Arial" w:hAnsi="Arial"/>
                <w:sz w:val="16"/>
                <w:szCs w:val="16"/>
                <w:b w:val="1"/>
                <w:bCs w:val="1"/>
                <w:color w:val="auto"/>
              </w:rPr>
              <w:t>Level 3</w:t>
            </w:r>
          </w:p>
        </w:tc>
      </w:tr>
      <w:tr>
        <w:trPr>
          <w:trHeight w:val="205"/>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10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2"/>
        </w:trPr>
        <w:tc>
          <w:tcPr>
            <w:tcW w:w="6780" w:type="dxa"/>
            <w:vAlign w:val="bottom"/>
          </w:tcPr>
          <w:p>
            <w:pPr>
              <w:ind w:left="100"/>
              <w:spacing w:after="0"/>
              <w:rPr>
                <w:sz w:val="20"/>
                <w:szCs w:val="20"/>
                <w:color w:val="auto"/>
              </w:rPr>
            </w:pPr>
            <w:r>
              <w:rPr>
                <w:rFonts w:ascii="Arial" w:cs="Arial" w:eastAsia="Arial" w:hAnsi="Arial"/>
                <w:sz w:val="17"/>
                <w:szCs w:val="17"/>
                <w:color w:val="auto"/>
              </w:rPr>
              <w:t>Notes payable</w:t>
            </w:r>
          </w:p>
        </w:tc>
        <w:tc>
          <w:tcPr>
            <w:tcW w:w="1060" w:type="dxa"/>
            <w:vAlign w:val="bottom"/>
          </w:tcPr>
          <w:p>
            <w:pPr>
              <w:jc w:val="right"/>
              <w:ind w:right="877"/>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68,199</w:t>
            </w:r>
          </w:p>
        </w:tc>
      </w:tr>
      <w:tr>
        <w:trPr>
          <w:trHeight w:val="223"/>
        </w:trPr>
        <w:tc>
          <w:tcPr>
            <w:tcW w:w="6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Private Warrants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w:t>
            </w:r>
          </w:p>
        </w:tc>
      </w:tr>
      <w:tr>
        <w:trPr>
          <w:trHeight w:val="468"/>
        </w:trPr>
        <w:tc>
          <w:tcPr>
            <w:tcW w:w="678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87"/>
              </w:rPr>
              <w:t>December 31, 2021</w:t>
            </w: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203"/>
        </w:trPr>
        <w:tc>
          <w:tcPr>
            <w:tcW w:w="6780" w:type="dxa"/>
            <w:vAlign w:val="bottom"/>
          </w:tcPr>
          <w:p>
            <w:pPr>
              <w:spacing w:after="0"/>
              <w:rPr>
                <w:sz w:val="17"/>
                <w:szCs w:val="17"/>
                <w:color w:val="auto"/>
              </w:rPr>
            </w:pPr>
          </w:p>
        </w:tc>
        <w:tc>
          <w:tcPr>
            <w:tcW w:w="1060" w:type="dxa"/>
            <w:vAlign w:val="bottom"/>
          </w:tcPr>
          <w:p>
            <w:pPr>
              <w:jc w:val="right"/>
              <w:ind w:right="17"/>
              <w:spacing w:after="0"/>
              <w:rPr>
                <w:sz w:val="20"/>
                <w:szCs w:val="20"/>
                <w:color w:val="auto"/>
              </w:rPr>
            </w:pPr>
            <w:r>
              <w:rPr>
                <w:rFonts w:ascii="Arial" w:cs="Arial" w:eastAsia="Arial" w:hAnsi="Arial"/>
                <w:sz w:val="16"/>
                <w:szCs w:val="16"/>
                <w:b w:val="1"/>
                <w:bCs w:val="1"/>
                <w:color w:val="auto"/>
              </w:rPr>
              <w:t>Level 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7"/>
                <w:szCs w:val="17"/>
                <w:color w:val="auto"/>
              </w:rPr>
            </w:pPr>
          </w:p>
        </w:tc>
        <w:tc>
          <w:tcPr>
            <w:tcW w:w="1140" w:type="dxa"/>
            <w:vAlign w:val="bottom"/>
          </w:tcPr>
          <w:p>
            <w:pPr>
              <w:jc w:val="right"/>
              <w:ind w:right="375"/>
              <w:spacing w:after="0"/>
              <w:rPr>
                <w:sz w:val="20"/>
                <w:szCs w:val="20"/>
                <w:color w:val="auto"/>
              </w:rPr>
            </w:pPr>
            <w:r>
              <w:rPr>
                <w:rFonts w:ascii="Arial" w:cs="Arial" w:eastAsia="Arial" w:hAnsi="Arial"/>
                <w:sz w:val="16"/>
                <w:szCs w:val="16"/>
                <w:b w:val="1"/>
                <w:bCs w:val="1"/>
                <w:color w:val="auto"/>
              </w:rPr>
              <w:t>Level 3</w:t>
            </w:r>
          </w:p>
        </w:tc>
      </w:tr>
      <w:tr>
        <w:trPr>
          <w:trHeight w:val="205"/>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w:t>
            </w:r>
          </w:p>
        </w:tc>
        <w:tc>
          <w:tcPr>
            <w:tcW w:w="10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222"/>
        </w:trPr>
        <w:tc>
          <w:tcPr>
            <w:tcW w:w="6780" w:type="dxa"/>
            <w:vAlign w:val="bottom"/>
          </w:tcPr>
          <w:p>
            <w:pPr>
              <w:ind w:left="100"/>
              <w:spacing w:after="0"/>
              <w:rPr>
                <w:sz w:val="20"/>
                <w:szCs w:val="20"/>
                <w:color w:val="auto"/>
              </w:rPr>
            </w:pPr>
            <w:r>
              <w:rPr>
                <w:rFonts w:ascii="Arial" w:cs="Arial" w:eastAsia="Arial" w:hAnsi="Arial"/>
                <w:sz w:val="17"/>
                <w:szCs w:val="17"/>
                <w:color w:val="auto"/>
              </w:rPr>
              <w:t>Notes payable</w:t>
            </w:r>
          </w:p>
        </w:tc>
        <w:tc>
          <w:tcPr>
            <w:tcW w:w="1060" w:type="dxa"/>
            <w:vAlign w:val="bottom"/>
          </w:tcPr>
          <w:p>
            <w:pPr>
              <w:jc w:val="right"/>
              <w:ind w:right="877"/>
              <w:spacing w:after="0"/>
              <w:rPr>
                <w:sz w:val="20"/>
                <w:szCs w:val="20"/>
                <w:color w:val="auto"/>
              </w:rPr>
            </w:pPr>
            <w:r>
              <w:rPr>
                <w:rFonts w:ascii="Arial" w:cs="Arial" w:eastAsia="Arial" w:hAnsi="Arial"/>
                <w:sz w:val="17"/>
                <w:szCs w:val="17"/>
                <w:color w:val="auto"/>
                <w:w w:val="84"/>
              </w:rPr>
              <w:t>$</w:t>
            </w: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161,282</w:t>
            </w:r>
          </w:p>
        </w:tc>
      </w:tr>
      <w:tr>
        <w:trPr>
          <w:trHeight w:val="223"/>
        </w:trPr>
        <w:tc>
          <w:tcPr>
            <w:tcW w:w="6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Private Warrants</w:t>
            </w:r>
          </w:p>
        </w:tc>
        <w:tc>
          <w:tcPr>
            <w:tcW w:w="10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r>
      <w:tr>
        <w:trPr>
          <w:trHeight w:val="222"/>
        </w:trPr>
        <w:tc>
          <w:tcPr>
            <w:tcW w:w="6780" w:type="dxa"/>
            <w:vAlign w:val="bottom"/>
          </w:tcPr>
          <w:p>
            <w:pPr>
              <w:ind w:left="100"/>
              <w:spacing w:after="0"/>
              <w:rPr>
                <w:sz w:val="20"/>
                <w:szCs w:val="20"/>
                <w:color w:val="auto"/>
              </w:rPr>
            </w:pPr>
            <w:r>
              <w:rPr>
                <w:rFonts w:ascii="Arial" w:cs="Arial" w:eastAsia="Arial" w:hAnsi="Arial"/>
                <w:sz w:val="17"/>
                <w:szCs w:val="17"/>
                <w:color w:val="auto"/>
              </w:rPr>
              <w:t>Obligation to issue registered shares of Class A Common Stock</w:t>
            </w:r>
          </w:p>
        </w:tc>
        <w:tc>
          <w:tcPr>
            <w:tcW w:w="1060" w:type="dxa"/>
            <w:vAlign w:val="bottom"/>
          </w:tcPr>
          <w:p>
            <w:pPr>
              <w:spacing w:after="0"/>
              <w:rPr>
                <w:sz w:val="19"/>
                <w:szCs w:val="19"/>
                <w:color w:val="auto"/>
              </w:rPr>
            </w:pPr>
          </w:p>
        </w:tc>
        <w:tc>
          <w:tcPr>
            <w:tcW w:w="4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12,635</w:t>
            </w:r>
          </w:p>
        </w:tc>
      </w:tr>
    </w:tbl>
    <w:p>
      <w:pPr>
        <w:spacing w:after="0" w:line="224" w:lineRule="exact"/>
        <w:rPr>
          <w:sz w:val="20"/>
          <w:szCs w:val="20"/>
          <w:color w:val="auto"/>
        </w:rPr>
      </w:pPr>
    </w:p>
    <w:p>
      <w:pPr>
        <w:ind w:right="260" w:firstLine="440"/>
        <w:spacing w:after="0" w:line="289" w:lineRule="auto"/>
        <w:rPr>
          <w:sz w:val="20"/>
          <w:szCs w:val="20"/>
          <w:color w:val="auto"/>
        </w:rPr>
      </w:pPr>
      <w:r>
        <w:rPr>
          <w:rFonts w:ascii="Arial" w:cs="Arial" w:eastAsia="Arial" w:hAnsi="Arial"/>
          <w:sz w:val="17"/>
          <w:szCs w:val="17"/>
          <w:color w:val="auto"/>
        </w:rPr>
        <w:t>The carrying amounts of the Company’s financial assets and liabilities, including cash, restricted cash, deposits, and accounts payable approximate fair value because of their short-term nature or contractually defined value.</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activity of Level 3 fair value measurements: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Notes</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Obligation to Issue</w:t>
            </w:r>
          </w:p>
        </w:tc>
        <w:tc>
          <w:tcPr>
            <w:tcW w:w="0" w:type="dxa"/>
            <w:vAlign w:val="bottom"/>
          </w:tcPr>
          <w:p>
            <w:pPr>
              <w:spacing w:after="0"/>
              <w:rPr>
                <w:sz w:val="1"/>
                <w:szCs w:val="1"/>
                <w:color w:val="auto"/>
              </w:rPr>
            </w:pPr>
          </w:p>
        </w:tc>
      </w:tr>
      <w:tr>
        <w:trPr>
          <w:trHeight w:val="157"/>
        </w:trPr>
        <w:tc>
          <w:tcPr>
            <w:tcW w:w="6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88"/>
              </w:rPr>
              <w:t>Payable at</w:t>
            </w:r>
          </w:p>
        </w:tc>
        <w:tc>
          <w:tcPr>
            <w:tcW w:w="120" w:type="dxa"/>
            <w:vAlign w:val="bottom"/>
          </w:tcPr>
          <w:p>
            <w:pPr>
              <w:spacing w:after="0"/>
              <w:rPr>
                <w:sz w:val="13"/>
                <w:szCs w:val="13"/>
                <w:color w:val="auto"/>
              </w:rPr>
            </w:pPr>
          </w:p>
        </w:tc>
        <w:tc>
          <w:tcPr>
            <w:tcW w:w="14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Private Warrants</w:t>
            </w:r>
          </w:p>
        </w:tc>
        <w:tc>
          <w:tcPr>
            <w:tcW w:w="14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Fair Value</w:t>
            </w: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right"/>
              <w:ind w:right="14"/>
              <w:spacing w:after="0"/>
              <w:rPr>
                <w:sz w:val="20"/>
                <w:szCs w:val="20"/>
                <w:color w:val="auto"/>
              </w:rPr>
            </w:pPr>
            <w:r>
              <w:rPr>
                <w:rFonts w:ascii="Arial" w:cs="Arial" w:eastAsia="Arial" w:hAnsi="Arial"/>
                <w:sz w:val="16"/>
                <w:szCs w:val="16"/>
                <w:b w:val="1"/>
                <w:bCs w:val="1"/>
                <w:color w:val="auto"/>
                <w:w w:val="85"/>
              </w:rPr>
              <w:t>Registered Shares</w:t>
            </w:r>
          </w:p>
        </w:tc>
        <w:tc>
          <w:tcPr>
            <w:tcW w:w="0" w:type="dxa"/>
            <w:vAlign w:val="bottom"/>
          </w:tcPr>
          <w:p>
            <w:pPr>
              <w:spacing w:after="0"/>
              <w:rPr>
                <w:sz w:val="1"/>
                <w:szCs w:val="1"/>
                <w:color w:val="auto"/>
              </w:rPr>
            </w:pPr>
          </w:p>
        </w:tc>
      </w:tr>
      <w:tr>
        <w:trPr>
          <w:trHeight w:val="219"/>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2021</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161,282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12,635</w:t>
            </w:r>
          </w:p>
        </w:tc>
        <w:tc>
          <w:tcPr>
            <w:tcW w:w="0" w:type="dxa"/>
            <w:vAlign w:val="bottom"/>
          </w:tcPr>
          <w:p>
            <w:pPr>
              <w:spacing w:after="0"/>
              <w:rPr>
                <w:sz w:val="1"/>
                <w:szCs w:val="1"/>
                <w:color w:val="auto"/>
              </w:rPr>
            </w:pPr>
          </w:p>
        </w:tc>
      </w:tr>
      <w:tr>
        <w:trPr>
          <w:trHeight w:val="184"/>
        </w:trPr>
        <w:tc>
          <w:tcPr>
            <w:tcW w:w="6780" w:type="dxa"/>
            <w:vAlign w:val="bottom"/>
          </w:tcPr>
          <w:p>
            <w:pPr>
              <w:ind w:left="20"/>
              <w:spacing w:after="0" w:line="185" w:lineRule="exact"/>
              <w:rPr>
                <w:sz w:val="20"/>
                <w:szCs w:val="20"/>
                <w:color w:val="auto"/>
              </w:rPr>
            </w:pPr>
            <w:r>
              <w:rPr>
                <w:rFonts w:ascii="Arial" w:cs="Arial" w:eastAsia="Arial" w:hAnsi="Arial"/>
                <w:sz w:val="17"/>
                <w:szCs w:val="17"/>
                <w:color w:val="auto"/>
              </w:rPr>
              <w:t>Reclassification of obligation to issue registered shares of Class A Common Stock upon</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180"/>
              <w:spacing w:after="0"/>
              <w:rPr>
                <w:sz w:val="20"/>
                <w:szCs w:val="20"/>
                <w:color w:val="auto"/>
              </w:rPr>
            </w:pPr>
            <w:r>
              <w:rPr>
                <w:rFonts w:ascii="Arial" w:cs="Arial" w:eastAsia="Arial" w:hAnsi="Arial"/>
                <w:sz w:val="17"/>
                <w:szCs w:val="17"/>
                <w:color w:val="auto"/>
              </w:rPr>
              <w:t>adoption of ASU 2020-06</w:t>
            </w:r>
          </w:p>
        </w:tc>
        <w:tc>
          <w:tcPr>
            <w:tcW w:w="2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(12,635)</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measurements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7"/>
                <w:szCs w:val="17"/>
                <w:color w:val="auto"/>
              </w:rPr>
              <w:t>Cash payments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(87,065)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1"/>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June 30, 2022</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68,199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2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shd w:val="clear" w:color="auto" w:fill="000000"/>
          </w:tcPr>
          <w:p>
            <w:pPr>
              <w:spacing w:after="0" w:line="20" w:lineRule="exact"/>
              <w:rPr>
                <w:sz w:val="1"/>
                <w:szCs w:val="1"/>
                <w:color w:val="auto"/>
              </w:rPr>
            </w:pPr>
          </w:p>
        </w:tc>
        <w:tc>
          <w:tcPr>
            <w:tcW w:w="130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1320" w:type="dxa"/>
            <w:vAlign w:val="bottom"/>
            <w:tcBorders>
              <w:top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Related Party Notes Payable</w:t>
      </w:r>
    </w:p>
    <w:p>
      <w:pPr>
        <w:spacing w:after="0" w:line="177" w:lineRule="exact"/>
        <w:rPr>
          <w:sz w:val="20"/>
          <w:szCs w:val="20"/>
          <w:color w:val="auto"/>
        </w:rPr>
      </w:pPr>
    </w:p>
    <w:p>
      <w:pPr>
        <w:ind w:right="520" w:firstLine="440"/>
        <w:spacing w:after="0" w:line="359" w:lineRule="auto"/>
        <w:rPr>
          <w:sz w:val="20"/>
          <w:szCs w:val="20"/>
          <w:color w:val="auto"/>
        </w:rPr>
      </w:pPr>
      <w:r>
        <w:rPr>
          <w:rFonts w:ascii="Arial" w:cs="Arial" w:eastAsia="Arial" w:hAnsi="Arial"/>
          <w:sz w:val="15"/>
          <w:szCs w:val="15"/>
          <w:color w:val="auto"/>
        </w:rPr>
        <w:t>The Company has been significantly funded by notes payable from related parties. These related parties include employees as well as affiliates of employees, affiliates, and other companies controlled or previously controlled by the Company’s founder and Chief Product and User Ecosystem Officer.</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Related party notes payable consists of the following as of June 30,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Contractual</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Interest Expense</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Interest Expense</w:t>
            </w: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Balance as of June</w:t>
            </w: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3"/>
              </w:rPr>
              <w:t>for the Three</w:t>
            </w:r>
          </w:p>
        </w:tc>
        <w:tc>
          <w:tcPr>
            <w:tcW w:w="11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0"/>
              </w:rPr>
              <w:t>for the Six Months</w:t>
            </w:r>
          </w:p>
        </w:tc>
        <w:tc>
          <w:tcPr>
            <w:tcW w:w="0" w:type="dxa"/>
            <w:vAlign w:val="bottom"/>
          </w:tcPr>
          <w:p>
            <w:pPr>
              <w:spacing w:after="0"/>
              <w:rPr>
                <w:sz w:val="1"/>
                <w:szCs w:val="1"/>
                <w:color w:val="auto"/>
              </w:rPr>
            </w:pPr>
          </w:p>
        </w:tc>
      </w:tr>
      <w:tr>
        <w:trPr>
          <w:trHeight w:val="144"/>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Note Name</w:t>
            </w:r>
          </w:p>
        </w:tc>
        <w:tc>
          <w:tcPr>
            <w:tcW w:w="100" w:type="dxa"/>
            <w:vAlign w:val="bottom"/>
            <w:vMerge w:val="restart"/>
          </w:tcPr>
          <w:p>
            <w:pPr>
              <w:spacing w:after="0"/>
              <w:rPr>
                <w:sz w:val="12"/>
                <w:szCs w:val="12"/>
                <w:color w:val="auto"/>
              </w:rPr>
            </w:pPr>
          </w:p>
        </w:tc>
        <w:tc>
          <w:tcPr>
            <w:tcW w:w="160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9"/>
              </w:rPr>
              <w:t>Maturity</w:t>
            </w:r>
          </w:p>
        </w:tc>
        <w:tc>
          <w:tcPr>
            <w:tcW w:w="138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90"/>
              </w:rPr>
              <w:t>Interest</w:t>
            </w: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91"/>
              </w:rPr>
              <w:t>Months Ended</w:t>
            </w:r>
          </w:p>
        </w:tc>
        <w:tc>
          <w:tcPr>
            <w:tcW w:w="120" w:type="dxa"/>
            <w:vAlign w:val="bottom"/>
          </w:tcPr>
          <w:p>
            <w:pPr>
              <w:spacing w:after="0"/>
              <w:rPr>
                <w:sz w:val="12"/>
                <w:szCs w:val="12"/>
                <w:color w:val="auto"/>
              </w:rPr>
            </w:pPr>
          </w:p>
        </w:tc>
        <w:tc>
          <w:tcPr>
            <w:tcW w:w="1060" w:type="dxa"/>
            <w:vAlign w:val="bottom"/>
          </w:tcPr>
          <w:p>
            <w:pPr>
              <w:jc w:val="center"/>
              <w:ind w:right="60"/>
              <w:spacing w:after="0" w:line="144" w:lineRule="exact"/>
              <w:rPr>
                <w:sz w:val="20"/>
                <w:szCs w:val="20"/>
                <w:color w:val="auto"/>
              </w:rPr>
            </w:pPr>
            <w:r>
              <w:rPr>
                <w:rFonts w:ascii="Arial" w:cs="Arial" w:eastAsia="Arial" w:hAnsi="Arial"/>
                <w:sz w:val="14"/>
                <w:szCs w:val="14"/>
                <w:b w:val="1"/>
                <w:bCs w:val="1"/>
                <w:color w:val="auto"/>
                <w:w w:val="89"/>
              </w:rPr>
              <w:t>Ended June 30,</w:t>
            </w:r>
          </w:p>
        </w:tc>
        <w:tc>
          <w:tcPr>
            <w:tcW w:w="0" w:type="dxa"/>
            <w:vAlign w:val="bottom"/>
          </w:tcPr>
          <w:p>
            <w:pPr>
              <w:spacing w:after="0"/>
              <w:rPr>
                <w:sz w:val="1"/>
                <w:szCs w:val="1"/>
                <w:color w:val="auto"/>
              </w:rPr>
            </w:pPr>
          </w:p>
        </w:tc>
      </w:tr>
      <w:tr>
        <w:trPr>
          <w:trHeight w:val="191"/>
        </w:trPr>
        <w:tc>
          <w:tcPr>
            <w:tcW w:w="4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Rates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30, 2022</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7"/>
              </w:rPr>
              <w:t>June 30, 2022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1"/>
        </w:trPr>
        <w:tc>
          <w:tcPr>
            <w:tcW w:w="4440" w:type="dxa"/>
            <w:vAlign w:val="bottom"/>
            <w:shd w:val="clear" w:color="auto" w:fill="CCEEFF"/>
          </w:tcPr>
          <w:p>
            <w:pPr>
              <w:ind w:left="20"/>
              <w:spacing w:after="0" w:line="221" w:lineRule="exact"/>
              <w:rPr>
                <w:sz w:val="20"/>
                <w:szCs w:val="20"/>
                <w:color w:val="auto"/>
              </w:rPr>
            </w:pPr>
            <w:r>
              <w:rPr>
                <w:rFonts w:ascii="Arial" w:cs="Arial" w:eastAsia="Arial" w:hAnsi="Arial"/>
                <w:sz w:val="17"/>
                <w:szCs w:val="17"/>
                <w:color w:val="auto"/>
              </w:rPr>
              <w:t>Related party notes – China</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9"/>
              </w:rPr>
              <w:t>Due on Demand</w:t>
            </w:r>
          </w:p>
        </w:tc>
        <w:tc>
          <w:tcPr>
            <w:tcW w:w="1280" w:type="dxa"/>
            <w:vAlign w:val="bottom"/>
            <w:shd w:val="clear" w:color="auto" w:fill="CCEEFF"/>
          </w:tcPr>
          <w:p>
            <w:pPr>
              <w:jc w:val="right"/>
              <w:ind w:right="283"/>
              <w:spacing w:after="0"/>
              <w:rPr>
                <w:sz w:val="20"/>
                <w:szCs w:val="20"/>
                <w:color w:val="auto"/>
              </w:rPr>
            </w:pPr>
            <w:r>
              <w:rPr>
                <w:rFonts w:ascii="Arial" w:cs="Arial" w:eastAsia="Arial" w:hAnsi="Arial"/>
                <w:sz w:val="17"/>
                <w:szCs w:val="17"/>
                <w:color w:val="auto"/>
              </w:rPr>
              <w:t>18.00%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1,313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1,935</w:t>
            </w:r>
          </w:p>
        </w:tc>
        <w:tc>
          <w:tcPr>
            <w:tcW w:w="0" w:type="dxa"/>
            <w:vAlign w:val="bottom"/>
          </w:tcPr>
          <w:p>
            <w:pPr>
              <w:spacing w:after="0"/>
              <w:rPr>
                <w:sz w:val="1"/>
                <w:szCs w:val="1"/>
                <w:color w:val="auto"/>
              </w:rPr>
            </w:pPr>
          </w:p>
        </w:tc>
      </w:tr>
      <w:tr>
        <w:trPr>
          <w:trHeight w:val="262"/>
        </w:trPr>
        <w:tc>
          <w:tcPr>
            <w:tcW w:w="4540" w:type="dxa"/>
            <w:vAlign w:val="bottom"/>
            <w:gridSpan w:val="2"/>
          </w:tcPr>
          <w:p>
            <w:pPr>
              <w:ind w:left="20"/>
              <w:spacing w:after="0"/>
              <w:rPr>
                <w:sz w:val="20"/>
                <w:szCs w:val="20"/>
                <w:color w:val="auto"/>
              </w:rPr>
            </w:pPr>
            <w:r>
              <w:rPr>
                <w:rFonts w:ascii="Arial" w:cs="Arial" w:eastAsia="Arial" w:hAnsi="Arial"/>
                <w:sz w:val="17"/>
                <w:szCs w:val="17"/>
                <w:color w:val="auto"/>
              </w:rPr>
              <w:t>Related party notes – China various other</w:t>
            </w:r>
          </w:p>
        </w:tc>
        <w:tc>
          <w:tcPr>
            <w:tcW w:w="160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Due on Demand</w:t>
            </w:r>
          </w:p>
        </w:tc>
        <w:tc>
          <w:tcPr>
            <w:tcW w:w="1280" w:type="dxa"/>
            <w:vAlign w:val="bottom"/>
          </w:tcPr>
          <w:p>
            <w:pPr>
              <w:jc w:val="right"/>
              <w:ind w:right="343"/>
              <w:spacing w:after="0"/>
              <w:rPr>
                <w:sz w:val="20"/>
                <w:szCs w:val="20"/>
                <w:color w:val="auto"/>
              </w:rPr>
            </w:pPr>
            <w:r>
              <w:rPr>
                <w:rFonts w:ascii="Arial" w:cs="Arial" w:eastAsia="Arial" w:hAnsi="Arial"/>
                <w:sz w:val="17"/>
                <w:szCs w:val="17"/>
                <w:color w:val="auto"/>
              </w:rPr>
              <w:t>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4,022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44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1,313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320" w:hanging="315"/>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of June 30, 2022, the Company was in default on a related party note with a principal value of $8,940.</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47" w:lineRule="exact"/>
        <w:rPr>
          <w:rFonts w:ascii="Arial" w:cs="Arial" w:eastAsia="Arial" w:hAnsi="Arial"/>
          <w:sz w:val="17"/>
          <w:szCs w:val="17"/>
          <w:color w:val="auto"/>
        </w:rPr>
      </w:pPr>
    </w:p>
    <w:p>
      <w:pPr>
        <w:ind w:left="5760"/>
        <w:spacing w:after="0"/>
        <w:rPr>
          <w:rFonts w:ascii="Arial" w:cs="Arial" w:eastAsia="Arial" w:hAnsi="Arial"/>
          <w:sz w:val="17"/>
          <w:szCs w:val="17"/>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7" w:name="page18"/>
    <w:bookmarkEnd w:id="17"/>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60" w:firstLine="440"/>
        <w:spacing w:after="0" w:line="289" w:lineRule="auto"/>
        <w:rPr>
          <w:sz w:val="20"/>
          <w:szCs w:val="20"/>
          <w:color w:val="auto"/>
        </w:rPr>
      </w:pPr>
      <w:r>
        <w:rPr>
          <w:rFonts w:ascii="Arial" w:cs="Arial" w:eastAsia="Arial" w:hAnsi="Arial"/>
          <w:sz w:val="17"/>
          <w:szCs w:val="17"/>
          <w:color w:val="auto"/>
        </w:rPr>
        <w:t>The estimated fair value of the related party notes payable, which are not carried at fair value, using inputs from Level 3 under the fair value hierarchy, was $13,967 and $13,337 as of June 30, 2022 and December 31, 2021, respectively.</w:t>
      </w:r>
    </w:p>
    <w:p>
      <w:pPr>
        <w:spacing w:after="0" w:line="204"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b w:val="1"/>
          <w:bCs w:val="1"/>
          <w:color w:val="auto"/>
        </w:rPr>
        <w:t>9.</w:t>
      </w:r>
      <w:r>
        <w:rPr>
          <w:sz w:val="20"/>
          <w:szCs w:val="20"/>
          <w:color w:val="auto"/>
        </w:rPr>
        <w:tab/>
      </w:r>
      <w:r>
        <w:rPr>
          <w:rFonts w:ascii="Arial" w:cs="Arial" w:eastAsia="Arial" w:hAnsi="Arial"/>
          <w:sz w:val="15"/>
          <w:szCs w:val="15"/>
          <w:b w:val="1"/>
          <w:bCs w:val="1"/>
          <w:color w:val="auto"/>
        </w:rPr>
        <w:t>Notes Payable</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has entered into notes payable agreements with third parties, which consists of the following as of June 30, 2022:</w:t>
      </w:r>
    </w:p>
    <w:p>
      <w:pPr>
        <w:spacing w:after="0" w:line="200" w:lineRule="exact"/>
        <w:rPr>
          <w:sz w:val="20"/>
          <w:szCs w:val="20"/>
          <w:color w:val="auto"/>
        </w:rPr>
      </w:pPr>
    </w:p>
    <w:p>
      <w:pPr>
        <w:jc w:val="center"/>
        <w:ind w:right="400"/>
        <w:spacing w:after="0"/>
        <w:rPr>
          <w:sz w:val="20"/>
          <w:szCs w:val="20"/>
          <w:color w:val="auto"/>
        </w:rPr>
      </w:pPr>
      <w:r>
        <w:rPr>
          <w:rFonts w:ascii="Arial" w:cs="Arial" w:eastAsia="Arial" w:hAnsi="Arial"/>
          <w:sz w:val="14"/>
          <w:szCs w:val="14"/>
          <w:b w:val="1"/>
          <w:bCs w:val="1"/>
          <w:color w:val="auto"/>
        </w:rPr>
        <w:t>June 30, 2022</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21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2"/>
                <w:szCs w:val="12"/>
                <w:b w:val="1"/>
                <w:bCs w:val="1"/>
                <w:color w:val="auto"/>
                <w:w w:val="90"/>
              </w:rPr>
              <w:t>Original issue</w:t>
            </w:r>
          </w:p>
        </w:tc>
        <w:tc>
          <w:tcPr>
            <w:tcW w:w="960" w:type="dxa"/>
            <w:vAlign w:val="bottom"/>
            <w:tcBorders>
              <w:top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2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0"/>
              </w:rPr>
              <w:t>discount and</w:t>
            </w:r>
          </w:p>
        </w:tc>
        <w:tc>
          <w:tcPr>
            <w:tcW w:w="9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2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Contractual</w:t>
            </w:r>
          </w:p>
        </w:tc>
        <w:tc>
          <w:tcPr>
            <w:tcW w:w="1020" w:type="dxa"/>
            <w:vAlign w:val="bottom"/>
          </w:tcPr>
          <w:p>
            <w:pPr>
              <w:jc w:val="center"/>
              <w:ind w:left="19"/>
              <w:spacing w:after="0" w:line="131" w:lineRule="exact"/>
              <w:rPr>
                <w:sz w:val="20"/>
                <w:szCs w:val="20"/>
                <w:color w:val="auto"/>
              </w:rPr>
            </w:pPr>
            <w:r>
              <w:rPr>
                <w:rFonts w:ascii="Arial" w:cs="Arial" w:eastAsia="Arial" w:hAnsi="Arial"/>
                <w:sz w:val="12"/>
                <w:szCs w:val="12"/>
                <w:b w:val="1"/>
                <w:bCs w:val="1"/>
                <w:color w:val="auto"/>
                <w:w w:val="92"/>
              </w:rPr>
              <w:t>Contractual</w:t>
            </w:r>
          </w:p>
        </w:tc>
        <w:tc>
          <w:tcPr>
            <w:tcW w:w="11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Unpaid Principal</w:t>
            </w:r>
          </w:p>
        </w:tc>
        <w:tc>
          <w:tcPr>
            <w:tcW w:w="10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Fair Value</w:t>
            </w:r>
          </w:p>
        </w:tc>
        <w:tc>
          <w:tcPr>
            <w:tcW w:w="11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86"/>
              </w:rPr>
              <w:t>proceeds</w:t>
            </w:r>
          </w:p>
        </w:tc>
        <w:tc>
          <w:tcPr>
            <w:tcW w:w="9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2"/>
              </w:rPr>
              <w:t>Net</w:t>
            </w:r>
          </w:p>
        </w:tc>
        <w:tc>
          <w:tcPr>
            <w:tcW w:w="132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1"/>
              </w:rPr>
              <w:t>Interest Expense for</w:t>
            </w:r>
          </w:p>
        </w:tc>
        <w:tc>
          <w:tcPr>
            <w:tcW w:w="1180" w:type="dxa"/>
            <w:vAlign w:val="bottom"/>
          </w:tcPr>
          <w:p>
            <w:pPr>
              <w:jc w:val="center"/>
              <w:ind w:left="19"/>
              <w:spacing w:after="0" w:line="131" w:lineRule="exact"/>
              <w:rPr>
                <w:sz w:val="20"/>
                <w:szCs w:val="20"/>
                <w:color w:val="auto"/>
              </w:rPr>
            </w:pPr>
            <w:r>
              <w:rPr>
                <w:rFonts w:ascii="Arial" w:cs="Arial" w:eastAsia="Arial" w:hAnsi="Arial"/>
                <w:sz w:val="12"/>
                <w:szCs w:val="12"/>
                <w:b w:val="1"/>
                <w:bCs w:val="1"/>
                <w:color w:val="auto"/>
                <w:w w:val="91"/>
              </w:rPr>
              <w:t>Interest Expense for</w:t>
            </w:r>
          </w:p>
        </w:tc>
        <w:tc>
          <w:tcPr>
            <w:tcW w:w="0" w:type="dxa"/>
            <w:vAlign w:val="bottom"/>
          </w:tcPr>
          <w:p>
            <w:pPr>
              <w:spacing w:after="0"/>
              <w:rPr>
                <w:sz w:val="1"/>
                <w:szCs w:val="1"/>
                <w:color w:val="auto"/>
              </w:rPr>
            </w:pPr>
          </w:p>
        </w:tc>
      </w:tr>
      <w:tr>
        <w:trPr>
          <w:trHeight w:val="118"/>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Note Name</w:t>
            </w:r>
          </w:p>
        </w:tc>
        <w:tc>
          <w:tcPr>
            <w:tcW w:w="1220" w:type="dxa"/>
            <w:vAlign w:val="bottom"/>
            <w:vMerge w:val="continue"/>
          </w:tcPr>
          <w:p>
            <w:pPr>
              <w:spacing w:after="0"/>
              <w:rPr>
                <w:sz w:val="10"/>
                <w:szCs w:val="10"/>
                <w:color w:val="auto"/>
              </w:rPr>
            </w:pPr>
          </w:p>
        </w:tc>
        <w:tc>
          <w:tcPr>
            <w:tcW w:w="10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2"/>
              </w:rPr>
              <w:t>Interest</w:t>
            </w:r>
          </w:p>
        </w:tc>
        <w:tc>
          <w:tcPr>
            <w:tcW w:w="1180" w:type="dxa"/>
            <w:vAlign w:val="bottom"/>
            <w:vMerge w:val="continue"/>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3"/>
              </w:rPr>
              <w:t>Measurement</w:t>
            </w:r>
          </w:p>
        </w:tc>
        <w:tc>
          <w:tcPr>
            <w:tcW w:w="114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89"/>
              </w:rPr>
              <w:t>allocated to</w:t>
            </w:r>
          </w:p>
        </w:tc>
        <w:tc>
          <w:tcPr>
            <w:tcW w:w="96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7"/>
              </w:rPr>
              <w:t>Carrying</w:t>
            </w:r>
          </w:p>
        </w:tc>
        <w:tc>
          <w:tcPr>
            <w:tcW w:w="1320" w:type="dxa"/>
            <w:vAlign w:val="bottom"/>
          </w:tcPr>
          <w:p>
            <w:pPr>
              <w:jc w:val="center"/>
              <w:spacing w:after="0" w:line="118" w:lineRule="exact"/>
              <w:rPr>
                <w:sz w:val="20"/>
                <w:szCs w:val="20"/>
                <w:color w:val="auto"/>
              </w:rPr>
            </w:pPr>
            <w:r>
              <w:rPr>
                <w:rFonts w:ascii="Arial" w:cs="Arial" w:eastAsia="Arial" w:hAnsi="Arial"/>
                <w:sz w:val="12"/>
                <w:szCs w:val="12"/>
                <w:b w:val="1"/>
                <w:bCs w:val="1"/>
                <w:color w:val="auto"/>
                <w:w w:val="93"/>
              </w:rPr>
              <w:t>the Three Months</w:t>
            </w:r>
          </w:p>
        </w:tc>
        <w:tc>
          <w:tcPr>
            <w:tcW w:w="1180" w:type="dxa"/>
            <w:vAlign w:val="bottom"/>
          </w:tcPr>
          <w:p>
            <w:pPr>
              <w:jc w:val="center"/>
              <w:ind w:left="19"/>
              <w:spacing w:after="0" w:line="118" w:lineRule="exact"/>
              <w:rPr>
                <w:sz w:val="20"/>
                <w:szCs w:val="20"/>
                <w:color w:val="auto"/>
              </w:rPr>
            </w:pPr>
            <w:r>
              <w:rPr>
                <w:rFonts w:ascii="Arial" w:cs="Arial" w:eastAsia="Arial" w:hAnsi="Arial"/>
                <w:sz w:val="12"/>
                <w:szCs w:val="12"/>
                <w:b w:val="1"/>
                <w:bCs w:val="1"/>
                <w:color w:val="auto"/>
                <w:w w:val="91"/>
              </w:rPr>
              <w:t>the Six Months</w:t>
            </w:r>
          </w:p>
        </w:tc>
        <w:tc>
          <w:tcPr>
            <w:tcW w:w="0" w:type="dxa"/>
            <w:vAlign w:val="bottom"/>
          </w:tcPr>
          <w:p>
            <w:pPr>
              <w:spacing w:after="0"/>
              <w:rPr>
                <w:sz w:val="1"/>
                <w:szCs w:val="1"/>
                <w:color w:val="auto"/>
              </w:rPr>
            </w:pPr>
          </w:p>
        </w:tc>
      </w:tr>
      <w:tr>
        <w:trPr>
          <w:trHeight w:val="160"/>
        </w:trPr>
        <w:tc>
          <w:tcPr>
            <w:tcW w:w="2120" w:type="dxa"/>
            <w:vAlign w:val="bottom"/>
            <w:vMerge w:val="continue"/>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2"/>
                <w:szCs w:val="12"/>
                <w:b w:val="1"/>
                <w:bCs w:val="1"/>
                <w:color w:val="auto"/>
                <w:w w:val="99"/>
              </w:rPr>
              <w:t>Maturity Date</w:t>
            </w:r>
          </w:p>
        </w:tc>
        <w:tc>
          <w:tcPr>
            <w:tcW w:w="1020" w:type="dxa"/>
            <w:vAlign w:val="bottom"/>
          </w:tcPr>
          <w:p>
            <w:pPr>
              <w:jc w:val="center"/>
              <w:ind w:left="19"/>
              <w:spacing w:after="0"/>
              <w:rPr>
                <w:sz w:val="20"/>
                <w:szCs w:val="20"/>
                <w:color w:val="auto"/>
              </w:rPr>
            </w:pPr>
            <w:r>
              <w:rPr>
                <w:rFonts w:ascii="Arial" w:cs="Arial" w:eastAsia="Arial" w:hAnsi="Arial"/>
                <w:sz w:val="12"/>
                <w:szCs w:val="12"/>
                <w:b w:val="1"/>
                <w:bCs w:val="1"/>
                <w:color w:val="auto"/>
                <w:w w:val="91"/>
              </w:rPr>
              <w:t>Rates</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1"/>
              </w:rPr>
              <w:t>Balance</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0"/>
              </w:rPr>
              <w:t>Adjustments</w:t>
            </w: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5"/>
              </w:rPr>
              <w:t>warrants</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87"/>
              </w:rPr>
              <w:t>Value</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91"/>
              </w:rPr>
              <w:t>Ended June 30, 2022</w:t>
            </w:r>
          </w:p>
        </w:tc>
        <w:tc>
          <w:tcPr>
            <w:tcW w:w="1180" w:type="dxa"/>
            <w:vAlign w:val="bottom"/>
          </w:tcPr>
          <w:p>
            <w:pPr>
              <w:jc w:val="center"/>
              <w:ind w:left="39"/>
              <w:spacing w:after="0"/>
              <w:rPr>
                <w:sz w:val="20"/>
                <w:szCs w:val="20"/>
                <w:color w:val="auto"/>
              </w:rPr>
            </w:pPr>
            <w:r>
              <w:rPr>
                <w:rFonts w:ascii="Arial" w:cs="Arial" w:eastAsia="Arial" w:hAnsi="Arial"/>
                <w:sz w:val="12"/>
                <w:szCs w:val="12"/>
                <w:b w:val="1"/>
                <w:bCs w:val="1"/>
                <w:color w:val="auto"/>
                <w:w w:val="91"/>
              </w:rPr>
              <w:t>Ended June 30, 2022</w:t>
            </w:r>
          </w:p>
        </w:tc>
        <w:tc>
          <w:tcPr>
            <w:tcW w:w="0" w:type="dxa"/>
            <w:vAlign w:val="bottom"/>
          </w:tcPr>
          <w:p>
            <w:pPr>
              <w:spacing w:after="0"/>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2"/>
              </w:rPr>
              <w:t>June 9, 2021 Note 1 and Note 2</w:t>
            </w: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w w:val="91"/>
              </w:rPr>
              <w:t>December 9, 2022</w:t>
            </w:r>
          </w:p>
        </w:tc>
        <w:tc>
          <w:tcPr>
            <w:tcW w:w="8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gridSpan w:val="3"/>
            <w:shd w:val="clear" w:color="auto" w:fill="CCEEFF"/>
          </w:tcPr>
          <w:p>
            <w:pPr>
              <w:jc w:val="center"/>
              <w:ind w:left="201"/>
              <w:spacing w:after="0"/>
              <w:rPr>
                <w:sz w:val="20"/>
                <w:szCs w:val="20"/>
                <w:color w:val="auto"/>
              </w:rPr>
            </w:pPr>
            <w:r>
              <w:rPr>
                <w:rFonts w:ascii="Arial" w:cs="Arial" w:eastAsia="Arial" w:hAnsi="Arial"/>
                <w:sz w:val="16"/>
                <w:szCs w:val="16"/>
                <w:color w:val="auto"/>
                <w:w w:val="92"/>
              </w:rPr>
              <w:t>0.00%</w:t>
            </w:r>
          </w:p>
        </w:tc>
        <w:tc>
          <w:tcPr>
            <w:tcW w:w="2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8"/>
              </w:rPr>
              <w:t>40,000</w:t>
            </w:r>
          </w:p>
        </w:tc>
        <w:tc>
          <w:tcPr>
            <w:tcW w:w="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5,737</w:t>
            </w:r>
          </w:p>
        </w:tc>
        <w:tc>
          <w:tcPr>
            <w:tcW w:w="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(9,522)</w:t>
            </w: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36,215</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8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0"/>
        </w:trPr>
        <w:tc>
          <w:tcPr>
            <w:tcW w:w="2140" w:type="dxa"/>
            <w:vAlign w:val="bottom"/>
          </w:tcPr>
          <w:p>
            <w:pPr>
              <w:ind w:left="20"/>
              <w:spacing w:after="0" w:line="161" w:lineRule="exact"/>
              <w:rPr>
                <w:sz w:val="20"/>
                <w:szCs w:val="20"/>
                <w:color w:val="auto"/>
              </w:rPr>
            </w:pPr>
            <w:r>
              <w:rPr>
                <w:rFonts w:ascii="Arial" w:cs="Arial" w:eastAsia="Arial" w:hAnsi="Arial"/>
                <w:sz w:val="16"/>
                <w:szCs w:val="16"/>
                <w:color w:val="auto"/>
              </w:rPr>
              <w:t>August 10, 2021 Optional</w:t>
            </w: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vMerge w:val="restart"/>
          </w:tcPr>
          <w:p>
            <w:pPr>
              <w:jc w:val="center"/>
              <w:spacing w:after="0"/>
              <w:rPr>
                <w:sz w:val="20"/>
                <w:szCs w:val="20"/>
                <w:color w:val="auto"/>
              </w:rPr>
            </w:pPr>
            <w:r>
              <w:rPr>
                <w:rFonts w:ascii="Arial" w:cs="Arial" w:eastAsia="Arial" w:hAnsi="Arial"/>
                <w:sz w:val="16"/>
                <w:szCs w:val="16"/>
                <w:color w:val="auto"/>
                <w:w w:val="92"/>
              </w:rPr>
              <w:t>15.00%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gridSpan w:val="3"/>
            <w:vMerge w:val="restart"/>
          </w:tcPr>
          <w:p>
            <w:pPr>
              <w:jc w:val="right"/>
              <w:ind w:right="80"/>
              <w:spacing w:after="0"/>
              <w:rPr>
                <w:sz w:val="20"/>
                <w:szCs w:val="20"/>
                <w:color w:val="auto"/>
              </w:rPr>
            </w:pPr>
            <w:r>
              <w:rPr>
                <w:rFonts w:ascii="Arial" w:cs="Arial" w:eastAsia="Arial" w:hAnsi="Arial"/>
                <w:sz w:val="17"/>
                <w:szCs w:val="17"/>
                <w:color w:val="auto"/>
                <w:w w:val="88"/>
              </w:rPr>
              <w:t>33,917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color w:val="auto"/>
              </w:rPr>
              <w:t>9,585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(11,518)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31,984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1,272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2,544</w:t>
            </w:r>
          </w:p>
        </w:tc>
        <w:tc>
          <w:tcPr>
            <w:tcW w:w="0" w:type="dxa"/>
            <w:vAlign w:val="bottom"/>
          </w:tcPr>
          <w:p>
            <w:pPr>
              <w:spacing w:after="0"/>
              <w:rPr>
                <w:sz w:val="1"/>
                <w:szCs w:val="1"/>
                <w:color w:val="auto"/>
              </w:rPr>
            </w:pPr>
          </w:p>
        </w:tc>
      </w:tr>
      <w:tr>
        <w:trPr>
          <w:trHeight w:val="206"/>
        </w:trPr>
        <w:tc>
          <w:tcPr>
            <w:tcW w:w="2140" w:type="dxa"/>
            <w:vAlign w:val="bottom"/>
          </w:tcPr>
          <w:p>
            <w:pPr>
              <w:ind w:left="180"/>
              <w:spacing w:after="0"/>
              <w:rPr>
                <w:sz w:val="20"/>
                <w:szCs w:val="20"/>
                <w:color w:val="auto"/>
              </w:rPr>
            </w:pPr>
            <w:r>
              <w:rPr>
                <w:rFonts w:ascii="Arial" w:cs="Arial" w:eastAsia="Arial" w:hAnsi="Arial"/>
                <w:sz w:val="16"/>
                <w:szCs w:val="16"/>
                <w:color w:val="auto"/>
              </w:rPr>
              <w:t>Notes</w:t>
            </w:r>
          </w:p>
        </w:tc>
        <w:tc>
          <w:tcPr>
            <w:tcW w:w="128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February 10, 2023</w:t>
            </w:r>
          </w:p>
        </w:tc>
        <w:tc>
          <w:tcPr>
            <w:tcW w:w="98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14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6"/>
              </w:rPr>
              <w:t>Notes payable – China various</w:t>
            </w: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vMerge w:val="restart"/>
            <w:shd w:val="clear" w:color="auto" w:fill="CCEEFF"/>
          </w:tcPr>
          <w:p>
            <w:pPr>
              <w:jc w:val="center"/>
              <w:ind w:left="201"/>
              <w:spacing w:after="0"/>
              <w:rPr>
                <w:sz w:val="20"/>
                <w:szCs w:val="20"/>
                <w:color w:val="auto"/>
              </w:rPr>
            </w:pPr>
            <w:r>
              <w:rPr>
                <w:rFonts w:ascii="Arial" w:cs="Arial" w:eastAsia="Arial" w:hAnsi="Arial"/>
                <w:sz w:val="16"/>
                <w:szCs w:val="16"/>
                <w:color w:val="auto"/>
                <w:w w:val="92"/>
              </w:rPr>
              <w:t>0.00%</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6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7"/>
                <w:szCs w:val="17"/>
                <w:color w:val="auto"/>
              </w:rPr>
              <w:t>5,186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gridSpan w:val="3"/>
            <w:vMerge w:val="restart"/>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5,186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28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1"/>
              </w:rPr>
              <w:t>Due on Demand</w:t>
            </w:r>
          </w:p>
        </w:tc>
        <w:tc>
          <w:tcPr>
            <w:tcW w:w="700" w:type="dxa"/>
            <w:vAlign w:val="bottom"/>
            <w:gridSpan w:val="3"/>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Auto loans</w:t>
            </w:r>
          </w:p>
        </w:tc>
        <w:tc>
          <w:tcPr>
            <w:tcW w:w="12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2"/>
                <w:szCs w:val="12"/>
                <w:color w:val="auto"/>
                <w:w w:val="93"/>
              </w:rPr>
              <w:t>Various</w:t>
            </w:r>
          </w:p>
        </w:tc>
        <w:tc>
          <w:tcPr>
            <w:tcW w:w="1060" w:type="dxa"/>
            <w:vAlign w:val="bottom"/>
            <w:tcBorders>
              <w:bottom w:val="single" w:sz="8" w:color="CCEEFF"/>
            </w:tcBorders>
            <w:gridSpan w:val="5"/>
          </w:tcPr>
          <w:p>
            <w:pPr>
              <w:ind w:left="240"/>
              <w:spacing w:after="0"/>
              <w:rPr>
                <w:sz w:val="20"/>
                <w:szCs w:val="20"/>
                <w:color w:val="auto"/>
              </w:rPr>
            </w:pPr>
            <w:r>
              <w:rPr>
                <w:rFonts w:ascii="Arial" w:cs="Arial" w:eastAsia="Arial" w:hAnsi="Arial"/>
                <w:sz w:val="16"/>
                <w:szCs w:val="16"/>
                <w:color w:val="auto"/>
              </w:rPr>
              <w:t>Various</w:t>
            </w:r>
          </w:p>
        </w:tc>
        <w:tc>
          <w:tcPr>
            <w:tcW w:w="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111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600"/>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88"/>
              </w:rPr>
              <w:t>79,214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15,322</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(21,040)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73,496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4"/>
              </w:rPr>
              <w:t>$</w:t>
            </w: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2,544</w:t>
            </w: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7700" w:type="dxa"/>
            <w:vAlign w:val="bottom"/>
            <w:gridSpan w:val="22"/>
          </w:tcPr>
          <w:p>
            <w:pPr>
              <w:ind w:left="800"/>
              <w:spacing w:after="0"/>
              <w:rPr>
                <w:sz w:val="20"/>
                <w:szCs w:val="20"/>
                <w:color w:val="auto"/>
              </w:rPr>
            </w:pPr>
            <w:r>
              <w:rPr>
                <w:rFonts w:ascii="Arial" w:cs="Arial" w:eastAsia="Arial" w:hAnsi="Arial"/>
                <w:sz w:val="17"/>
                <w:szCs w:val="17"/>
                <w:color w:val="auto"/>
                <w:w w:val="92"/>
              </w:rPr>
              <w:t>The Company settled certain notes payable during the six months ended June 30, 2022 as follows: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10"/>
          </w:tcPr>
          <w:p>
            <w:pPr>
              <w:ind w:left="40"/>
              <w:spacing w:after="0"/>
              <w:rPr>
                <w:sz w:val="20"/>
                <w:szCs w:val="20"/>
                <w:color w:val="auto"/>
              </w:rPr>
            </w:pPr>
            <w:r>
              <w:rPr>
                <w:rFonts w:ascii="Arial" w:cs="Arial" w:eastAsia="Arial" w:hAnsi="Arial"/>
                <w:sz w:val="14"/>
                <w:szCs w:val="14"/>
                <w:b w:val="1"/>
                <w:bCs w:val="1"/>
                <w:color w:val="auto"/>
              </w:rPr>
              <w:t>Six months ended June 30, 2022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Contractual</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4"/>
          </w:tcPr>
          <w:p>
            <w:pPr>
              <w:jc w:val="center"/>
              <w:ind w:right="180"/>
              <w:spacing w:after="0" w:line="128" w:lineRule="exact"/>
              <w:rPr>
                <w:sz w:val="20"/>
                <w:szCs w:val="20"/>
                <w:color w:val="auto"/>
              </w:rPr>
            </w:pPr>
            <w:r>
              <w:rPr>
                <w:rFonts w:ascii="Arial" w:cs="Arial" w:eastAsia="Arial" w:hAnsi="Arial"/>
                <w:sz w:val="14"/>
                <w:szCs w:val="14"/>
                <w:b w:val="1"/>
                <w:bCs w:val="1"/>
                <w:color w:val="auto"/>
                <w:w w:val="92"/>
              </w:rPr>
              <w:t>Contractual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spacing w:after="0" w:line="128" w:lineRule="exact"/>
              <w:rPr>
                <w:sz w:val="20"/>
                <w:szCs w:val="20"/>
                <w:color w:val="auto"/>
              </w:rPr>
            </w:pPr>
            <w:r>
              <w:rPr>
                <w:rFonts w:ascii="Arial" w:cs="Arial" w:eastAsia="Arial" w:hAnsi="Arial"/>
                <w:sz w:val="14"/>
                <w:szCs w:val="14"/>
                <w:b w:val="1"/>
                <w:bCs w:val="1"/>
                <w:color w:val="auto"/>
              </w:rPr>
              <w:t>Net carrying</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80"/>
              <w:spacing w:after="0" w:line="128" w:lineRule="exact"/>
              <w:rPr>
                <w:sz w:val="20"/>
                <w:szCs w:val="20"/>
                <w:color w:val="auto"/>
              </w:rPr>
            </w:pPr>
            <w:r>
              <w:rPr>
                <w:rFonts w:ascii="Arial" w:cs="Arial" w:eastAsia="Arial" w:hAnsi="Arial"/>
                <w:sz w:val="14"/>
                <w:szCs w:val="14"/>
                <w:b w:val="1"/>
                <w:bCs w:val="1"/>
                <w:color w:val="auto"/>
                <w:w w:val="92"/>
              </w:rPr>
              <w:t>Fair Value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Payment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Note Name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400"/>
              <w:spacing w:after="0" w:line="144" w:lineRule="exact"/>
              <w:rPr>
                <w:sz w:val="20"/>
                <w:szCs w:val="20"/>
                <w:color w:val="auto"/>
              </w:rPr>
            </w:pPr>
            <w:r>
              <w:rPr>
                <w:rFonts w:ascii="Arial" w:cs="Arial" w:eastAsia="Arial" w:hAnsi="Arial"/>
                <w:sz w:val="14"/>
                <w:szCs w:val="14"/>
                <w:b w:val="1"/>
                <w:bCs w:val="1"/>
                <w:color w:val="auto"/>
                <w:w w:val="90"/>
              </w:rPr>
              <w:t>Interest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40"/>
              <w:spacing w:after="0" w:line="144" w:lineRule="exact"/>
              <w:rPr>
                <w:sz w:val="20"/>
                <w:szCs w:val="20"/>
                <w:color w:val="auto"/>
              </w:rPr>
            </w:pPr>
            <w:r>
              <w:rPr>
                <w:rFonts w:ascii="Arial" w:cs="Arial" w:eastAsia="Arial" w:hAnsi="Arial"/>
                <w:sz w:val="14"/>
                <w:szCs w:val="14"/>
                <w:b w:val="1"/>
                <w:bCs w:val="1"/>
                <w:color w:val="auto"/>
              </w:rPr>
              <w:t>value at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80"/>
              <w:spacing w:after="0" w:line="144" w:lineRule="exact"/>
              <w:rPr>
                <w:sz w:val="20"/>
                <w:szCs w:val="20"/>
                <w:color w:val="auto"/>
              </w:rPr>
            </w:pPr>
            <w:r>
              <w:rPr>
                <w:rFonts w:ascii="Arial" w:cs="Arial" w:eastAsia="Arial" w:hAnsi="Arial"/>
                <w:sz w:val="14"/>
                <w:szCs w:val="14"/>
                <w:b w:val="1"/>
                <w:bCs w:val="1"/>
                <w:color w:val="auto"/>
                <w:w w:val="90"/>
              </w:rPr>
              <w:t>Measurement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7"/>
              </w:rPr>
              <w:t>Cash Payment</w:t>
            </w:r>
          </w:p>
        </w:tc>
        <w:tc>
          <w:tcPr>
            <w:tcW w:w="0" w:type="dxa"/>
            <w:vAlign w:val="bottom"/>
          </w:tcPr>
          <w:p>
            <w:pPr>
              <w:spacing w:after="0"/>
              <w:rPr>
                <w:sz w:val="1"/>
                <w:szCs w:val="1"/>
                <w:color w:val="auto"/>
              </w:rPr>
            </w:pPr>
          </w:p>
        </w:tc>
      </w:tr>
      <w:tr>
        <w:trPr>
          <w:trHeight w:val="188"/>
        </w:trPr>
        <w:tc>
          <w:tcPr>
            <w:tcW w:w="21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Maturity Date</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3"/>
              </w:rPr>
              <w:t>Rates</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54"/>
              <w:spacing w:after="0"/>
              <w:rPr>
                <w:sz w:val="20"/>
                <w:szCs w:val="20"/>
                <w:color w:val="auto"/>
              </w:rPr>
            </w:pPr>
            <w:r>
              <w:rPr>
                <w:rFonts w:ascii="Arial" w:cs="Arial" w:eastAsia="Arial" w:hAnsi="Arial"/>
                <w:sz w:val="14"/>
                <w:szCs w:val="14"/>
                <w:b w:val="1"/>
                <w:bCs w:val="1"/>
                <w:color w:val="auto"/>
                <w:w w:val="96"/>
              </w:rPr>
              <w:t>12/31/2021</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Adjustments</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Premium</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140" w:type="dxa"/>
            <w:vAlign w:val="bottom"/>
            <w:shd w:val="clear" w:color="auto" w:fill="CCEEFF"/>
          </w:tcPr>
          <w:p>
            <w:pPr>
              <w:ind w:left="20"/>
              <w:spacing w:after="0" w:line="221" w:lineRule="exact"/>
              <w:rPr>
                <w:sz w:val="20"/>
                <w:szCs w:val="20"/>
                <w:color w:val="auto"/>
              </w:rPr>
            </w:pPr>
            <w:r>
              <w:rPr>
                <w:rFonts w:ascii="Arial" w:cs="Arial" w:eastAsia="Arial" w:hAnsi="Arial"/>
                <w:sz w:val="16"/>
                <w:szCs w:val="16"/>
                <w:color w:val="auto"/>
              </w:rPr>
              <w:t>March 1, 2021 Notes</w:t>
            </w:r>
            <w:r>
              <w:rPr>
                <w:rFonts w:ascii="Arial" w:cs="Arial" w:eastAsia="Arial" w:hAnsi="Arial"/>
                <w:sz w:val="20"/>
                <w:szCs w:val="20"/>
                <w:color w:val="auto"/>
                <w:vertAlign w:val="superscript"/>
              </w:rPr>
              <w:t>(1)</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6"/>
            <w:shd w:val="clear" w:color="auto" w:fill="CCEEFF"/>
          </w:tcPr>
          <w:p>
            <w:pPr>
              <w:jc w:val="center"/>
              <w:ind w:right="520"/>
              <w:spacing w:after="0"/>
              <w:rPr>
                <w:sz w:val="20"/>
                <w:szCs w:val="20"/>
                <w:color w:val="auto"/>
              </w:rPr>
            </w:pPr>
            <w:r>
              <w:rPr>
                <w:rFonts w:ascii="Arial" w:cs="Arial" w:eastAsia="Arial" w:hAnsi="Arial"/>
                <w:sz w:val="14"/>
                <w:szCs w:val="14"/>
                <w:color w:val="auto"/>
                <w:w w:val="91"/>
              </w:rPr>
              <w:t>March 1, 2022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88"/>
              </w:rPr>
              <w:t>14.00%</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56,695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w:t>
            </w: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line="223" w:lineRule="exact"/>
              <w:rPr>
                <w:sz w:val="20"/>
                <w:szCs w:val="20"/>
                <w:color w:val="auto"/>
              </w:rPr>
            </w:pPr>
            <w:r>
              <w:rPr>
                <w:rFonts w:ascii="Arial" w:cs="Arial" w:eastAsia="Arial" w:hAnsi="Arial"/>
                <w:sz w:val="16"/>
                <w:szCs w:val="16"/>
                <w:color w:val="auto"/>
              </w:rPr>
              <w:t>August 26, 2021 Notes</w:t>
            </w:r>
            <w:r>
              <w:rPr>
                <w:rFonts w:ascii="Arial" w:cs="Arial" w:eastAsia="Arial" w:hAnsi="Arial"/>
                <w:sz w:val="20"/>
                <w:szCs w:val="20"/>
                <w:color w:val="auto"/>
                <w:vertAlign w:val="superscript"/>
              </w:rPr>
              <w:t>(1)</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6"/>
          </w:tcPr>
          <w:p>
            <w:pPr>
              <w:jc w:val="center"/>
              <w:ind w:right="520"/>
              <w:spacing w:after="0"/>
              <w:rPr>
                <w:sz w:val="20"/>
                <w:szCs w:val="20"/>
                <w:color w:val="auto"/>
              </w:rPr>
            </w:pPr>
            <w:r>
              <w:rPr>
                <w:rFonts w:ascii="Arial" w:cs="Arial" w:eastAsia="Arial" w:hAnsi="Arial"/>
                <w:sz w:val="14"/>
                <w:szCs w:val="14"/>
                <w:color w:val="auto"/>
                <w:w w:val="91"/>
              </w:rPr>
              <w:t>March 1, 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center"/>
              <w:ind w:right="199"/>
              <w:spacing w:after="0"/>
              <w:rPr>
                <w:sz w:val="20"/>
                <w:szCs w:val="20"/>
                <w:color w:val="auto"/>
              </w:rPr>
            </w:pPr>
            <w:r>
              <w:rPr>
                <w:rFonts w:ascii="Arial" w:cs="Arial" w:eastAsia="Arial" w:hAnsi="Arial"/>
                <w:sz w:val="16"/>
                <w:szCs w:val="16"/>
                <w:color w:val="auto"/>
                <w:w w:val="88"/>
              </w:rPr>
              <w:t>14.00%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30,924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(924)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2,065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(32,065)</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auto"/>
              </w:rPr>
              <w:t xml:space="preserve">PPP Loan </w:t>
            </w:r>
            <w:r>
              <w:rPr>
                <w:rFonts w:ascii="Arial" w:cs="Arial" w:eastAsia="Arial" w:hAnsi="Arial"/>
                <w:sz w:val="20"/>
                <w:szCs w:val="20"/>
                <w:color w:val="auto"/>
                <w:vertAlign w:val="superscript"/>
              </w:rPr>
              <w:t>(2)</w:t>
            </w: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6"/>
            <w:shd w:val="clear" w:color="auto" w:fill="CCEEFF"/>
          </w:tcPr>
          <w:p>
            <w:pPr>
              <w:jc w:val="center"/>
              <w:ind w:right="520"/>
              <w:spacing w:after="0"/>
              <w:rPr>
                <w:sz w:val="20"/>
                <w:szCs w:val="20"/>
                <w:color w:val="auto"/>
              </w:rPr>
            </w:pPr>
            <w:r>
              <w:rPr>
                <w:rFonts w:ascii="Arial" w:cs="Arial" w:eastAsia="Arial" w:hAnsi="Arial"/>
                <w:sz w:val="14"/>
                <w:szCs w:val="14"/>
                <w:color w:val="auto"/>
                <w:w w:val="94"/>
              </w:rPr>
              <w:t>April 17, 2022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right="199"/>
              <w:spacing w:after="0"/>
              <w:rPr>
                <w:sz w:val="20"/>
                <w:szCs w:val="20"/>
                <w:color w:val="auto"/>
              </w:rPr>
            </w:pPr>
            <w:r>
              <w:rPr>
                <w:rFonts w:ascii="Arial" w:cs="Arial" w:eastAsia="Arial" w:hAnsi="Arial"/>
                <w:sz w:val="16"/>
                <w:szCs w:val="16"/>
                <w:color w:val="auto"/>
                <w:w w:val="88"/>
              </w:rPr>
              <w:t>1.00%</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7"/>
                <w:szCs w:val="17"/>
                <w:color w:val="auto"/>
                <w:w w:val="93"/>
              </w:rPr>
              <w:t>—</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87,812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(2,619)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2,065</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(87,258)</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320" w:right="60" w:hanging="315"/>
        <w:spacing w:after="0" w:line="289" w:lineRule="auto"/>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March 1, 2021, the Company amended the NPA to permit the issuance of additional notes payable with principal amounts up to $85,000. On the same day, the Company entered into notes payable agreements with Ares for an aggregate principal of $55,000. The notes payable were collateralized by a first lien on virtually all tangible and intangible assets of the Company, bore interest at 14.0% per annum and matured on March 1, 2022. On February 25, 2022, the Company repaid the $55,000 principal amount of the March 1, 2021 Notes with accrued interest of $7,721.</w:t>
      </w:r>
    </w:p>
    <w:p>
      <w:pPr>
        <w:spacing w:after="0" w:line="109" w:lineRule="exact"/>
        <w:rPr>
          <w:rFonts w:ascii="Arial" w:cs="Arial" w:eastAsia="Arial" w:hAnsi="Arial"/>
          <w:sz w:val="16"/>
          <w:szCs w:val="16"/>
          <w:color w:val="auto"/>
        </w:rPr>
      </w:pPr>
    </w:p>
    <w:p>
      <w:pPr>
        <w:ind w:left="320" w:right="60"/>
        <w:spacing w:after="0" w:line="289" w:lineRule="auto"/>
        <w:rPr>
          <w:rFonts w:ascii="Arial" w:cs="Arial" w:eastAsia="Arial" w:hAnsi="Arial"/>
          <w:sz w:val="16"/>
          <w:szCs w:val="16"/>
          <w:color w:val="auto"/>
        </w:rPr>
      </w:pPr>
      <w:r>
        <w:rPr>
          <w:rFonts w:ascii="Arial" w:cs="Arial" w:eastAsia="Arial" w:hAnsi="Arial"/>
          <w:sz w:val="16"/>
          <w:szCs w:val="16"/>
          <w:color w:val="auto"/>
        </w:rPr>
        <w:t>On August 26, 2021, the Company exercised its option under the March 1, 2021 notes payable agreement with Ares to draw an additional principal amount of $30,000 which matured on March 1, 2022. As the August 26, 2021 Notes mature in less than one year, according to the terms of the amended NPA, the Company expected to repay them with payment premium of 14.0% (“Payment Premium”). On February 25, 2022, the Company repaid the $30,000 principal amount of the August 26, 2021 Notes, with accrued interest of $2,135 and Payment Premium of $2,065.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June 30,</w:t>
            </w:r>
          </w:p>
        </w:tc>
        <w:tc>
          <w:tcPr>
            <w:tcW w:w="122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48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4840" w:type="dxa"/>
            <w:vAlign w:val="bottom"/>
          </w:tcPr>
          <w:p>
            <w:pPr>
              <w:ind w:left="20"/>
              <w:spacing w:after="0"/>
              <w:rPr>
                <w:sz w:val="20"/>
                <w:szCs w:val="20"/>
                <w:color w:val="auto"/>
              </w:rPr>
            </w:pPr>
            <w:r>
              <w:rPr>
                <w:rFonts w:ascii="Arial" w:cs="Arial" w:eastAsia="Arial" w:hAnsi="Arial"/>
                <w:sz w:val="17"/>
                <w:szCs w:val="17"/>
                <w:b w:val="1"/>
                <w:bCs w:val="1"/>
                <w:color w:val="auto"/>
              </w:rPr>
              <w:t>March 1, 2021 Notes</w:t>
            </w: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principal</w:t>
            </w:r>
          </w:p>
        </w:tc>
        <w:tc>
          <w:tcPr>
            <w:tcW w:w="37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7"/>
                <w:szCs w:val="17"/>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w:t>
            </w:r>
          </w:p>
        </w:tc>
        <w:tc>
          <w:tcPr>
            <w:tcW w:w="0" w:type="dxa"/>
            <w:vAlign w:val="bottom"/>
          </w:tcPr>
          <w:p>
            <w:pPr>
              <w:spacing w:after="0"/>
              <w:rPr>
                <w:sz w:val="1"/>
                <w:szCs w:val="1"/>
                <w:color w:val="auto"/>
              </w:rPr>
            </w:pPr>
          </w:p>
        </w:tc>
      </w:tr>
      <w:tr>
        <w:trPr>
          <w:trHeight w:val="222"/>
        </w:trPr>
        <w:tc>
          <w:tcPr>
            <w:tcW w:w="4840" w:type="dxa"/>
            <w:vAlign w:val="bottom"/>
          </w:tcPr>
          <w:p>
            <w:pPr>
              <w:ind w:left="20"/>
              <w:spacing w:after="0"/>
              <w:rPr>
                <w:sz w:val="20"/>
                <w:szCs w:val="20"/>
                <w:color w:val="auto"/>
              </w:rPr>
            </w:pPr>
            <w:r>
              <w:rPr>
                <w:rFonts w:ascii="Arial" w:cs="Arial" w:eastAsia="Arial" w:hAnsi="Arial"/>
                <w:sz w:val="17"/>
                <w:szCs w:val="17"/>
                <w:color w:val="auto"/>
              </w:rPr>
              <w:t>Accrued interest</w:t>
            </w: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6,455</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for the six months ended June 30, 2022</w:t>
            </w:r>
          </w:p>
        </w:tc>
        <w:tc>
          <w:tcPr>
            <w:tcW w:w="3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840" w:type="dxa"/>
            <w:vAlign w:val="bottom"/>
          </w:tcPr>
          <w:p>
            <w:pPr>
              <w:ind w:left="20"/>
              <w:spacing w:after="0"/>
              <w:rPr>
                <w:sz w:val="20"/>
                <w:szCs w:val="20"/>
                <w:color w:val="auto"/>
              </w:rPr>
            </w:pPr>
            <w:r>
              <w:rPr>
                <w:rFonts w:ascii="Arial" w:cs="Arial" w:eastAsia="Arial" w:hAnsi="Arial"/>
                <w:sz w:val="17"/>
                <w:szCs w:val="17"/>
                <w:color w:val="auto"/>
              </w:rPr>
              <w:t>Principal payments</w:t>
            </w:r>
          </w:p>
        </w:tc>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payments</w:t>
            </w:r>
          </w:p>
        </w:tc>
        <w:tc>
          <w:tcPr>
            <w:tcW w:w="3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77"/>
        </w:trPr>
        <w:tc>
          <w:tcPr>
            <w:tcW w:w="4840" w:type="dxa"/>
            <w:vAlign w:val="bottom"/>
          </w:tcPr>
          <w:p>
            <w:pPr>
              <w:spacing w:after="0"/>
              <w:rPr>
                <w:sz w:val="24"/>
                <w:szCs w:val="24"/>
                <w:color w:val="auto"/>
              </w:rPr>
            </w:pPr>
          </w:p>
        </w:tc>
        <w:tc>
          <w:tcPr>
            <w:tcW w:w="3460" w:type="dxa"/>
            <w:vAlign w:val="bottom"/>
          </w:tcPr>
          <w:p>
            <w:pPr>
              <w:jc w:val="right"/>
              <w:ind w:right="2273"/>
              <w:spacing w:after="0"/>
              <w:rPr>
                <w:sz w:val="20"/>
                <w:szCs w:val="20"/>
                <w:color w:val="auto"/>
              </w:rPr>
            </w:pPr>
            <w:r>
              <w:rPr>
                <w:rFonts w:ascii="Arial" w:cs="Arial" w:eastAsia="Arial" w:hAnsi="Arial"/>
                <w:sz w:val="17"/>
                <w:szCs w:val="17"/>
                <w:color w:val="auto"/>
              </w:rPr>
              <w:t>17</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840" w:type="dxa"/>
            <w:vAlign w:val="bottom"/>
            <w:tcBorders>
              <w:bottom w:val="single" w:sz="8" w:color="9A9A9A"/>
            </w:tcBorders>
          </w:tcPr>
          <w:p>
            <w:pPr>
              <w:spacing w:after="0"/>
              <w:rPr>
                <w:sz w:val="9"/>
                <w:szCs w:val="9"/>
                <w:color w:val="auto"/>
              </w:rPr>
            </w:pPr>
          </w:p>
        </w:tc>
        <w:tc>
          <w:tcPr>
            <w:tcW w:w="34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8" w:name="page19"/>
    <w:bookmarkEnd w:id="18"/>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3"/>
          </w:tcPr>
          <w:p>
            <w:pPr>
              <w:ind w:left="180"/>
              <w:spacing w:after="0"/>
              <w:rPr>
                <w:sz w:val="20"/>
                <w:szCs w:val="20"/>
                <w:color w:val="auto"/>
              </w:rPr>
            </w:pPr>
            <w:r>
              <w:rPr>
                <w:rFonts w:ascii="Arial" w:cs="Arial" w:eastAsia="Arial" w:hAnsi="Arial"/>
                <w:sz w:val="14"/>
                <w:szCs w:val="14"/>
                <w:b w:val="1"/>
                <w:bCs w:val="1"/>
                <w:color w:val="auto"/>
              </w:rPr>
              <w:t>June 30,</w:t>
            </w:r>
          </w:p>
        </w:tc>
        <w:tc>
          <w:tcPr>
            <w:tcW w:w="122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6"/>
        </w:trPr>
        <w:tc>
          <w:tcPr>
            <w:tcW w:w="8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vMerge w:val="restart"/>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8300" w:type="dxa"/>
            <w:vAlign w:val="bottom"/>
          </w:tcPr>
          <w:p>
            <w:pPr>
              <w:ind w:left="20"/>
              <w:spacing w:after="0"/>
              <w:rPr>
                <w:sz w:val="20"/>
                <w:szCs w:val="20"/>
                <w:color w:val="auto"/>
              </w:rPr>
            </w:pPr>
            <w:r>
              <w:rPr>
                <w:rFonts w:ascii="Arial" w:cs="Arial" w:eastAsia="Arial" w:hAnsi="Arial"/>
                <w:sz w:val="17"/>
                <w:szCs w:val="17"/>
                <w:b w:val="1"/>
                <w:bCs w:val="1"/>
                <w:color w:val="auto"/>
              </w:rPr>
              <w:t>August 26, 2021 Notes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principal</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440" w:type="dxa"/>
            <w:vAlign w:val="bottom"/>
            <w:gridSpan w:val="3"/>
            <w:shd w:val="clear" w:color="auto" w:fill="CCEEFF"/>
          </w:tcPr>
          <w:p>
            <w:pPr>
              <w:ind w:left="900"/>
              <w:spacing w:after="0"/>
              <w:rPr>
                <w:sz w:val="20"/>
                <w:szCs w:val="20"/>
                <w:color w:val="auto"/>
              </w:rPr>
            </w:pPr>
            <w:r>
              <w:rPr>
                <w:rFonts w:ascii="Arial" w:cs="Arial" w:eastAsia="Arial" w:hAnsi="Arial"/>
                <w:sz w:val="17"/>
                <w:szCs w:val="17"/>
                <w:color w:val="auto"/>
              </w:rPr>
              <w:t>—  $</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0" w:type="dxa"/>
            <w:vAlign w:val="bottom"/>
          </w:tcPr>
          <w:p>
            <w:pPr>
              <w:spacing w:after="0"/>
              <w:rPr>
                <w:sz w:val="1"/>
                <w:szCs w:val="1"/>
                <w:color w:val="auto"/>
              </w:rPr>
            </w:pP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Accrued interest</w:t>
            </w:r>
          </w:p>
        </w:tc>
        <w:tc>
          <w:tcPr>
            <w:tcW w:w="280" w:type="dxa"/>
            <w:vAlign w:val="bottom"/>
          </w:tcPr>
          <w:p>
            <w:pPr>
              <w:spacing w:after="0"/>
              <w:rPr>
                <w:sz w:val="19"/>
                <w:szCs w:val="19"/>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for the six months ended June 30, 2022</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Principal payments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payments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Payment Premium payments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April 2022, the Company paid the remaining principal and accrued interest in an aggregate amount of $195.</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Notes Payable Not Carried at Fair Value</w:t>
      </w:r>
    </w:p>
    <w:p>
      <w:pPr>
        <w:spacing w:after="0" w:line="171" w:lineRule="exact"/>
        <w:rPr>
          <w:sz w:val="20"/>
          <w:szCs w:val="20"/>
          <w:color w:val="auto"/>
        </w:rPr>
      </w:pPr>
    </w:p>
    <w:p>
      <w:pPr>
        <w:ind w:right="240" w:firstLine="472"/>
        <w:spacing w:after="0" w:line="289" w:lineRule="auto"/>
        <w:rPr>
          <w:sz w:val="20"/>
          <w:szCs w:val="20"/>
          <w:color w:val="auto"/>
        </w:rPr>
      </w:pPr>
      <w:r>
        <w:rPr>
          <w:rFonts w:ascii="Arial" w:cs="Arial" w:eastAsia="Arial" w:hAnsi="Arial"/>
          <w:sz w:val="17"/>
          <w:szCs w:val="17"/>
          <w:color w:val="auto"/>
        </w:rPr>
        <w:t>The estimated fair value of the Company’s notes payable not carried at fair value, using inputs from Level 3 under the fair value hierarchy, was $5,155 and $5,350 as of June 30, 2022 and December 31, 2021,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820" w:type="dxa"/>
            <w:vAlign w:val="bottom"/>
          </w:tcPr>
          <w:p>
            <w:pPr>
              <w:spacing w:after="0"/>
              <w:rPr>
                <w:sz w:val="20"/>
                <w:szCs w:val="20"/>
                <w:color w:val="auto"/>
              </w:rPr>
            </w:pPr>
            <w:r>
              <w:rPr>
                <w:rFonts w:ascii="Arial" w:cs="Arial" w:eastAsia="Arial" w:hAnsi="Arial"/>
                <w:sz w:val="17"/>
                <w:szCs w:val="17"/>
                <w:i w:val="1"/>
                <w:iCs w:val="1"/>
                <w:color w:val="auto"/>
              </w:rPr>
              <w:t>Schedule of Principal Maturities of Notes Payable</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54"/>
        </w:trPr>
        <w:tc>
          <w:tcPr>
            <w:tcW w:w="9820" w:type="dxa"/>
            <w:vAlign w:val="bottom"/>
          </w:tcPr>
          <w:p>
            <w:pPr>
              <w:spacing w:after="0"/>
              <w:rPr>
                <w:sz w:val="20"/>
                <w:szCs w:val="20"/>
                <w:color w:val="auto"/>
              </w:rPr>
            </w:pPr>
            <w:r>
              <w:rPr>
                <w:rFonts w:ascii="Arial" w:cs="Arial" w:eastAsia="Arial" w:hAnsi="Arial"/>
                <w:sz w:val="17"/>
                <w:szCs w:val="17"/>
                <w:color w:val="auto"/>
              </w:rPr>
              <w:t>The future scheduled principal maturities of notes payable as of June 30, 2022 are as follows:</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
        </w:trPr>
        <w:tc>
          <w:tcPr>
            <w:tcW w:w="9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3"/>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on demand</w:t>
            </w:r>
          </w:p>
        </w:tc>
        <w:tc>
          <w:tcPr>
            <w:tcW w:w="480" w:type="dxa"/>
            <w:vAlign w:val="bottom"/>
            <w:shd w:val="clear" w:color="auto" w:fill="CCEEFF"/>
          </w:tcPr>
          <w:p>
            <w:pPr>
              <w:jc w:val="right"/>
              <w:ind w:right="29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5,186</w:t>
            </w:r>
          </w:p>
        </w:tc>
      </w:tr>
      <w:tr>
        <w:trPr>
          <w:trHeight w:val="222"/>
        </w:trPr>
        <w:tc>
          <w:tcPr>
            <w:tcW w:w="9820" w:type="dxa"/>
            <w:vAlign w:val="bottom"/>
          </w:tcPr>
          <w:p>
            <w:pPr>
              <w:ind w:left="20"/>
              <w:spacing w:after="0"/>
              <w:rPr>
                <w:sz w:val="20"/>
                <w:szCs w:val="20"/>
                <w:color w:val="auto"/>
              </w:rPr>
            </w:pPr>
            <w:r>
              <w:rPr>
                <w:rFonts w:ascii="Arial" w:cs="Arial" w:eastAsia="Arial" w:hAnsi="Arial"/>
                <w:sz w:val="17"/>
                <w:szCs w:val="17"/>
                <w:color w:val="auto"/>
              </w:rPr>
              <w:t>2022</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40,111</w:t>
            </w:r>
          </w:p>
        </w:tc>
      </w:tr>
      <w:tr>
        <w:trPr>
          <w:trHeight w:val="223"/>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33,917</w:t>
            </w:r>
          </w:p>
        </w:tc>
      </w:tr>
      <w:tr>
        <w:trPr>
          <w:trHeight w:val="216"/>
        </w:trPr>
        <w:tc>
          <w:tcPr>
            <w:tcW w:w="982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79,214</w:t>
            </w:r>
          </w:p>
        </w:tc>
      </w:tr>
      <w:tr>
        <w:trPr>
          <w:trHeight w:val="20"/>
        </w:trPr>
        <w:tc>
          <w:tcPr>
            <w:tcW w:w="9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4"/>
          <w:szCs w:val="14"/>
          <w:b w:val="1"/>
          <w:bCs w:val="1"/>
          <w:color w:val="auto"/>
        </w:rPr>
        <w:t>Leases</w:t>
      </w:r>
    </w:p>
    <w:p>
      <w:pPr>
        <w:spacing w:after="0" w:line="177" w:lineRule="exact"/>
        <w:rPr>
          <w:sz w:val="20"/>
          <w:szCs w:val="20"/>
          <w:color w:val="auto"/>
        </w:rPr>
      </w:pPr>
    </w:p>
    <w:p>
      <w:pPr>
        <w:ind w:firstLine="440"/>
        <w:spacing w:after="0" w:line="279" w:lineRule="auto"/>
        <w:rPr>
          <w:sz w:val="20"/>
          <w:szCs w:val="20"/>
          <w:color w:val="auto"/>
        </w:rPr>
      </w:pPr>
      <w:r>
        <w:rPr>
          <w:rFonts w:ascii="Arial" w:cs="Arial" w:eastAsia="Arial" w:hAnsi="Arial"/>
          <w:sz w:val="16"/>
          <w:szCs w:val="16"/>
          <w:color w:val="auto"/>
        </w:rPr>
        <w:t>The Company determines if an arrangement is a lease at its commencement if the Company is both able to identify an asset and conclude the Company has the right to control the identified asset. Leases are classified as finance or operating based on the principle of whether or not the lease is effectively a financed purchase by the lessee. An ROU asset represents the Company’s right to use an underlying asset for the lease term and a lease liability represents the Company’s obligation to make lease payments related to the lease. The Company recognizes operating and finance lease ROU assets and liabilities at the commencement date based on the present value of lease payments over the lease term. The lease term includes renewal options when it is reasonably certain that the option will be exercised, and excludes termination options. The Company’s leases do not provide an implicit rate therefore, the Company uses its incremental borrowing rate based on information available at the commencement date to determine the present value of lease payments. The incremental borrowing rate used is estimated based on what the Company would be required to pay for a collateralized loan for a similar asset over a similar term. The Company’s leases do not include any material residual value guarantees, bargain purchase options, or asset retirement obligations.</w:t>
      </w:r>
    </w:p>
    <w:p>
      <w:pPr>
        <w:spacing w:after="0" w:line="118" w:lineRule="exact"/>
        <w:rPr>
          <w:sz w:val="20"/>
          <w:szCs w:val="20"/>
          <w:color w:val="auto"/>
        </w:rPr>
      </w:pPr>
    </w:p>
    <w:p>
      <w:pPr>
        <w:jc w:val="both"/>
        <w:ind w:firstLine="440"/>
        <w:spacing w:after="0" w:line="278" w:lineRule="auto"/>
        <w:rPr>
          <w:sz w:val="20"/>
          <w:szCs w:val="20"/>
          <w:color w:val="auto"/>
        </w:rPr>
      </w:pPr>
      <w:r>
        <w:rPr>
          <w:rFonts w:ascii="Arial" w:cs="Arial" w:eastAsia="Arial" w:hAnsi="Arial"/>
          <w:sz w:val="16"/>
          <w:szCs w:val="16"/>
          <w:color w:val="auto"/>
        </w:rPr>
        <w:t>To the extent that the Company’s agreements have variable lease payments, the Company includes variable lease payments that depend on an index or a rate and excludes those that depend on facts or circumstances occurring after the commencement date, other than the passage of time. Lease expense for operating leases is recognized on a straight-line basis over the lease term and is recorded in operating expenses on the Condensed Consolidated Statements of Operations and Comprehensive Loss. Amortization of right-of-use assets on finance leases is recorded on a straight-line basis within operating expenses in the Condensed Consolidated Statements of Operations. Interest expense incurred on finance lease liabilities is recorded in Interest expense on the Condensed Consolidated Statements of Operations and Comprehensive Loss. The Company has elected not to recognize ROU assets and lease liabilities that arise from short-term (12 months or less) leases for any class of underlying asset. Additionally, the Company does not separate lease and non-lease components. Operating leases are included in Right of use assets, Operating leases liabilities, current portion and Operating lease liabilities, less current portion in the Company's Condensed Consolidated Balance Sheets. Finance leases are included in Property and equipment, net, Finance lease liabilities, current portion, and Finance lease liabilities, less current portion in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19" w:name="page20"/>
    <w:bookmarkEnd w:id="19"/>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60" w:firstLine="440"/>
        <w:spacing w:after="0" w:line="289" w:lineRule="auto"/>
        <w:rPr>
          <w:sz w:val="20"/>
          <w:szCs w:val="20"/>
          <w:color w:val="auto"/>
        </w:rPr>
      </w:pPr>
      <w:r>
        <w:rPr>
          <w:rFonts w:ascii="Arial" w:cs="Arial" w:eastAsia="Arial" w:hAnsi="Arial"/>
          <w:sz w:val="17"/>
          <w:szCs w:val="17"/>
          <w:color w:val="auto"/>
        </w:rPr>
        <w:t>The Company’s lease arrangements consist primarily of corporate office, store, equipment, and vehicle lease agreements. The leases expire at various dates through 2032, some of which include options to extend the lease term for additional 5 years periods.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Total lease costs for the three and six months ended June 30, 2022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Three Months Ended</w:t>
            </w:r>
          </w:p>
        </w:tc>
        <w:tc>
          <w:tcPr>
            <w:tcW w:w="220" w:type="dxa"/>
            <w:vAlign w:val="bottom"/>
          </w:tcPr>
          <w:p>
            <w:pPr>
              <w:spacing w:after="0"/>
              <w:rPr>
                <w:sz w:val="14"/>
                <w:szCs w:val="14"/>
                <w:color w:val="auto"/>
              </w:rPr>
            </w:pPr>
          </w:p>
        </w:tc>
        <w:tc>
          <w:tcPr>
            <w:tcW w:w="154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June 30, 2022</w:t>
            </w:r>
          </w:p>
        </w:tc>
        <w:tc>
          <w:tcPr>
            <w:tcW w:w="220" w:type="dxa"/>
            <w:vAlign w:val="bottom"/>
          </w:tcPr>
          <w:p>
            <w:pPr>
              <w:spacing w:after="0"/>
              <w:rPr>
                <w:sz w:val="16"/>
                <w:szCs w:val="16"/>
                <w:color w:val="auto"/>
              </w:rPr>
            </w:pPr>
          </w:p>
        </w:tc>
        <w:tc>
          <w:tcPr>
            <w:tcW w:w="1540" w:type="dxa"/>
            <w:vAlign w:val="bottom"/>
          </w:tcPr>
          <w:p>
            <w:pPr>
              <w:jc w:val="center"/>
              <w:ind w:right="115"/>
              <w:spacing w:after="0"/>
              <w:rPr>
                <w:sz w:val="20"/>
                <w:szCs w:val="20"/>
                <w:color w:val="auto"/>
              </w:rPr>
            </w:pPr>
            <w:r>
              <w:rPr>
                <w:rFonts w:ascii="Arial" w:cs="Arial" w:eastAsia="Arial" w:hAnsi="Arial"/>
                <w:sz w:val="14"/>
                <w:szCs w:val="14"/>
                <w:b w:val="1"/>
                <w:bCs w:val="1"/>
                <w:color w:val="auto"/>
                <w:w w:val="90"/>
              </w:rPr>
              <w:t>June 30, 2022</w:t>
            </w: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7"/>
                <w:szCs w:val="17"/>
                <w:color w:val="auto"/>
              </w:rPr>
              <w:t>Finance lease cost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Amortization of right-of-use assets</w:t>
            </w:r>
          </w:p>
        </w:tc>
        <w:tc>
          <w:tcPr>
            <w:tcW w:w="2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22"/>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7"/>
                <w:szCs w:val="17"/>
                <w:color w:val="auto"/>
              </w:rPr>
              <w:t>Interest on lease liabilities</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finance lease cost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r>
        <w:trPr>
          <w:trHeight w:val="262"/>
        </w:trPr>
        <w:tc>
          <w:tcPr>
            <w:tcW w:w="57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w:t>
            </w:r>
          </w:p>
        </w:tc>
        <w:tc>
          <w:tcPr>
            <w:tcW w:w="0" w:type="dxa"/>
            <w:vAlign w:val="bottom"/>
          </w:tcPr>
          <w:p>
            <w:pPr>
              <w:spacing w:after="0"/>
              <w:rPr>
                <w:sz w:val="1"/>
                <w:szCs w:val="1"/>
                <w:color w:val="auto"/>
              </w:rPr>
            </w:pPr>
          </w:p>
        </w:tc>
      </w:tr>
      <w:tr>
        <w:trPr>
          <w:trHeight w:val="222"/>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Variable lease cost</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401</w:t>
            </w:r>
          </w:p>
        </w:tc>
        <w:tc>
          <w:tcPr>
            <w:tcW w:w="0" w:type="dxa"/>
            <w:vAlign w:val="bottom"/>
          </w:tcPr>
          <w:p>
            <w:pPr>
              <w:spacing w:after="0"/>
              <w:rPr>
                <w:sz w:val="1"/>
                <w:szCs w:val="1"/>
                <w:color w:val="auto"/>
              </w:rPr>
            </w:pPr>
          </w:p>
        </w:tc>
      </w:tr>
      <w:tr>
        <w:trPr>
          <w:trHeight w:val="236"/>
        </w:trPr>
        <w:tc>
          <w:tcPr>
            <w:tcW w:w="57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lease cost</w:t>
            </w:r>
          </w:p>
        </w:tc>
        <w:tc>
          <w:tcPr>
            <w:tcW w:w="2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7"/>
                <w:szCs w:val="17"/>
                <w:color w:val="auto"/>
                <w:w w:val="92"/>
              </w:rPr>
              <w:t>The following table summarizes future lease payments as of June 30, 2022:</w:t>
            </w: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74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Fiscal year</w:t>
            </w: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ind w:right="116"/>
              <w:spacing w:after="0"/>
              <w:rPr>
                <w:sz w:val="20"/>
                <w:szCs w:val="20"/>
                <w:color w:val="auto"/>
              </w:rPr>
            </w:pPr>
            <w:r>
              <w:rPr>
                <w:rFonts w:ascii="Arial" w:cs="Arial" w:eastAsia="Arial" w:hAnsi="Arial"/>
                <w:sz w:val="16"/>
                <w:szCs w:val="16"/>
                <w:b w:val="1"/>
                <w:bCs w:val="1"/>
                <w:color w:val="auto"/>
                <w:w w:val="86"/>
              </w:rPr>
              <w:t>Operating Leases</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center"/>
              <w:ind w:right="115"/>
              <w:spacing w:after="0"/>
              <w:rPr>
                <w:sz w:val="20"/>
                <w:szCs w:val="20"/>
                <w:color w:val="auto"/>
              </w:rPr>
            </w:pPr>
            <w:r>
              <w:rPr>
                <w:rFonts w:ascii="Arial" w:cs="Arial" w:eastAsia="Arial" w:hAnsi="Arial"/>
                <w:sz w:val="16"/>
                <w:szCs w:val="16"/>
                <w:b w:val="1"/>
                <w:bCs w:val="1"/>
                <w:color w:val="auto"/>
                <w:w w:val="85"/>
              </w:rPr>
              <w:t>Finance Leases</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2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1,287</w:t>
            </w:r>
          </w:p>
        </w:tc>
        <w:tc>
          <w:tcPr>
            <w:tcW w:w="0" w:type="dxa"/>
            <w:vAlign w:val="bottom"/>
          </w:tcPr>
          <w:p>
            <w:pPr>
              <w:spacing w:after="0"/>
              <w:rPr>
                <w:sz w:val="1"/>
                <w:szCs w:val="1"/>
                <w:color w:val="auto"/>
              </w:rPr>
            </w:pPr>
          </w:p>
        </w:tc>
      </w:tr>
      <w:tr>
        <w:trPr>
          <w:trHeight w:val="222"/>
        </w:trPr>
        <w:tc>
          <w:tcPr>
            <w:tcW w:w="5740" w:type="dxa"/>
            <w:vAlign w:val="bottom"/>
          </w:tcPr>
          <w:p>
            <w:pPr>
              <w:ind w:left="20"/>
              <w:spacing w:after="0"/>
              <w:rPr>
                <w:sz w:val="20"/>
                <w:szCs w:val="20"/>
                <w:color w:val="auto"/>
              </w:rPr>
            </w:pPr>
            <w:r>
              <w:rPr>
                <w:rFonts w:ascii="Arial" w:cs="Arial" w:eastAsia="Arial" w:hAnsi="Arial"/>
                <w:sz w:val="17"/>
                <w:szCs w:val="17"/>
                <w:color w:val="auto"/>
              </w:rPr>
              <w:t>2023</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4,844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2,166</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w:t>
            </w:r>
          </w:p>
        </w:tc>
        <w:tc>
          <w:tcPr>
            <w:tcW w:w="0" w:type="dxa"/>
            <w:vAlign w:val="bottom"/>
          </w:tcPr>
          <w:p>
            <w:pPr>
              <w:spacing w:after="0"/>
              <w:rPr>
                <w:sz w:val="1"/>
                <w:szCs w:val="1"/>
                <w:color w:val="auto"/>
              </w:rPr>
            </w:pPr>
          </w:p>
        </w:tc>
      </w:tr>
      <w:tr>
        <w:trPr>
          <w:trHeight w:val="222"/>
        </w:trPr>
        <w:tc>
          <w:tcPr>
            <w:tcW w:w="5740" w:type="dxa"/>
            <w:vAlign w:val="bottom"/>
          </w:tcPr>
          <w:p>
            <w:pPr>
              <w:ind w:left="20"/>
              <w:spacing w:after="0"/>
              <w:rPr>
                <w:sz w:val="20"/>
                <w:szCs w:val="20"/>
                <w:color w:val="auto"/>
              </w:rPr>
            </w:pPr>
            <w:r>
              <w:rPr>
                <w:rFonts w:ascii="Arial" w:cs="Arial" w:eastAsia="Arial" w:hAnsi="Arial"/>
                <w:sz w:val="17"/>
                <w:szCs w:val="17"/>
                <w:color w:val="auto"/>
              </w:rPr>
              <w:t>2025</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4,809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1,792</w:t>
            </w: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4,751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1,828</w:t>
            </w:r>
          </w:p>
        </w:tc>
        <w:tc>
          <w:tcPr>
            <w:tcW w:w="0" w:type="dxa"/>
            <w:vAlign w:val="bottom"/>
          </w:tcPr>
          <w:p>
            <w:pPr>
              <w:spacing w:after="0"/>
              <w:rPr>
                <w:sz w:val="1"/>
                <w:szCs w:val="1"/>
                <w:color w:val="auto"/>
              </w:rPr>
            </w:pPr>
          </w:p>
        </w:tc>
      </w:tr>
      <w:tr>
        <w:trPr>
          <w:trHeight w:val="222"/>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11,804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33,946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10,694</w:t>
            </w:r>
          </w:p>
        </w:tc>
        <w:tc>
          <w:tcPr>
            <w:tcW w:w="0" w:type="dxa"/>
            <w:vAlign w:val="bottom"/>
          </w:tcPr>
          <w:p>
            <w:pPr>
              <w:spacing w:after="0"/>
              <w:rPr>
                <w:sz w:val="1"/>
                <w:szCs w:val="1"/>
                <w:color w:val="auto"/>
              </w:rPr>
            </w:pPr>
          </w:p>
        </w:tc>
      </w:tr>
      <w:tr>
        <w:trPr>
          <w:trHeight w:val="222"/>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Imputed Interest</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(13,714)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(1,496)</w:t>
            </w:r>
          </w:p>
        </w:tc>
        <w:tc>
          <w:tcPr>
            <w:tcW w:w="0" w:type="dxa"/>
            <w:vAlign w:val="bottom"/>
          </w:tcPr>
          <w:p>
            <w:pPr>
              <w:spacing w:after="0"/>
              <w:rPr>
                <w:sz w:val="1"/>
                <w:szCs w:val="1"/>
                <w:color w:val="auto"/>
              </w:rPr>
            </w:pPr>
          </w:p>
        </w:tc>
      </w:tr>
      <w:tr>
        <w:trPr>
          <w:trHeight w:val="236"/>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Present value of net lease payments</w:t>
            </w:r>
          </w:p>
        </w:tc>
        <w:tc>
          <w:tcPr>
            <w:tcW w:w="190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20,232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9,198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liability, current portion</w:t>
            </w:r>
          </w:p>
        </w:tc>
        <w:tc>
          <w:tcPr>
            <w:tcW w:w="21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1,903</w:t>
            </w:r>
          </w:p>
        </w:tc>
        <w:tc>
          <w:tcPr>
            <w:tcW w:w="0" w:type="dxa"/>
            <w:vAlign w:val="bottom"/>
          </w:tcPr>
          <w:p>
            <w:pPr>
              <w:spacing w:after="0"/>
              <w:rPr>
                <w:sz w:val="1"/>
                <w:szCs w:val="1"/>
                <w:color w:val="auto"/>
              </w:rPr>
            </w:pPr>
          </w:p>
        </w:tc>
      </w:tr>
      <w:tr>
        <w:trPr>
          <w:trHeight w:val="222"/>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Lease liability, net of current portion</w:t>
            </w:r>
          </w:p>
        </w:tc>
        <w:tc>
          <w:tcPr>
            <w:tcW w:w="1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18,217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7,295</w:t>
            </w:r>
          </w:p>
        </w:tc>
        <w:tc>
          <w:tcPr>
            <w:tcW w:w="0" w:type="dxa"/>
            <w:vAlign w:val="bottom"/>
          </w:tcPr>
          <w:p>
            <w:pPr>
              <w:spacing w:after="0"/>
              <w:rPr>
                <w:sz w:val="1"/>
                <w:szCs w:val="1"/>
                <w:color w:val="auto"/>
              </w:rPr>
            </w:pPr>
          </w:p>
        </w:tc>
      </w:tr>
      <w:tr>
        <w:trPr>
          <w:trHeight w:val="236"/>
        </w:trPr>
        <w:tc>
          <w:tcPr>
            <w:tcW w:w="5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lease liability</w:t>
            </w:r>
          </w:p>
        </w:tc>
        <w:tc>
          <w:tcPr>
            <w:tcW w:w="1900" w:type="dxa"/>
            <w:vAlign w:val="bottom"/>
            <w:tcBorders>
              <w:bottom w:val="single" w:sz="8" w:color="CCEEFF"/>
            </w:tcBorders>
            <w:gridSpan w:val="2"/>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20,232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9,198</w:t>
            </w:r>
          </w:p>
        </w:tc>
        <w:tc>
          <w:tcPr>
            <w:tcW w:w="0" w:type="dxa"/>
            <w:vAlign w:val="bottom"/>
          </w:tcPr>
          <w:p>
            <w:pPr>
              <w:spacing w:after="0"/>
              <w:rPr>
                <w:sz w:val="1"/>
                <w:szCs w:val="1"/>
                <w:color w:val="auto"/>
              </w:rPr>
            </w:pPr>
          </w:p>
        </w:tc>
      </w:tr>
      <w:tr>
        <w:trPr>
          <w:trHeight w:val="20"/>
        </w:trPr>
        <w:tc>
          <w:tcPr>
            <w:tcW w:w="7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840" w:type="dxa"/>
            <w:vAlign w:val="bottom"/>
            <w:gridSpan w:val="5"/>
          </w:tcPr>
          <w:p>
            <w:pPr>
              <w:ind w:left="440"/>
              <w:spacing w:after="0"/>
              <w:rPr>
                <w:sz w:val="20"/>
                <w:szCs w:val="20"/>
                <w:color w:val="auto"/>
              </w:rPr>
            </w:pPr>
            <w:r>
              <w:rPr>
                <w:rFonts w:ascii="Arial" w:cs="Arial" w:eastAsia="Arial" w:hAnsi="Arial"/>
                <w:sz w:val="17"/>
                <w:szCs w:val="17"/>
                <w:color w:val="auto"/>
                <w:w w:val="94"/>
              </w:rPr>
              <w:t>Supplemental information and non-cash activities related to operating and finance leases are as follows: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7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Operating cash flows from operating leases</w:t>
            </w:r>
          </w:p>
        </w:tc>
        <w:tc>
          <w:tcPr>
            <w:tcW w:w="210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1,532</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40" w:type="dxa"/>
            <w:vAlign w:val="bottom"/>
          </w:tcPr>
          <w:p>
            <w:pPr>
              <w:ind w:left="240"/>
              <w:spacing w:after="0"/>
              <w:rPr>
                <w:sz w:val="20"/>
                <w:szCs w:val="20"/>
                <w:color w:val="auto"/>
              </w:rPr>
            </w:pPr>
            <w:r>
              <w:rPr>
                <w:rFonts w:ascii="Arial" w:cs="Arial" w:eastAsia="Arial" w:hAnsi="Arial"/>
                <w:sz w:val="17"/>
                <w:szCs w:val="17"/>
                <w:color w:val="auto"/>
              </w:rPr>
              <w:t>Operating cash flows from finance leases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351</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Financing cash flows from finance leases</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936</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210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2,819</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 arising from new right-of-use assets</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40" w:type="dxa"/>
            <w:vAlign w:val="bottom"/>
          </w:tcPr>
          <w:p>
            <w:pPr>
              <w:ind w:left="240"/>
              <w:spacing w:after="0"/>
              <w:rPr>
                <w:sz w:val="20"/>
                <w:szCs w:val="20"/>
                <w:color w:val="auto"/>
              </w:rPr>
            </w:pPr>
            <w:r>
              <w:rPr>
                <w:rFonts w:ascii="Arial" w:cs="Arial" w:eastAsia="Arial" w:hAnsi="Arial"/>
                <w:sz w:val="17"/>
                <w:szCs w:val="17"/>
                <w:color w:val="auto"/>
              </w:rPr>
              <w:t>Operating leases</w:t>
            </w:r>
          </w:p>
        </w:tc>
        <w:tc>
          <w:tcPr>
            <w:tcW w:w="2100" w:type="dxa"/>
            <w:vAlign w:val="bottom"/>
            <w:gridSpan w:val="4"/>
          </w:tcPr>
          <w:p>
            <w:pPr>
              <w:jc w:val="right"/>
              <w:ind w:right="40"/>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80"/>
              <w:spacing w:after="0"/>
              <w:rPr>
                <w:sz w:val="20"/>
                <w:szCs w:val="20"/>
                <w:color w:val="auto"/>
              </w:rPr>
            </w:pPr>
            <w:r>
              <w:rPr>
                <w:rFonts w:ascii="Arial" w:cs="Arial" w:eastAsia="Arial" w:hAnsi="Arial"/>
                <w:sz w:val="17"/>
                <w:szCs w:val="17"/>
                <w:color w:val="auto"/>
              </w:rPr>
              <w:t>9,991</w:t>
            </w: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5740" w:type="dxa"/>
            <w:vAlign w:val="bottom"/>
          </w:tcPr>
          <w:p>
            <w:pPr>
              <w:spacing w:after="0"/>
              <w:rPr>
                <w:sz w:val="24"/>
                <w:szCs w:val="24"/>
                <w:color w:val="auto"/>
              </w:rPr>
            </w:pPr>
          </w:p>
        </w:tc>
        <w:tc>
          <w:tcPr>
            <w:tcW w:w="1800" w:type="dxa"/>
            <w:vAlign w:val="bottom"/>
          </w:tcPr>
          <w:p>
            <w:pPr>
              <w:jc w:val="right"/>
              <w:ind w:right="1513"/>
              <w:spacing w:after="0"/>
              <w:rPr>
                <w:sz w:val="20"/>
                <w:szCs w:val="20"/>
                <w:color w:val="auto"/>
              </w:rPr>
            </w:pPr>
            <w:r>
              <w:rPr>
                <w:rFonts w:ascii="Arial" w:cs="Arial" w:eastAsia="Arial" w:hAnsi="Arial"/>
                <w:sz w:val="17"/>
                <w:szCs w:val="17"/>
                <w:color w:val="auto"/>
                <w:w w:val="94"/>
              </w:rPr>
              <w:t>19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7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0" w:name="page21"/>
    <w:bookmarkEnd w:id="20"/>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9280" w:type="dxa"/>
            <w:vAlign w:val="bottom"/>
            <w:gridSpan w:val="3"/>
          </w:tcPr>
          <w:p>
            <w:pPr>
              <w:jc w:val="center"/>
              <w:ind w:left="1113"/>
              <w:spacing w:after="0"/>
              <w:rPr>
                <w:sz w:val="20"/>
                <w:szCs w:val="20"/>
                <w:color w:val="auto"/>
              </w:rPr>
            </w:pPr>
            <w:r>
              <w:rPr>
                <w:rFonts w:ascii="Arial" w:cs="Arial" w:eastAsia="Arial" w:hAnsi="Arial"/>
                <w:sz w:val="17"/>
                <w:szCs w:val="17"/>
                <w:b w:val="1"/>
                <w:bCs w:val="1"/>
                <w:color w:val="auto"/>
                <w:w w:val="96"/>
              </w:rPr>
              <w:t>Faraday Future Intelligent Electric Inc.</w:t>
            </w:r>
          </w:p>
        </w:tc>
        <w:tc>
          <w:tcPr>
            <w:tcW w:w="1580" w:type="dxa"/>
            <w:vAlign w:val="bottom"/>
          </w:tcPr>
          <w:p>
            <w:pPr>
              <w:spacing w:after="0"/>
              <w:rPr>
                <w:sz w:val="16"/>
                <w:szCs w:val="16"/>
                <w:color w:val="auto"/>
              </w:rPr>
            </w:pPr>
          </w:p>
        </w:tc>
      </w:tr>
      <w:tr>
        <w:trPr>
          <w:trHeight w:val="210"/>
        </w:trPr>
        <w:tc>
          <w:tcPr>
            <w:tcW w:w="380" w:type="dxa"/>
            <w:vAlign w:val="bottom"/>
          </w:tcPr>
          <w:p>
            <w:pPr>
              <w:spacing w:after="0"/>
              <w:rPr>
                <w:sz w:val="18"/>
                <w:szCs w:val="18"/>
                <w:color w:val="auto"/>
              </w:rPr>
            </w:pPr>
          </w:p>
        </w:tc>
        <w:tc>
          <w:tcPr>
            <w:tcW w:w="9280" w:type="dxa"/>
            <w:vAlign w:val="bottom"/>
            <w:gridSpan w:val="3"/>
          </w:tcPr>
          <w:p>
            <w:pPr>
              <w:jc w:val="center"/>
              <w:ind w:left="1133"/>
              <w:spacing w:after="0"/>
              <w:rPr>
                <w:sz w:val="20"/>
                <w:szCs w:val="20"/>
                <w:color w:val="auto"/>
              </w:rPr>
            </w:pPr>
            <w:r>
              <w:rPr>
                <w:rFonts w:ascii="Arial" w:cs="Arial" w:eastAsia="Arial" w:hAnsi="Arial"/>
                <w:sz w:val="17"/>
                <w:szCs w:val="17"/>
                <w:b w:val="1"/>
                <w:bCs w:val="1"/>
                <w:color w:val="auto"/>
                <w:w w:val="90"/>
              </w:rPr>
              <w:t>Notes to Condensed Consolidated Financial Statements</w:t>
            </w:r>
          </w:p>
        </w:tc>
        <w:tc>
          <w:tcPr>
            <w:tcW w:w="1580" w:type="dxa"/>
            <w:vAlign w:val="bottom"/>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9280" w:type="dxa"/>
            <w:vAlign w:val="bottom"/>
            <w:gridSpan w:val="3"/>
          </w:tcPr>
          <w:p>
            <w:pPr>
              <w:jc w:val="center"/>
              <w:ind w:left="1133"/>
              <w:spacing w:after="0"/>
              <w:rPr>
                <w:sz w:val="20"/>
                <w:szCs w:val="20"/>
                <w:color w:val="auto"/>
              </w:rPr>
            </w:pPr>
            <w:r>
              <w:rPr>
                <w:rFonts w:ascii="Arial" w:cs="Arial" w:eastAsia="Arial" w:hAnsi="Arial"/>
                <w:sz w:val="17"/>
                <w:szCs w:val="17"/>
                <w:b w:val="1"/>
                <w:bCs w:val="1"/>
                <w:color w:val="auto"/>
                <w:w w:val="90"/>
              </w:rPr>
              <w:t>(</w:t>
            </w:r>
            <w:r>
              <w:rPr>
                <w:rFonts w:ascii="Arial" w:cs="Arial" w:eastAsia="Arial" w:hAnsi="Arial"/>
                <w:sz w:val="17"/>
                <w:szCs w:val="17"/>
                <w:b w:val="1"/>
                <w:bCs w:val="1"/>
                <w:i w:val="1"/>
                <w:iCs w:val="1"/>
                <w:color w:val="auto"/>
                <w:w w:val="90"/>
              </w:rPr>
              <w:t>in thousands</w:t>
            </w:r>
            <w:r>
              <w:rPr>
                <w:rFonts w:ascii="Arial" w:cs="Arial" w:eastAsia="Arial" w:hAnsi="Arial"/>
                <w:sz w:val="17"/>
                <w:szCs w:val="17"/>
                <w:b w:val="1"/>
                <w:bCs w:val="1"/>
                <w:color w:val="auto"/>
                <w:w w:val="90"/>
              </w:rPr>
              <w:t>, except share and per share data)</w:t>
            </w:r>
          </w:p>
        </w:tc>
        <w:tc>
          <w:tcPr>
            <w:tcW w:w="1580" w:type="dxa"/>
            <w:vAlign w:val="bottom"/>
          </w:tcPr>
          <w:p>
            <w:pPr>
              <w:spacing w:after="0"/>
              <w:rPr>
                <w:sz w:val="18"/>
                <w:szCs w:val="18"/>
                <w:color w:val="auto"/>
              </w:rPr>
            </w:pPr>
          </w:p>
        </w:tc>
      </w:tr>
      <w:tr>
        <w:trPr>
          <w:trHeight w:val="228"/>
        </w:trPr>
        <w:tc>
          <w:tcPr>
            <w:tcW w:w="380" w:type="dxa"/>
            <w:vAlign w:val="bottom"/>
          </w:tcPr>
          <w:p>
            <w:pPr>
              <w:spacing w:after="0"/>
              <w:rPr>
                <w:sz w:val="19"/>
                <w:szCs w:val="19"/>
                <w:color w:val="auto"/>
              </w:rPr>
            </w:pPr>
          </w:p>
        </w:tc>
        <w:tc>
          <w:tcPr>
            <w:tcW w:w="9280" w:type="dxa"/>
            <w:vAlign w:val="bottom"/>
            <w:gridSpan w:val="3"/>
          </w:tcPr>
          <w:p>
            <w:pPr>
              <w:jc w:val="center"/>
              <w:ind w:left="1133"/>
              <w:spacing w:after="0"/>
              <w:rPr>
                <w:sz w:val="20"/>
                <w:szCs w:val="20"/>
                <w:color w:val="auto"/>
              </w:rPr>
            </w:pPr>
            <w:r>
              <w:rPr>
                <w:rFonts w:ascii="Arial" w:cs="Arial" w:eastAsia="Arial" w:hAnsi="Arial"/>
                <w:sz w:val="17"/>
                <w:szCs w:val="17"/>
                <w:b w:val="1"/>
                <w:bCs w:val="1"/>
                <w:color w:val="auto"/>
                <w:w w:val="95"/>
              </w:rPr>
              <w:t>(Unaudited)</w:t>
            </w:r>
          </w:p>
        </w:tc>
        <w:tc>
          <w:tcPr>
            <w:tcW w:w="1580" w:type="dxa"/>
            <w:vAlign w:val="bottom"/>
          </w:tcPr>
          <w:p>
            <w:pPr>
              <w:spacing w:after="0"/>
              <w:rPr>
                <w:sz w:val="19"/>
                <w:szCs w:val="19"/>
                <w:color w:val="auto"/>
              </w:rPr>
            </w:pPr>
          </w:p>
        </w:tc>
      </w:tr>
      <w:tr>
        <w:trPr>
          <w:trHeight w:val="724"/>
        </w:trPr>
        <w:tc>
          <w:tcPr>
            <w:tcW w:w="38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right"/>
              <w:ind w:right="274"/>
              <w:spacing w:after="0"/>
              <w:rPr>
                <w:sz w:val="20"/>
                <w:szCs w:val="20"/>
                <w:color w:val="auto"/>
              </w:rPr>
            </w:pPr>
            <w:r>
              <w:rPr>
                <w:rFonts w:ascii="Arial" w:cs="Arial" w:eastAsia="Arial" w:hAnsi="Arial"/>
                <w:sz w:val="14"/>
                <w:szCs w:val="14"/>
                <w:b w:val="1"/>
                <w:bCs w:val="1"/>
                <w:color w:val="auto"/>
                <w:w w:val="92"/>
              </w:rPr>
              <w:t>As of June 30, 2022</w:t>
            </w:r>
          </w:p>
        </w:tc>
      </w:tr>
      <w:tr>
        <w:trPr>
          <w:trHeight w:val="23"/>
        </w:trPr>
        <w:tc>
          <w:tcPr>
            <w:tcW w:w="948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02"/>
        </w:trPr>
        <w:tc>
          <w:tcPr>
            <w:tcW w:w="9360" w:type="dxa"/>
            <w:vAlign w:val="bottom"/>
            <w:gridSpan w:val="2"/>
          </w:tcPr>
          <w:p>
            <w:pPr>
              <w:ind w:left="20"/>
              <w:spacing w:after="0"/>
              <w:rPr>
                <w:sz w:val="20"/>
                <w:szCs w:val="20"/>
                <w:color w:val="auto"/>
              </w:rPr>
            </w:pPr>
            <w:r>
              <w:rPr>
                <w:rFonts w:ascii="Arial" w:cs="Arial" w:eastAsia="Arial" w:hAnsi="Arial"/>
                <w:sz w:val="17"/>
                <w:szCs w:val="17"/>
                <w:color w:val="auto"/>
              </w:rPr>
              <w:t>Weighted average remaining lease term (in years)</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23"/>
        </w:trPr>
        <w:tc>
          <w:tcPr>
            <w:tcW w:w="9660" w:type="dxa"/>
            <w:vAlign w:val="bottom"/>
            <w:gridSpan w:val="4"/>
            <w:shd w:val="clear" w:color="auto" w:fill="CCEEFF"/>
          </w:tcPr>
          <w:p>
            <w:pPr>
              <w:ind w:left="240"/>
              <w:spacing w:after="0"/>
              <w:rPr>
                <w:sz w:val="20"/>
                <w:szCs w:val="20"/>
                <w:color w:val="auto"/>
              </w:rPr>
            </w:pPr>
            <w:r>
              <w:rPr>
                <w:rFonts w:ascii="Arial" w:cs="Arial" w:eastAsia="Arial" w:hAnsi="Arial"/>
                <w:sz w:val="17"/>
                <w:szCs w:val="17"/>
                <w:color w:val="auto"/>
              </w:rPr>
              <w:t>Operating leases</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22"/>
        </w:trPr>
        <w:tc>
          <w:tcPr>
            <w:tcW w:w="9660" w:type="dxa"/>
            <w:vAlign w:val="bottom"/>
            <w:gridSpan w:val="4"/>
          </w:tcPr>
          <w:p>
            <w:pPr>
              <w:ind w:left="240"/>
              <w:spacing w:after="0"/>
              <w:rPr>
                <w:sz w:val="20"/>
                <w:szCs w:val="20"/>
                <w:color w:val="auto"/>
              </w:rPr>
            </w:pPr>
            <w:r>
              <w:rPr>
                <w:rFonts w:ascii="Arial" w:cs="Arial" w:eastAsia="Arial" w:hAnsi="Arial"/>
                <w:sz w:val="17"/>
                <w:szCs w:val="17"/>
                <w:color w:val="auto"/>
              </w:rPr>
              <w:t>Finance leases</w:t>
            </w:r>
          </w:p>
        </w:tc>
        <w:tc>
          <w:tcPr>
            <w:tcW w:w="15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62"/>
        </w:trPr>
        <w:tc>
          <w:tcPr>
            <w:tcW w:w="9360" w:type="dxa"/>
            <w:vAlign w:val="bottom"/>
            <w:gridSpan w:val="2"/>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22"/>
        </w:trPr>
        <w:tc>
          <w:tcPr>
            <w:tcW w:w="9660" w:type="dxa"/>
            <w:vAlign w:val="bottom"/>
            <w:gridSpan w:val="4"/>
          </w:tcPr>
          <w:p>
            <w:pPr>
              <w:ind w:left="20"/>
              <w:spacing w:after="0"/>
              <w:rPr>
                <w:sz w:val="20"/>
                <w:szCs w:val="20"/>
                <w:color w:val="auto"/>
              </w:rPr>
            </w:pPr>
            <w:r>
              <w:rPr>
                <w:rFonts w:ascii="Arial" w:cs="Arial" w:eastAsia="Arial" w:hAnsi="Arial"/>
                <w:sz w:val="17"/>
                <w:szCs w:val="17"/>
                <w:color w:val="auto"/>
              </w:rPr>
              <w:t>Weighted average discount rate</w:t>
            </w:r>
          </w:p>
        </w:tc>
        <w:tc>
          <w:tcPr>
            <w:tcW w:w="1580" w:type="dxa"/>
            <w:vAlign w:val="bottom"/>
          </w:tcPr>
          <w:p>
            <w:pPr>
              <w:spacing w:after="0"/>
              <w:rPr>
                <w:sz w:val="19"/>
                <w:szCs w:val="19"/>
                <w:color w:val="auto"/>
              </w:rPr>
            </w:pPr>
          </w:p>
        </w:tc>
      </w:tr>
      <w:tr>
        <w:trPr>
          <w:trHeight w:val="223"/>
        </w:trPr>
        <w:tc>
          <w:tcPr>
            <w:tcW w:w="9660" w:type="dxa"/>
            <w:vAlign w:val="bottom"/>
            <w:gridSpan w:val="4"/>
            <w:shd w:val="clear" w:color="auto" w:fill="CCEEFF"/>
          </w:tcPr>
          <w:p>
            <w:pPr>
              <w:ind w:left="240"/>
              <w:spacing w:after="0"/>
              <w:rPr>
                <w:sz w:val="20"/>
                <w:szCs w:val="20"/>
                <w:color w:val="auto"/>
              </w:rPr>
            </w:pPr>
            <w:r>
              <w:rPr>
                <w:rFonts w:ascii="Arial" w:cs="Arial" w:eastAsia="Arial" w:hAnsi="Arial"/>
                <w:sz w:val="17"/>
                <w:szCs w:val="17"/>
                <w:color w:val="auto"/>
              </w:rPr>
              <w:t>Operating leases</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15.5 %</w:t>
            </w:r>
          </w:p>
        </w:tc>
      </w:tr>
      <w:tr>
        <w:trPr>
          <w:trHeight w:val="222"/>
        </w:trPr>
        <w:tc>
          <w:tcPr>
            <w:tcW w:w="9660" w:type="dxa"/>
            <w:vAlign w:val="bottom"/>
            <w:gridSpan w:val="4"/>
          </w:tcPr>
          <w:p>
            <w:pPr>
              <w:ind w:left="240"/>
              <w:spacing w:after="0"/>
              <w:rPr>
                <w:sz w:val="20"/>
                <w:szCs w:val="20"/>
                <w:color w:val="auto"/>
              </w:rPr>
            </w:pPr>
            <w:r>
              <w:rPr>
                <w:rFonts w:ascii="Arial" w:cs="Arial" w:eastAsia="Arial" w:hAnsi="Arial"/>
                <w:sz w:val="17"/>
                <w:szCs w:val="17"/>
                <w:color w:val="auto"/>
              </w:rPr>
              <w:t>Finance leases</w:t>
            </w:r>
          </w:p>
        </w:tc>
        <w:tc>
          <w:tcPr>
            <w:tcW w:w="1580" w:type="dxa"/>
            <w:vAlign w:val="bottom"/>
          </w:tcPr>
          <w:p>
            <w:pPr>
              <w:jc w:val="right"/>
              <w:spacing w:after="0"/>
              <w:rPr>
                <w:sz w:val="20"/>
                <w:szCs w:val="20"/>
                <w:color w:val="auto"/>
              </w:rPr>
            </w:pPr>
            <w:r>
              <w:rPr>
                <w:rFonts w:ascii="Arial" w:cs="Arial" w:eastAsia="Arial" w:hAnsi="Arial"/>
                <w:sz w:val="17"/>
                <w:szCs w:val="17"/>
                <w:color w:val="auto"/>
              </w:rPr>
              <w:t>5.9 %</w:t>
            </w:r>
          </w:p>
        </w:tc>
      </w:tr>
      <w:tr>
        <w:trPr>
          <w:trHeight w:val="524"/>
        </w:trPr>
        <w:tc>
          <w:tcPr>
            <w:tcW w:w="9660" w:type="dxa"/>
            <w:vAlign w:val="bottom"/>
            <w:gridSpan w:val="4"/>
          </w:tcPr>
          <w:p>
            <w:pPr>
              <w:spacing w:after="0"/>
              <w:rPr>
                <w:sz w:val="20"/>
                <w:szCs w:val="20"/>
                <w:color w:val="auto"/>
              </w:rPr>
            </w:pPr>
            <w:r>
              <w:rPr>
                <w:rFonts w:ascii="Arial" w:cs="Arial" w:eastAsia="Arial" w:hAnsi="Arial"/>
                <w:sz w:val="17"/>
                <w:szCs w:val="17"/>
                <w:i w:val="1"/>
                <w:iCs w:val="1"/>
                <w:color w:val="auto"/>
              </w:rPr>
              <w:t>Disclosures Related to Periods Prior to Adoption of the New Lease Standard:</w:t>
            </w:r>
          </w:p>
        </w:tc>
        <w:tc>
          <w:tcPr>
            <w:tcW w:w="1580" w:type="dxa"/>
            <w:vAlign w:val="bottom"/>
          </w:tcPr>
          <w:p>
            <w:pPr>
              <w:spacing w:after="0"/>
              <w:rPr>
                <w:sz w:val="24"/>
                <w:szCs w:val="24"/>
                <w:color w:val="auto"/>
              </w:rPr>
            </w:pPr>
          </w:p>
        </w:tc>
      </w:tr>
      <w:tr>
        <w:trPr>
          <w:trHeight w:val="367"/>
        </w:trPr>
        <w:tc>
          <w:tcPr>
            <w:tcW w:w="380" w:type="dxa"/>
            <w:vAlign w:val="bottom"/>
          </w:tcPr>
          <w:p>
            <w:pPr>
              <w:spacing w:after="0"/>
              <w:rPr>
                <w:sz w:val="24"/>
                <w:szCs w:val="24"/>
                <w:color w:val="auto"/>
              </w:rPr>
            </w:pPr>
          </w:p>
        </w:tc>
        <w:tc>
          <w:tcPr>
            <w:tcW w:w="9280" w:type="dxa"/>
            <w:vAlign w:val="bottom"/>
            <w:gridSpan w:val="3"/>
          </w:tcPr>
          <w:p>
            <w:pPr>
              <w:ind w:left="260"/>
              <w:spacing w:after="0"/>
              <w:rPr>
                <w:sz w:val="20"/>
                <w:szCs w:val="20"/>
                <w:color w:val="auto"/>
              </w:rPr>
            </w:pPr>
            <w:r>
              <w:rPr>
                <w:rFonts w:ascii="Arial" w:cs="Arial" w:eastAsia="Arial" w:hAnsi="Arial"/>
                <w:sz w:val="17"/>
                <w:szCs w:val="17"/>
                <w:color w:val="auto"/>
                <w:w w:val="98"/>
              </w:rPr>
              <w:t>The Company recorded rent expense of $676 and $1,225 for the three and six months ended June 30, 2021, respectively.</w:t>
            </w:r>
          </w:p>
        </w:tc>
        <w:tc>
          <w:tcPr>
            <w:tcW w:w="1580" w:type="dxa"/>
            <w:vAlign w:val="bottom"/>
          </w:tcPr>
          <w:p>
            <w:pPr>
              <w:spacing w:after="0"/>
              <w:rPr>
                <w:sz w:val="24"/>
                <w:szCs w:val="24"/>
                <w:color w:val="auto"/>
              </w:rPr>
            </w:pPr>
          </w:p>
        </w:tc>
      </w:tr>
      <w:tr>
        <w:trPr>
          <w:trHeight w:val="367"/>
        </w:trPr>
        <w:tc>
          <w:tcPr>
            <w:tcW w:w="380" w:type="dxa"/>
            <w:vAlign w:val="bottom"/>
          </w:tcPr>
          <w:p>
            <w:pPr>
              <w:spacing w:after="0"/>
              <w:rPr>
                <w:sz w:val="24"/>
                <w:szCs w:val="24"/>
                <w:color w:val="auto"/>
              </w:rPr>
            </w:pPr>
          </w:p>
        </w:tc>
        <w:tc>
          <w:tcPr>
            <w:tcW w:w="9280" w:type="dxa"/>
            <w:vAlign w:val="bottom"/>
            <w:gridSpan w:val="3"/>
          </w:tcPr>
          <w:p>
            <w:pPr>
              <w:jc w:val="right"/>
              <w:ind w:right="453"/>
              <w:spacing w:after="0"/>
              <w:rPr>
                <w:sz w:val="20"/>
                <w:szCs w:val="20"/>
                <w:color w:val="auto"/>
              </w:rPr>
            </w:pPr>
            <w:r>
              <w:rPr>
                <w:rFonts w:ascii="Arial" w:cs="Arial" w:eastAsia="Arial" w:hAnsi="Arial"/>
                <w:sz w:val="17"/>
                <w:szCs w:val="17"/>
                <w:color w:val="auto"/>
                <w:w w:val="93"/>
              </w:rPr>
              <w:t>The minimum aggregate future obligations under non-cancelable operating leases as of December 31, 2021 were as follows:</w:t>
            </w:r>
          </w:p>
        </w:tc>
        <w:tc>
          <w:tcPr>
            <w:tcW w:w="1580" w:type="dxa"/>
            <w:vAlign w:val="bottom"/>
          </w:tcPr>
          <w:p>
            <w:pPr>
              <w:spacing w:after="0"/>
              <w:rPr>
                <w:sz w:val="24"/>
                <w:szCs w:val="24"/>
                <w:color w:val="auto"/>
              </w:rPr>
            </w:pPr>
          </w:p>
        </w:tc>
      </w:tr>
      <w:tr>
        <w:trPr>
          <w:trHeight w:val="390"/>
        </w:trPr>
        <w:tc>
          <w:tcPr>
            <w:tcW w:w="96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580" w:type="dxa"/>
            <w:vAlign w:val="bottom"/>
            <w:tcBorders>
              <w:bottom w:val="single" w:sz="8" w:color="auto"/>
            </w:tcBorders>
          </w:tcPr>
          <w:p>
            <w:pPr>
              <w:spacing w:after="0"/>
              <w:rPr>
                <w:sz w:val="24"/>
                <w:szCs w:val="24"/>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2022</w:t>
            </w:r>
          </w:p>
        </w:tc>
        <w:tc>
          <w:tcPr>
            <w:tcW w:w="9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w:t>
            </w:r>
          </w:p>
        </w:tc>
      </w:tr>
      <w:tr>
        <w:trPr>
          <w:trHeight w:val="222"/>
        </w:trPr>
        <w:tc>
          <w:tcPr>
            <w:tcW w:w="380" w:type="dxa"/>
            <w:vAlign w:val="bottom"/>
          </w:tcPr>
          <w:p>
            <w:pPr>
              <w:ind w:left="20"/>
              <w:spacing w:after="0"/>
              <w:rPr>
                <w:sz w:val="20"/>
                <w:szCs w:val="20"/>
                <w:color w:val="auto"/>
              </w:rPr>
            </w:pPr>
            <w:r>
              <w:rPr>
                <w:rFonts w:ascii="Arial" w:cs="Arial" w:eastAsia="Arial" w:hAnsi="Arial"/>
                <w:sz w:val="17"/>
                <w:szCs w:val="17"/>
                <w:color w:val="auto"/>
                <w:w w:val="89"/>
              </w:rPr>
              <w:t>2023</w:t>
            </w:r>
          </w:p>
        </w:tc>
        <w:tc>
          <w:tcPr>
            <w:tcW w:w="8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2,695</w:t>
            </w:r>
          </w:p>
        </w:tc>
      </w:tr>
      <w:tr>
        <w:trPr>
          <w:trHeight w:val="223"/>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2024</w:t>
            </w:r>
          </w:p>
        </w:tc>
        <w:tc>
          <w:tcPr>
            <w:tcW w:w="8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2,775</w:t>
            </w:r>
          </w:p>
        </w:tc>
      </w:tr>
      <w:tr>
        <w:trPr>
          <w:trHeight w:val="222"/>
        </w:trPr>
        <w:tc>
          <w:tcPr>
            <w:tcW w:w="380" w:type="dxa"/>
            <w:vAlign w:val="bottom"/>
          </w:tcPr>
          <w:p>
            <w:pPr>
              <w:ind w:left="20"/>
              <w:spacing w:after="0"/>
              <w:rPr>
                <w:sz w:val="20"/>
                <w:szCs w:val="20"/>
                <w:color w:val="auto"/>
              </w:rPr>
            </w:pPr>
            <w:r>
              <w:rPr>
                <w:rFonts w:ascii="Arial" w:cs="Arial" w:eastAsia="Arial" w:hAnsi="Arial"/>
                <w:sz w:val="17"/>
                <w:szCs w:val="17"/>
                <w:color w:val="auto"/>
                <w:w w:val="89"/>
              </w:rPr>
              <w:t>2025</w:t>
            </w:r>
          </w:p>
        </w:tc>
        <w:tc>
          <w:tcPr>
            <w:tcW w:w="8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2,859</w:t>
            </w:r>
          </w:p>
        </w:tc>
      </w:tr>
      <w:tr>
        <w:trPr>
          <w:trHeight w:val="223"/>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2026</w:t>
            </w:r>
          </w:p>
        </w:tc>
        <w:tc>
          <w:tcPr>
            <w:tcW w:w="8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2,944</w:t>
            </w:r>
          </w:p>
        </w:tc>
      </w:tr>
      <w:tr>
        <w:trPr>
          <w:trHeight w:val="222"/>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w:t>
            </w:r>
          </w:p>
        </w:tc>
      </w:tr>
      <w:tr>
        <w:trPr>
          <w:trHeight w:val="236"/>
        </w:trPr>
        <w:tc>
          <w:tcPr>
            <w:tcW w:w="380" w:type="dxa"/>
            <w:vAlign w:val="bottom"/>
            <w:tcBorders>
              <w:bottom w:val="single" w:sz="8" w:color="CCEEFF"/>
            </w:tcBorders>
            <w:shd w:val="clear" w:color="auto" w:fill="CCEEFF"/>
          </w:tcPr>
          <w:p>
            <w:pPr>
              <w:spacing w:after="0"/>
              <w:rPr>
                <w:sz w:val="20"/>
                <w:szCs w:val="20"/>
                <w:color w:val="auto"/>
              </w:rPr>
            </w:pPr>
          </w:p>
        </w:tc>
        <w:tc>
          <w:tcPr>
            <w:tcW w:w="91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14,648</w:t>
            </w:r>
          </w:p>
        </w:tc>
      </w:tr>
      <w:tr>
        <w:trPr>
          <w:trHeight w:val="20"/>
        </w:trPr>
        <w:tc>
          <w:tcPr>
            <w:tcW w:w="380" w:type="dxa"/>
            <w:vAlign w:val="bottom"/>
          </w:tcPr>
          <w:p>
            <w:pPr>
              <w:spacing w:after="0" w:line="20" w:lineRule="exact"/>
              <w:rPr>
                <w:sz w:val="1"/>
                <w:szCs w:val="1"/>
                <w:color w:val="auto"/>
              </w:rPr>
            </w:pPr>
          </w:p>
        </w:tc>
        <w:tc>
          <w:tcPr>
            <w:tcW w:w="91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31"/>
        </w:trPr>
        <w:tc>
          <w:tcPr>
            <w:tcW w:w="380" w:type="dxa"/>
            <w:vAlign w:val="bottom"/>
          </w:tcPr>
          <w:p>
            <w:pPr>
              <w:spacing w:after="0"/>
              <w:rPr>
                <w:sz w:val="24"/>
                <w:szCs w:val="24"/>
                <w:color w:val="auto"/>
              </w:rPr>
            </w:pPr>
          </w:p>
        </w:tc>
        <w:tc>
          <w:tcPr>
            <w:tcW w:w="9280" w:type="dxa"/>
            <w:vAlign w:val="bottom"/>
            <w:gridSpan w:val="3"/>
          </w:tcPr>
          <w:p>
            <w:pPr>
              <w:ind w:left="260"/>
              <w:spacing w:after="0"/>
              <w:rPr>
                <w:sz w:val="20"/>
                <w:szCs w:val="20"/>
                <w:color w:val="auto"/>
              </w:rPr>
            </w:pPr>
            <w:r>
              <w:rPr>
                <w:rFonts w:ascii="Arial" w:cs="Arial" w:eastAsia="Arial" w:hAnsi="Arial"/>
                <w:sz w:val="17"/>
                <w:szCs w:val="17"/>
                <w:color w:val="auto"/>
                <w:w w:val="96"/>
              </w:rPr>
              <w:t>The Company has three capital leases, one in Hanford, California for its main production facility, and two equipment leases.</w:t>
            </w:r>
          </w:p>
        </w:tc>
        <w:tc>
          <w:tcPr>
            <w:tcW w:w="1580" w:type="dxa"/>
            <w:vAlign w:val="bottom"/>
          </w:tcPr>
          <w:p>
            <w:pPr>
              <w:spacing w:after="0"/>
              <w:rPr>
                <w:sz w:val="24"/>
                <w:szCs w:val="24"/>
                <w:color w:val="auto"/>
              </w:rPr>
            </w:pPr>
          </w:p>
        </w:tc>
      </w:tr>
      <w:tr>
        <w:trPr>
          <w:trHeight w:val="367"/>
        </w:trPr>
        <w:tc>
          <w:tcPr>
            <w:tcW w:w="380" w:type="dxa"/>
            <w:vAlign w:val="bottom"/>
          </w:tcPr>
          <w:p>
            <w:pPr>
              <w:spacing w:after="0"/>
              <w:rPr>
                <w:sz w:val="24"/>
                <w:szCs w:val="24"/>
                <w:color w:val="auto"/>
              </w:rPr>
            </w:pPr>
          </w:p>
        </w:tc>
        <w:tc>
          <w:tcPr>
            <w:tcW w:w="9280" w:type="dxa"/>
            <w:vAlign w:val="bottom"/>
            <w:gridSpan w:val="3"/>
          </w:tcPr>
          <w:p>
            <w:pPr>
              <w:ind w:left="260"/>
              <w:spacing w:after="0"/>
              <w:rPr>
                <w:sz w:val="20"/>
                <w:szCs w:val="20"/>
                <w:color w:val="auto"/>
              </w:rPr>
            </w:pPr>
            <w:r>
              <w:rPr>
                <w:rFonts w:ascii="Arial" w:cs="Arial" w:eastAsia="Arial" w:hAnsi="Arial"/>
                <w:sz w:val="17"/>
                <w:szCs w:val="17"/>
                <w:color w:val="auto"/>
                <w:w w:val="99"/>
              </w:rPr>
              <w:t>The minimum aggregate future minimum lease payments under capital leases as of December 31, 2021 were as follows:</w:t>
            </w:r>
          </w:p>
        </w:tc>
        <w:tc>
          <w:tcPr>
            <w:tcW w:w="1580" w:type="dxa"/>
            <w:vAlign w:val="bottom"/>
          </w:tcPr>
          <w:p>
            <w:pPr>
              <w:spacing w:after="0"/>
              <w:rPr>
                <w:sz w:val="24"/>
                <w:szCs w:val="24"/>
                <w:color w:val="auto"/>
              </w:rPr>
            </w:pPr>
          </w:p>
        </w:tc>
      </w:tr>
      <w:tr>
        <w:trPr>
          <w:trHeight w:val="233"/>
        </w:trPr>
        <w:tc>
          <w:tcPr>
            <w:tcW w:w="966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1580" w:type="dxa"/>
            <w:vAlign w:val="bottom"/>
            <w:tcBorders>
              <w:bottom w:val="single" w:sz="8" w:color="auto"/>
            </w:tcBorders>
          </w:tcPr>
          <w:p>
            <w:pPr>
              <w:spacing w:after="0"/>
              <w:rPr>
                <w:sz w:val="20"/>
                <w:szCs w:val="20"/>
                <w:color w:val="auto"/>
              </w:rPr>
            </w:pPr>
          </w:p>
        </w:tc>
      </w:tr>
      <w:tr>
        <w:trPr>
          <w:trHeight w:val="219"/>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2022</w:t>
            </w:r>
          </w:p>
        </w:tc>
        <w:tc>
          <w:tcPr>
            <w:tcW w:w="92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2,574</w:t>
            </w:r>
          </w:p>
        </w:tc>
      </w:tr>
      <w:tr>
        <w:trPr>
          <w:trHeight w:val="222"/>
        </w:trPr>
        <w:tc>
          <w:tcPr>
            <w:tcW w:w="380" w:type="dxa"/>
            <w:vAlign w:val="bottom"/>
          </w:tcPr>
          <w:p>
            <w:pPr>
              <w:ind w:left="20"/>
              <w:spacing w:after="0"/>
              <w:rPr>
                <w:sz w:val="20"/>
                <w:szCs w:val="20"/>
                <w:color w:val="auto"/>
              </w:rPr>
            </w:pPr>
            <w:r>
              <w:rPr>
                <w:rFonts w:ascii="Arial" w:cs="Arial" w:eastAsia="Arial" w:hAnsi="Arial"/>
                <w:sz w:val="17"/>
                <w:szCs w:val="17"/>
                <w:color w:val="auto"/>
                <w:w w:val="89"/>
              </w:rPr>
              <w:t>2023</w:t>
            </w:r>
          </w:p>
        </w:tc>
        <w:tc>
          <w:tcPr>
            <w:tcW w:w="8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2,166</w:t>
            </w:r>
          </w:p>
        </w:tc>
      </w:tr>
      <w:tr>
        <w:trPr>
          <w:trHeight w:val="223"/>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2024</w:t>
            </w:r>
          </w:p>
        </w:tc>
        <w:tc>
          <w:tcPr>
            <w:tcW w:w="8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w:t>
            </w:r>
          </w:p>
        </w:tc>
      </w:tr>
      <w:tr>
        <w:trPr>
          <w:trHeight w:val="222"/>
        </w:trPr>
        <w:tc>
          <w:tcPr>
            <w:tcW w:w="380" w:type="dxa"/>
            <w:vAlign w:val="bottom"/>
          </w:tcPr>
          <w:p>
            <w:pPr>
              <w:ind w:left="20"/>
              <w:spacing w:after="0"/>
              <w:rPr>
                <w:sz w:val="20"/>
                <w:szCs w:val="20"/>
                <w:color w:val="auto"/>
              </w:rPr>
            </w:pPr>
            <w:r>
              <w:rPr>
                <w:rFonts w:ascii="Arial" w:cs="Arial" w:eastAsia="Arial" w:hAnsi="Arial"/>
                <w:sz w:val="17"/>
                <w:szCs w:val="17"/>
                <w:color w:val="auto"/>
                <w:w w:val="89"/>
              </w:rPr>
              <w:t>2025</w:t>
            </w:r>
          </w:p>
        </w:tc>
        <w:tc>
          <w:tcPr>
            <w:tcW w:w="8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1,792</w:t>
            </w:r>
          </w:p>
        </w:tc>
      </w:tr>
      <w:tr>
        <w:trPr>
          <w:trHeight w:val="223"/>
        </w:trPr>
        <w:tc>
          <w:tcPr>
            <w:tcW w:w="3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2026</w:t>
            </w:r>
          </w:p>
        </w:tc>
        <w:tc>
          <w:tcPr>
            <w:tcW w:w="8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1,840</w:t>
            </w:r>
          </w:p>
        </w:tc>
      </w:tr>
      <w:tr>
        <w:trPr>
          <w:trHeight w:val="222"/>
        </w:trPr>
        <w:tc>
          <w:tcPr>
            <w:tcW w:w="94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1,864</w:t>
            </w:r>
          </w:p>
        </w:tc>
      </w:tr>
      <w:tr>
        <w:trPr>
          <w:trHeight w:val="236"/>
        </w:trPr>
        <w:tc>
          <w:tcPr>
            <w:tcW w:w="380" w:type="dxa"/>
            <w:vAlign w:val="bottom"/>
            <w:tcBorders>
              <w:bottom w:val="single" w:sz="8" w:color="CCEEFF"/>
            </w:tcBorders>
            <w:shd w:val="clear" w:color="auto" w:fill="CCEEFF"/>
          </w:tcPr>
          <w:p>
            <w:pPr>
              <w:spacing w:after="0"/>
              <w:rPr>
                <w:sz w:val="20"/>
                <w:szCs w:val="20"/>
                <w:color w:val="auto"/>
              </w:rPr>
            </w:pPr>
          </w:p>
        </w:tc>
        <w:tc>
          <w:tcPr>
            <w:tcW w:w="91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11,993</w:t>
            </w:r>
          </w:p>
        </w:tc>
      </w:tr>
      <w:tr>
        <w:trPr>
          <w:trHeight w:val="20"/>
        </w:trPr>
        <w:tc>
          <w:tcPr>
            <w:tcW w:w="380" w:type="dxa"/>
            <w:vAlign w:val="bottom"/>
          </w:tcPr>
          <w:p>
            <w:pPr>
              <w:spacing w:after="0" w:line="20" w:lineRule="exact"/>
              <w:rPr>
                <w:sz w:val="1"/>
                <w:szCs w:val="1"/>
                <w:color w:val="auto"/>
              </w:rPr>
            </w:pPr>
          </w:p>
        </w:tc>
        <w:tc>
          <w:tcPr>
            <w:tcW w:w="910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483"/>
        </w:trPr>
        <w:tc>
          <w:tcPr>
            <w:tcW w:w="380" w:type="dxa"/>
            <w:vAlign w:val="bottom"/>
          </w:tcPr>
          <w:p>
            <w:pPr>
              <w:spacing w:after="0"/>
              <w:rPr>
                <w:sz w:val="20"/>
                <w:szCs w:val="20"/>
                <w:color w:val="auto"/>
              </w:rPr>
            </w:pPr>
            <w:r>
              <w:rPr>
                <w:rFonts w:ascii="Arial" w:cs="Arial" w:eastAsia="Arial" w:hAnsi="Arial"/>
                <w:sz w:val="17"/>
                <w:szCs w:val="17"/>
                <w:b w:val="1"/>
                <w:bCs w:val="1"/>
                <w:color w:val="auto"/>
              </w:rPr>
              <w:t>11.</w:t>
            </w:r>
          </w:p>
        </w:tc>
        <w:tc>
          <w:tcPr>
            <w:tcW w:w="9280" w:type="dxa"/>
            <w:vAlign w:val="bottom"/>
            <w:gridSpan w:val="3"/>
          </w:tcPr>
          <w:p>
            <w:pPr>
              <w:jc w:val="right"/>
              <w:ind w:right="6713"/>
              <w:spacing w:after="0"/>
              <w:rPr>
                <w:sz w:val="20"/>
                <w:szCs w:val="20"/>
                <w:color w:val="auto"/>
              </w:rPr>
            </w:pPr>
            <w:r>
              <w:rPr>
                <w:rFonts w:ascii="Arial" w:cs="Arial" w:eastAsia="Arial" w:hAnsi="Arial"/>
                <w:sz w:val="17"/>
                <w:szCs w:val="17"/>
                <w:b w:val="1"/>
                <w:bCs w:val="1"/>
                <w:color w:val="auto"/>
                <w:w w:val="91"/>
              </w:rPr>
              <w:t>Commitments and Contingencies</w:t>
            </w:r>
          </w:p>
        </w:tc>
        <w:tc>
          <w:tcPr>
            <w:tcW w:w="1580" w:type="dxa"/>
            <w:vAlign w:val="bottom"/>
          </w:tcPr>
          <w:p>
            <w:pPr>
              <w:spacing w:after="0"/>
              <w:rPr>
                <w:sz w:val="24"/>
                <w:szCs w:val="24"/>
                <w:color w:val="auto"/>
              </w:rPr>
            </w:pPr>
          </w:p>
        </w:tc>
      </w:tr>
      <w:tr>
        <w:trPr>
          <w:trHeight w:val="419"/>
        </w:trPr>
        <w:tc>
          <w:tcPr>
            <w:tcW w:w="9660" w:type="dxa"/>
            <w:vAlign w:val="bottom"/>
            <w:gridSpan w:val="4"/>
          </w:tcPr>
          <w:p>
            <w:pPr>
              <w:spacing w:after="0"/>
              <w:rPr>
                <w:sz w:val="20"/>
                <w:szCs w:val="20"/>
                <w:color w:val="auto"/>
              </w:rPr>
            </w:pPr>
            <w:r>
              <w:rPr>
                <w:rFonts w:ascii="Arial" w:cs="Arial" w:eastAsia="Arial" w:hAnsi="Arial"/>
                <w:sz w:val="17"/>
                <w:szCs w:val="17"/>
                <w:i w:val="1"/>
                <w:iCs w:val="1"/>
                <w:color w:val="auto"/>
              </w:rPr>
              <w:t>Legal Matters</w:t>
            </w:r>
          </w:p>
        </w:tc>
        <w:tc>
          <w:tcPr>
            <w:tcW w:w="1580" w:type="dxa"/>
            <w:vAlign w:val="bottom"/>
          </w:tcPr>
          <w:p>
            <w:pPr>
              <w:spacing w:after="0"/>
              <w:rPr>
                <w:sz w:val="24"/>
                <w:szCs w:val="24"/>
                <w:color w:val="auto"/>
              </w:rPr>
            </w:pPr>
          </w:p>
        </w:tc>
      </w:tr>
    </w:tbl>
    <w:p>
      <w:pPr>
        <w:spacing w:after="0" w:line="145" w:lineRule="exact"/>
        <w:rPr>
          <w:sz w:val="20"/>
          <w:szCs w:val="20"/>
          <w:color w:val="auto"/>
        </w:rPr>
      </w:pPr>
    </w:p>
    <w:p>
      <w:pPr>
        <w:jc w:val="both"/>
        <w:ind w:right="20" w:firstLine="440"/>
        <w:spacing w:after="0" w:line="289" w:lineRule="auto"/>
        <w:rPr>
          <w:sz w:val="20"/>
          <w:szCs w:val="20"/>
          <w:color w:val="auto"/>
        </w:rPr>
      </w:pPr>
      <w:r>
        <w:rPr>
          <w:rFonts w:ascii="Arial" w:cs="Arial" w:eastAsia="Arial" w:hAnsi="Arial"/>
          <w:sz w:val="17"/>
          <w:szCs w:val="17"/>
          <w:color w:val="auto"/>
        </w:rPr>
        <w:t>The Company is, from time to time, subject to claims and disputes arising in the normal course of business. In the opinion of management, the outcome of any such claims and disputes cannot be predicted with certainty.</w:t>
      </w:r>
    </w:p>
    <w:p>
      <w:pPr>
        <w:spacing w:after="0" w:line="10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On December 23, 2021, a putative class action lawsuit alleging violations of the Securities Exchange Act of 1934 was filed in the United States District Court, Central District of California, against the Company and its current Chief Executive Officer, its current Chief Product and User Ecosystem Officer, as well as the two former CFOs of the Company (one of which</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1" w:name="page22"/>
    <w:bookmarkEnd w:id="21"/>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is also the former CFO of Legacy FF), and the Co-CEOs of PSAC. On March 7, 2022, the court appointed co-lead plaintiffs and co-lead counsel. Co-lead plaintiffs filed an amended complaint on May 6, 2022. On July 5, 2022, the defendants filed a motion to dismiss the amended complaint. The Company believes the suit is without merit and intends to vigorously defend the suit. Given the early stages of the legal proceedings, it is not possible to predict the outcome of the claims.</w:t>
      </w:r>
    </w:p>
    <w:p>
      <w:pPr>
        <w:spacing w:after="0" w:line="11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March 8, 2022 and March 21, 2022, putative derivative lawsuits alleging violations of the Securities Exchange Act of 1934 and various common law claims were filed in the United States District Court, Central District of California. On April 8, 2022, these two derivative lawsuits were consolidated. On May 24, 2022, the consolidated derivative actions were stayed pending resolution of a motion to dismiss in the putative class action described above. Additionally, on April 11 and April 25, 2022, putative derivative lawsuits alleging violations of the Securities Exchange Act of 1934 and various common law claims were filed in the United States District Court, District of Delaware. These lawsuits purport to assert claims on behalf of the Company against numerous current and former officers and directors of the Company. Lastly, on June 14, 2022, a verified stockholder class action complaint was filed in the Court of Chancery of the State of Delaware against, among others, the Company, its current Global CEO, its former CFO and its current Chief Product and User Ecosystem Officer alleging breaches of fiduciary duties. Given the early stages of the legal proceedings, it is not possible to predict the outcome of the claims.</w:t>
      </w:r>
    </w:p>
    <w:p>
      <w:pPr>
        <w:spacing w:after="0" w:line="134" w:lineRule="exact"/>
        <w:rPr>
          <w:sz w:val="20"/>
          <w:szCs w:val="20"/>
          <w:color w:val="auto"/>
        </w:rPr>
      </w:pPr>
    </w:p>
    <w:p>
      <w:pPr>
        <w:ind w:right="80" w:firstLine="440"/>
        <w:spacing w:after="0" w:line="297" w:lineRule="auto"/>
        <w:rPr>
          <w:sz w:val="20"/>
          <w:szCs w:val="20"/>
          <w:color w:val="auto"/>
        </w:rPr>
      </w:pPr>
      <w:r>
        <w:rPr>
          <w:rFonts w:ascii="Arial" w:cs="Arial" w:eastAsia="Arial" w:hAnsi="Arial"/>
          <w:sz w:val="16"/>
          <w:szCs w:val="16"/>
          <w:color w:val="auto"/>
        </w:rPr>
        <w:t>As of June 30, 2022 and December 31, 2021, the Company had accrued contingent liabilities of $14,808 and $16,881, respectively, within Accrued expenses and other current liabilities on the unaudited Condensed Consolidated Balance Sheets for potential financial exposure related to ongoing legal matters primarily related to breach of contracts and employment matters which are deemed both probable of loss and reasonably estimable.</w:t>
      </w:r>
    </w:p>
    <w:p>
      <w:pPr>
        <w:spacing w:after="0" w:line="103" w:lineRule="exact"/>
        <w:rPr>
          <w:sz w:val="20"/>
          <w:szCs w:val="20"/>
          <w:color w:val="auto"/>
        </w:rPr>
      </w:pPr>
    </w:p>
    <w:p>
      <w:pPr>
        <w:ind w:right="140" w:firstLine="440"/>
        <w:spacing w:after="0" w:line="285" w:lineRule="auto"/>
        <w:rPr>
          <w:sz w:val="20"/>
          <w:szCs w:val="20"/>
          <w:color w:val="auto"/>
        </w:rPr>
      </w:pPr>
      <w:r>
        <w:rPr>
          <w:rFonts w:ascii="Arial" w:cs="Arial" w:eastAsia="Arial" w:hAnsi="Arial"/>
          <w:sz w:val="16"/>
          <w:szCs w:val="16"/>
          <w:color w:val="auto"/>
        </w:rPr>
        <w:t>During the six months ending June 30, 2022, the Company settled a legal dispute for breach of lease under which the Company was named a co-defendant, in a civil action case with the plaintiff seeking damages including unpaid rent, future unpaid rent, unpaid expenses, and unpaid taxes related to the lease for a total of $6,400. Pursuant to the settlement agreement, the Company agreed to pay $1,800 in cash in January 2022 and an additional $3,400 plus 5% interest in October 2022 and was liable for the remainder of the settlement, in the amount of $1,200, in the event the co-defendants failed to make the payment in January 2022. In January 2022, the Company made the initial settlement payment of $1,800 and was relieved of the liability of $1,200.</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Committee Investigation</w:t>
      </w:r>
    </w:p>
    <w:p>
      <w:pPr>
        <w:spacing w:after="0" w:line="171" w:lineRule="exact"/>
        <w:rPr>
          <w:sz w:val="20"/>
          <w:szCs w:val="20"/>
          <w:color w:val="auto"/>
        </w:rPr>
      </w:pPr>
    </w:p>
    <w:p>
      <w:pPr>
        <w:ind w:right="140" w:firstLine="440"/>
        <w:spacing w:after="0" w:line="280" w:lineRule="auto"/>
        <w:rPr>
          <w:sz w:val="20"/>
          <w:szCs w:val="20"/>
          <w:color w:val="auto"/>
        </w:rPr>
      </w:pPr>
      <w:r>
        <w:rPr>
          <w:rFonts w:ascii="Arial" w:cs="Arial" w:eastAsia="Arial" w:hAnsi="Arial"/>
          <w:sz w:val="16"/>
          <w:szCs w:val="16"/>
          <w:color w:val="auto"/>
        </w:rPr>
        <w:t>As previously disclosed, on November 15, 2021, the Company’s Board of Directors (the “Board”) established a special committee of independent directors (“Special Committee”) to investigate allegations of inaccurate Company disclosures, including those made in an October 2021 short seller report and whistleblower allegations, which resulted in the Company being unable to timely file its third quarter 2021 Quarterly Report on Form 10-Q, Annual Report on Form 10-K for the year ended December 31, 2021 and amended Registration Statement on Form S-1 (File No. 333-258993) (the “Special Committee Investigation”). The Special Committee engaged outside independent legal counsel and a forensic accounting firm to assist with its review. On February 1, 2022, the Company announced that the Special Committee completed its review. On April 14, 2022, the Company announced the completion of additional investigative work based on the Special Committee’s findings which were performed under the direction of the Executive Chairperson, reporting to the Audit Committee. In connection with the Special Committee’s review and subsequent investigative work, the following findings were made:</w:t>
      </w:r>
    </w:p>
    <w:p>
      <w:pPr>
        <w:spacing w:after="0" w:line="117" w:lineRule="exact"/>
        <w:rPr>
          <w:sz w:val="20"/>
          <w:szCs w:val="20"/>
          <w:color w:val="auto"/>
        </w:rPr>
      </w:pPr>
    </w:p>
    <w:p>
      <w:pPr>
        <w:ind w:left="640" w:right="260" w:hanging="321"/>
        <w:spacing w:after="0" w:line="273"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connection with the Business Combination, statements made by certain Company employees to certain investors describing the role of Yueting (“YT”) Jia, the Company’s founder and former CEO, within the Company were inaccurate and his involvement in the management of the Company post-Business Combination was more significant than what had been represented to certain investors.</w:t>
      </w:r>
    </w:p>
    <w:p>
      <w:pPr>
        <w:spacing w:after="0" w:line="118" w:lineRule="exact"/>
        <w:rPr>
          <w:rFonts w:ascii="Arial" w:cs="Arial" w:eastAsia="Arial" w:hAnsi="Arial"/>
          <w:sz w:val="17"/>
          <w:szCs w:val="17"/>
          <w:color w:val="auto"/>
        </w:rPr>
      </w:pPr>
    </w:p>
    <w:p>
      <w:pPr>
        <w:jc w:val="both"/>
        <w:ind w:left="640" w:right="400" w:hanging="321"/>
        <w:spacing w:after="0" w:line="273"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Company’s statements leading up to the Business Combination that it had received more than 14,000 reservations for the FF 91 vehicle were potentially misleading because only several hundred of those reservations were paid, while the others (totaling 14,000) were unpaid indications of interest.</w:t>
      </w:r>
    </w:p>
    <w:p>
      <w:pPr>
        <w:spacing w:after="0" w:line="118" w:lineRule="exact"/>
        <w:rPr>
          <w:rFonts w:ascii="Arial" w:cs="Arial" w:eastAsia="Arial" w:hAnsi="Arial"/>
          <w:sz w:val="17"/>
          <w:szCs w:val="17"/>
          <w:color w:val="auto"/>
        </w:rPr>
      </w:pPr>
    </w:p>
    <w:p>
      <w:pPr>
        <w:ind w:left="640" w:right="60" w:hanging="321"/>
        <w:spacing w:after="0" w:line="289"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Consistent with the Company’s previous public disclosures regarding identified material weaknesses in its internal control over financial reporting, the Company’s internal control over financial reporting requires an upgrade in personnel and systems.</w:t>
      </w:r>
    </w:p>
    <w:p>
      <w:pPr>
        <w:spacing w:after="0" w:line="105" w:lineRule="exact"/>
        <w:rPr>
          <w:rFonts w:ascii="Arial" w:cs="Arial" w:eastAsia="Arial" w:hAnsi="Arial"/>
          <w:sz w:val="17"/>
          <w:szCs w:val="17"/>
          <w:color w:val="auto"/>
        </w:rPr>
      </w:pPr>
    </w:p>
    <w:p>
      <w:pPr>
        <w:ind w:left="620" w:hanging="301"/>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Company’s corporate culture failed to sufficiently prioritize compliance.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71" w:right="359" w:bottom="1440" w:gutter="0" w:footer="0" w:header="0"/>
        </w:sectPr>
      </w:pPr>
    </w:p>
    <w:bookmarkStart w:id="22" w:name="page23"/>
    <w:bookmarkEnd w:id="22"/>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40" w:right="360" w:hanging="321"/>
        <w:spacing w:after="0" w:line="289"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Mr. Jia’s role as an intermediary in leasing certain properties which were subsequently leased to the Company was not disclosed in the Company’s corporate housing disclosures.</w:t>
      </w:r>
    </w:p>
    <w:p>
      <w:pPr>
        <w:spacing w:after="0" w:line="105" w:lineRule="exact"/>
        <w:rPr>
          <w:rFonts w:ascii="Arial" w:cs="Arial" w:eastAsia="Arial" w:hAnsi="Arial"/>
          <w:sz w:val="17"/>
          <w:szCs w:val="17"/>
          <w:color w:val="auto"/>
        </w:rPr>
      </w:pPr>
    </w:p>
    <w:p>
      <w:pPr>
        <w:ind w:left="640" w:right="320" w:hanging="321"/>
        <w:spacing w:after="0" w:line="289"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preparing the Company’s related party transaction disclosures, the Company failed to investigate and identify the sources of loans received from individuals and entities associated with Company employees.</w:t>
      </w:r>
    </w:p>
    <w:p>
      <w:pPr>
        <w:spacing w:after="0" w:line="106"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In addition, the investigation found that certain individuals failed to fully disclose to individuals involved in the preparation of the Company’s SEC filings their relationships with certain related parties and affiliated entities in connection with, and following, the Business Combination, and failed to fully disclose relevant information, including but not limited to, information in connection with related parties and corporate governance to the Company’s independent registered public accounting firm PricewaterhouseCoopers LLP.</w:t>
      </w:r>
    </w:p>
    <w:p>
      <w:pPr>
        <w:spacing w:after="0" w:line="126" w:lineRule="exact"/>
        <w:rPr>
          <w:sz w:val="20"/>
          <w:szCs w:val="20"/>
          <w:color w:val="auto"/>
        </w:rPr>
      </w:pPr>
    </w:p>
    <w:p>
      <w:pPr>
        <w:ind w:right="40" w:firstLine="440"/>
        <w:spacing w:after="0" w:line="265" w:lineRule="auto"/>
        <w:rPr>
          <w:sz w:val="20"/>
          <w:szCs w:val="20"/>
          <w:color w:val="auto"/>
        </w:rPr>
      </w:pPr>
      <w:r>
        <w:rPr>
          <w:rFonts w:ascii="Arial" w:cs="Arial" w:eastAsia="Arial" w:hAnsi="Arial"/>
          <w:sz w:val="17"/>
          <w:szCs w:val="17"/>
          <w:color w:val="auto"/>
        </w:rPr>
        <w:t>The investigation also found that certain individuals failed to cooperate and withheld potentially relevant information in connection with the Special Committee Investigation. Many of such individuals were not executive officers or members of the management team of FF, and remedial action was taken with respect to such individuals based on the extent of non-cooperation and/or withholding of information. The failure to cooperate with the investigation was taken into consideration in connection with the remedial actions outlined below with respect to Jerry Wang, and withholding of information also affected the remedial action taken with respect to Matthias Aydt.</w:t>
      </w:r>
    </w:p>
    <w:p>
      <w:pPr>
        <w:spacing w:after="0" w:line="126" w:lineRule="exact"/>
        <w:rPr>
          <w:sz w:val="20"/>
          <w:szCs w:val="20"/>
          <w:color w:val="auto"/>
        </w:rPr>
      </w:pPr>
    </w:p>
    <w:p>
      <w:pPr>
        <w:ind w:right="80" w:firstLine="440"/>
        <w:spacing w:after="0" w:line="267" w:lineRule="auto"/>
        <w:rPr>
          <w:sz w:val="20"/>
          <w:szCs w:val="20"/>
          <w:color w:val="auto"/>
        </w:rPr>
      </w:pPr>
      <w:r>
        <w:rPr>
          <w:rFonts w:ascii="Arial" w:cs="Arial" w:eastAsia="Arial" w:hAnsi="Arial"/>
          <w:sz w:val="17"/>
          <w:szCs w:val="17"/>
          <w:color w:val="auto"/>
        </w:rPr>
        <w:t>Based on the results of the investigation, the Special Committee concluded that, except as described above, other substantive allegations of inaccurate FF disclosures that it evaluated, were not supported by the evidence reviewed. Although the investigation did not change any of the above findings with respect to the substantive allegations of inaccurate FF disclosures, the investigation did confirm the need for remedial actions to help ensure enhanced focus on compliance and disclosure within FF.</w:t>
      </w:r>
    </w:p>
    <w:p>
      <w:pPr>
        <w:spacing w:after="0" w:line="126" w:lineRule="exact"/>
        <w:rPr>
          <w:sz w:val="20"/>
          <w:szCs w:val="20"/>
          <w:color w:val="auto"/>
        </w:rPr>
      </w:pPr>
    </w:p>
    <w:p>
      <w:pPr>
        <w:ind w:right="520" w:firstLine="440"/>
        <w:spacing w:after="0" w:line="289" w:lineRule="auto"/>
        <w:rPr>
          <w:sz w:val="20"/>
          <w:szCs w:val="20"/>
          <w:color w:val="auto"/>
        </w:rPr>
      </w:pPr>
      <w:r>
        <w:rPr>
          <w:rFonts w:ascii="Arial" w:cs="Arial" w:eastAsia="Arial" w:hAnsi="Arial"/>
          <w:sz w:val="17"/>
          <w:szCs w:val="17"/>
          <w:color w:val="auto"/>
        </w:rPr>
        <w:t>Based on the results of the Special Committee Investigation and subsequent investigative work described above, the Board approved the following remedial actions:</w:t>
      </w:r>
    </w:p>
    <w:p>
      <w:pPr>
        <w:spacing w:after="0" w:line="106" w:lineRule="exact"/>
        <w:rPr>
          <w:sz w:val="20"/>
          <w:szCs w:val="20"/>
          <w:color w:val="auto"/>
        </w:rPr>
      </w:pPr>
    </w:p>
    <w:p>
      <w:pPr>
        <w:ind w:left="620" w:hanging="301"/>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remedial actions designed to enhance oversight and corporate governance of the Company, namely the following:</w:t>
      </w:r>
    </w:p>
    <w:p>
      <w:pPr>
        <w:spacing w:after="0" w:line="171" w:lineRule="exact"/>
        <w:rPr>
          <w:rFonts w:ascii="Arial" w:cs="Arial" w:eastAsia="Arial" w:hAnsi="Arial"/>
          <w:sz w:val="17"/>
          <w:szCs w:val="17"/>
          <w:color w:val="auto"/>
        </w:rPr>
      </w:pPr>
    </w:p>
    <w:p>
      <w:pPr>
        <w:ind w:left="1260" w:hanging="312"/>
        <w:spacing w:after="0"/>
        <w:tabs>
          <w:tab w:leader="none" w:pos="1260"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appointment of Susan Swenson, a member of the Board, to the newly created position of Executive Chairperson of FF;</w:t>
      </w:r>
    </w:p>
    <w:p>
      <w:pPr>
        <w:spacing w:after="0" w:line="171" w:lineRule="exact"/>
        <w:rPr>
          <w:rFonts w:ascii="Arial" w:cs="Arial" w:eastAsia="Arial" w:hAnsi="Arial"/>
          <w:sz w:val="17"/>
          <w:szCs w:val="17"/>
          <w:color w:val="auto"/>
        </w:rPr>
      </w:pPr>
    </w:p>
    <w:p>
      <w:pPr>
        <w:ind w:left="1260" w:hanging="312"/>
        <w:spacing w:after="0"/>
        <w:tabs>
          <w:tab w:leader="none" w:pos="1260" w:val="left"/>
        </w:tabs>
        <w:numPr>
          <w:ilvl w:val="1"/>
          <w:numId w:val="9"/>
        </w:numPr>
        <w:rPr>
          <w:rFonts w:ascii="Arial" w:cs="Arial" w:eastAsia="Arial" w:hAnsi="Arial"/>
          <w:sz w:val="17"/>
          <w:szCs w:val="17"/>
          <w:color w:val="auto"/>
        </w:rPr>
      </w:pPr>
      <w:r>
        <w:rPr>
          <w:rFonts w:ascii="Arial" w:cs="Arial" w:eastAsia="Arial" w:hAnsi="Arial"/>
          <w:sz w:val="17"/>
          <w:szCs w:val="17"/>
          <w:color w:val="auto"/>
        </w:rPr>
        <w:t>Carsten Breitfeld, FF’s Chief Executive Officer, reporting directly to Ms. Swenson and receiving a 25% annual base salary reduction;</w:t>
      </w:r>
    </w:p>
    <w:p>
      <w:pPr>
        <w:spacing w:after="0" w:line="171" w:lineRule="exact"/>
        <w:rPr>
          <w:rFonts w:ascii="Arial" w:cs="Arial" w:eastAsia="Arial" w:hAnsi="Arial"/>
          <w:sz w:val="17"/>
          <w:szCs w:val="17"/>
          <w:color w:val="auto"/>
        </w:rPr>
      </w:pPr>
    </w:p>
    <w:p>
      <w:pPr>
        <w:ind w:left="1260" w:right="20" w:hanging="312"/>
        <w:spacing w:after="0" w:line="265" w:lineRule="auto"/>
        <w:tabs>
          <w:tab w:leader="none" w:pos="1256"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removal of Mr. Jia as an executive officer, although continuing in his position as Chief Product &amp; User Ecosystem Officer of the Company. Certain dual-reporting arrangements were eliminated with respect to Mr. Jia, and he is required to report directly to Ms. Swenson, a non-independent director nominated by FF Top. Mr. Jia also received a 25% annual base salary reduction, and his role was limited from a policy-making position to focusing on (a) Product and Mobility Ecosystem and (b) Internet, Artificial Intelligence, and Advanced R&amp;D technology;</w:t>
      </w:r>
    </w:p>
    <w:p>
      <w:pPr>
        <w:spacing w:after="0" w:line="125" w:lineRule="exact"/>
        <w:rPr>
          <w:rFonts w:ascii="Arial" w:cs="Arial" w:eastAsia="Arial" w:hAnsi="Arial"/>
          <w:sz w:val="17"/>
          <w:szCs w:val="17"/>
          <w:color w:val="auto"/>
        </w:rPr>
      </w:pPr>
    </w:p>
    <w:p>
      <w:pPr>
        <w:ind w:left="1260" w:right="400" w:hanging="312"/>
        <w:spacing w:after="0" w:line="359" w:lineRule="auto"/>
        <w:tabs>
          <w:tab w:leader="none" w:pos="1256" w:val="left"/>
        </w:tabs>
        <w:numPr>
          <w:ilvl w:val="1"/>
          <w:numId w:val="9"/>
        </w:numPr>
        <w:rPr>
          <w:rFonts w:ascii="Arial" w:cs="Arial" w:eastAsia="Arial" w:hAnsi="Arial"/>
          <w:sz w:val="15"/>
          <w:szCs w:val="15"/>
          <w:color w:val="auto"/>
        </w:rPr>
      </w:pPr>
      <w:r>
        <w:rPr>
          <w:rFonts w:ascii="Arial" w:cs="Arial" w:eastAsia="Arial" w:hAnsi="Arial"/>
          <w:sz w:val="15"/>
          <w:szCs w:val="15"/>
          <w:color w:val="auto"/>
        </w:rPr>
        <w:t>Matthias Aydt, Senior Vice President, Business Development and Product Definition and a director of the Company, being placed on probation as an executive officer for a six-month period, during which period he will remain as a non-independent member of the Board;</w:t>
      </w:r>
    </w:p>
    <w:p>
      <w:pPr>
        <w:spacing w:after="0" w:line="60" w:lineRule="exact"/>
        <w:rPr>
          <w:rFonts w:ascii="Arial" w:cs="Arial" w:eastAsia="Arial" w:hAnsi="Arial"/>
          <w:sz w:val="15"/>
          <w:szCs w:val="15"/>
          <w:color w:val="auto"/>
        </w:rPr>
      </w:pPr>
    </w:p>
    <w:p>
      <w:pPr>
        <w:ind w:left="1260" w:right="380" w:hanging="312"/>
        <w:spacing w:after="0" w:line="265" w:lineRule="auto"/>
        <w:tabs>
          <w:tab w:leader="none" w:pos="1256"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 and</w:t>
      </w:r>
    </w:p>
    <w:p>
      <w:pPr>
        <w:spacing w:after="0" w:line="125" w:lineRule="exact"/>
        <w:rPr>
          <w:rFonts w:ascii="Arial" w:cs="Arial" w:eastAsia="Arial" w:hAnsi="Arial"/>
          <w:sz w:val="17"/>
          <w:szCs w:val="17"/>
          <w:color w:val="auto"/>
        </w:rPr>
      </w:pPr>
    </w:p>
    <w:p>
      <w:pPr>
        <w:ind w:left="1260" w:right="500" w:hanging="312"/>
        <w:spacing w:after="0" w:line="289" w:lineRule="auto"/>
        <w:tabs>
          <w:tab w:leader="none" w:pos="1256" w:val="left"/>
        </w:tabs>
        <w:numPr>
          <w:ilvl w:val="1"/>
          <w:numId w:val="9"/>
        </w:numPr>
        <w:rPr>
          <w:rFonts w:ascii="Arial" w:cs="Arial" w:eastAsia="Arial" w:hAnsi="Arial"/>
          <w:sz w:val="17"/>
          <w:szCs w:val="17"/>
          <w:color w:val="auto"/>
        </w:rPr>
      </w:pPr>
      <w:r>
        <w:rPr>
          <w:rFonts w:ascii="Arial" w:cs="Arial" w:eastAsia="Arial" w:hAnsi="Arial"/>
          <w:sz w:val="17"/>
          <w:szCs w:val="17"/>
          <w:color w:val="auto"/>
        </w:rPr>
        <w:t>the suspension without pay of Jiawei (“Jerry”) Wang, the Company’s former Vice President, Global Capital Markets, who subsequently notified the Board of his decision to resign from FF on April 10, 2022;</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71" w:right="359" w:bottom="1440" w:gutter="0" w:footer="0" w:header="0"/>
        </w:sectPr>
      </w:pPr>
    </w:p>
    <w:bookmarkStart w:id="23" w:name="page24"/>
    <w:bookmarkEnd w:id="23"/>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60" w:hanging="312"/>
        <w:spacing w:after="0" w:line="273" w:lineRule="auto"/>
        <w:tabs>
          <w:tab w:leader="none" w:pos="12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assessment and enhancement of FF’s policies and procedures regarding financial accounting and reporting and the upgrading of FF’s internal control over financial accounting and reporting, including by hiring additional financial reporting and accounting support, in each case at the direction of the Audit Committee;</w:t>
      </w:r>
    </w:p>
    <w:p>
      <w:pPr>
        <w:spacing w:after="0" w:line="118" w:lineRule="exact"/>
        <w:rPr>
          <w:rFonts w:ascii="Arial" w:cs="Arial" w:eastAsia="Arial" w:hAnsi="Arial"/>
          <w:sz w:val="17"/>
          <w:szCs w:val="17"/>
          <w:color w:val="auto"/>
        </w:rPr>
      </w:pPr>
    </w:p>
    <w:p>
      <w:pPr>
        <w:ind w:left="1260" w:right="260" w:hanging="312"/>
        <w:spacing w:after="0" w:line="273" w:lineRule="auto"/>
        <w:tabs>
          <w:tab w:leader="none" w:pos="12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implementation of enhanced controls around FF’s contracting and related party transactions, including regular attestations by FF’s employees with authority to bind FF to contracts and related party transactions, for purposes of enabling FF to make complete and accurate disclosures regarding related party transactions;</w:t>
      </w:r>
    </w:p>
    <w:p>
      <w:pPr>
        <w:spacing w:after="0" w:line="118" w:lineRule="exact"/>
        <w:rPr>
          <w:rFonts w:ascii="Arial" w:cs="Arial" w:eastAsia="Arial" w:hAnsi="Arial"/>
          <w:sz w:val="17"/>
          <w:szCs w:val="17"/>
          <w:color w:val="auto"/>
        </w:rPr>
      </w:pPr>
    </w:p>
    <w:p>
      <w:pPr>
        <w:ind w:left="1260" w:right="80" w:hanging="312"/>
        <w:spacing w:after="0" w:line="289" w:lineRule="auto"/>
        <w:tabs>
          <w:tab w:leader="none" w:pos="125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hiring of a Chief Compliance Officer, who reports on a dotted line to the Chair of the Audit Committee, and assessing and enhancing FF’s compliance policies and procedures;</w:t>
      </w:r>
    </w:p>
    <w:p>
      <w:pPr>
        <w:spacing w:after="0" w:line="105" w:lineRule="exact"/>
        <w:rPr>
          <w:rFonts w:ascii="Arial" w:cs="Arial" w:eastAsia="Arial" w:hAnsi="Arial"/>
          <w:sz w:val="17"/>
          <w:szCs w:val="17"/>
          <w:color w:val="auto"/>
        </w:rPr>
      </w:pPr>
    </w:p>
    <w:p>
      <w:pPr>
        <w:ind w:left="1260" w:hanging="312"/>
        <w:spacing w:after="0"/>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implementation of a comprehensive training program for all directors and officers regarding, among other things, internal FF policies;</w:t>
      </w:r>
    </w:p>
    <w:p>
      <w:pPr>
        <w:spacing w:after="0" w:line="182" w:lineRule="exact"/>
        <w:rPr>
          <w:rFonts w:ascii="Arial" w:cs="Arial" w:eastAsia="Arial" w:hAnsi="Arial"/>
          <w:sz w:val="16"/>
          <w:szCs w:val="16"/>
          <w:color w:val="auto"/>
        </w:rPr>
      </w:pPr>
    </w:p>
    <w:p>
      <w:pPr>
        <w:ind w:left="1260" w:hanging="312"/>
        <w:spacing w:after="0"/>
        <w:tabs>
          <w:tab w:leader="none" w:pos="1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separation of Jarret Johnson, FF’s Vice President, General Counsel and Secretary; and</w:t>
      </w:r>
    </w:p>
    <w:p>
      <w:pPr>
        <w:spacing w:after="0" w:line="171" w:lineRule="exact"/>
        <w:rPr>
          <w:rFonts w:ascii="Arial" w:cs="Arial" w:eastAsia="Arial" w:hAnsi="Arial"/>
          <w:sz w:val="17"/>
          <w:szCs w:val="17"/>
          <w:color w:val="auto"/>
        </w:rPr>
      </w:pPr>
    </w:p>
    <w:p>
      <w:pPr>
        <w:ind w:left="1260" w:hanging="312"/>
        <w:spacing w:after="0"/>
        <w:tabs>
          <w:tab w:leader="none" w:pos="1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certain other disciplinary actions and terminations of employment with respect to other FF employees (none of whom is an executive officer).</w:t>
      </w:r>
    </w:p>
    <w:p>
      <w:pPr>
        <w:spacing w:after="0" w:line="183" w:lineRule="exact"/>
        <w:rPr>
          <w:sz w:val="20"/>
          <w:szCs w:val="20"/>
          <w:color w:val="auto"/>
        </w:rPr>
      </w:pPr>
    </w:p>
    <w:p>
      <w:pPr>
        <w:ind w:right="500" w:firstLine="440"/>
        <w:spacing w:after="0" w:line="322" w:lineRule="auto"/>
        <w:rPr>
          <w:sz w:val="20"/>
          <w:szCs w:val="20"/>
          <w:color w:val="auto"/>
        </w:rPr>
      </w:pPr>
      <w:r>
        <w:rPr>
          <w:rFonts w:ascii="Arial" w:cs="Arial" w:eastAsia="Arial" w:hAnsi="Arial"/>
          <w:sz w:val="16"/>
          <w:szCs w:val="16"/>
          <w:color w:val="auto"/>
        </w:rPr>
        <w:t>As of the date hereof, FF is continuing to implement the remedial actions approved by the Board. However, no assurance can be provided that such remedial measures will be implemented in a timely manner or will be successful to prevent inaccurate disclosures in the future.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 Investigation</w:t>
      </w:r>
    </w:p>
    <w:p>
      <w:pPr>
        <w:spacing w:after="0" w:line="171" w:lineRule="exact"/>
        <w:rPr>
          <w:sz w:val="20"/>
          <w:szCs w:val="20"/>
          <w:color w:val="auto"/>
        </w:rPr>
      </w:pPr>
    </w:p>
    <w:p>
      <w:pPr>
        <w:ind w:right="200" w:firstLine="440"/>
        <w:spacing w:after="0" w:line="279" w:lineRule="auto"/>
        <w:rPr>
          <w:sz w:val="20"/>
          <w:szCs w:val="20"/>
          <w:color w:val="auto"/>
        </w:rPr>
      </w:pPr>
      <w:r>
        <w:rPr>
          <w:rFonts w:ascii="Arial" w:cs="Arial" w:eastAsia="Arial" w:hAnsi="Arial"/>
          <w:sz w:val="16"/>
          <w:szCs w:val="16"/>
          <w:color w:val="auto"/>
        </w:rPr>
        <w:t>Subsequent to the Company announcing the completion of the Special Committee investigation on February 1, 2022, the Company, certain members of the management team and employees of the Company received a notice of preservation and subpoena from the staff of the SEC stating that the SEC had commenced a formal investigation relating to the matters that were the subject of the Special Committee investigation. The Company, which had previously voluntarily contacted the SEC in connection with the Special Committee investigation in October 2021, is cooperating fully with the SEC’s investigation. The outcome of such an investigation is difficult to predict. FF has incurred, and may continue to incur, significant expenses related to legal and other professional services in connection with the SEC investigation. At this stage, FF is unable to assess whether any material loss or adverse effect is reasonably possible as a result of the SEC’s investigation or estimate the range of any potential loss. In addition, in June 2022, FF received a preliminary request for information from the U.S. Department of Justice in connection with the matters that were the subject of the Special Committee Investigation, and FF is in the process of responding to, and intends to fully cooperate with, such request.</w:t>
      </w:r>
    </w:p>
    <w:p>
      <w:pPr>
        <w:spacing w:after="0" w:line="165"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Stockholders’ Equity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number of authorized, issued and outstanding stock,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ind w:left="1020"/>
              <w:spacing w:after="0"/>
              <w:rPr>
                <w:sz w:val="20"/>
                <w:szCs w:val="20"/>
                <w:color w:val="auto"/>
              </w:rPr>
            </w:pPr>
            <w:r>
              <w:rPr>
                <w:rFonts w:ascii="Arial" w:cs="Arial" w:eastAsia="Arial" w:hAnsi="Arial"/>
                <w:sz w:val="16"/>
                <w:szCs w:val="16"/>
                <w:b w:val="1"/>
                <w:bCs w:val="1"/>
                <w:color w:val="auto"/>
              </w:rPr>
              <w:t>June 30, 2022</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260" w:type="dxa"/>
            <w:vAlign w:val="bottom"/>
          </w:tcPr>
          <w:p>
            <w:pPr>
              <w:spacing w:after="0"/>
              <w:rPr>
                <w:sz w:val="13"/>
                <w:szCs w:val="13"/>
                <w:color w:val="auto"/>
              </w:rPr>
            </w:pPr>
          </w:p>
        </w:tc>
        <w:tc>
          <w:tcPr>
            <w:tcW w:w="1520" w:type="dxa"/>
            <w:vAlign w:val="bottom"/>
            <w:gridSpan w:val="2"/>
          </w:tcPr>
          <w:p>
            <w:pPr>
              <w:ind w:left="320"/>
              <w:spacing w:after="0" w:line="154" w:lineRule="exact"/>
              <w:rPr>
                <w:sz w:val="20"/>
                <w:szCs w:val="20"/>
                <w:color w:val="auto"/>
              </w:rPr>
            </w:pPr>
            <w:r>
              <w:rPr>
                <w:rFonts w:ascii="Arial" w:cs="Arial" w:eastAsia="Arial" w:hAnsi="Arial"/>
                <w:sz w:val="16"/>
                <w:szCs w:val="16"/>
                <w:b w:val="1"/>
                <w:bCs w:val="1"/>
                <w:color w:val="auto"/>
              </w:rPr>
              <w:t>Authorized</w:t>
            </w:r>
          </w:p>
        </w:tc>
        <w:tc>
          <w:tcPr>
            <w:tcW w:w="1420" w:type="dxa"/>
            <w:vAlign w:val="bottom"/>
            <w:vMerge w:val="restart"/>
          </w:tcPr>
          <w:p>
            <w:pPr>
              <w:jc w:val="right"/>
              <w:ind w:right="156"/>
              <w:spacing w:after="0"/>
              <w:rPr>
                <w:sz w:val="20"/>
                <w:szCs w:val="20"/>
                <w:color w:val="auto"/>
              </w:rPr>
            </w:pPr>
            <w:r>
              <w:rPr>
                <w:rFonts w:ascii="Arial" w:cs="Arial" w:eastAsia="Arial" w:hAnsi="Arial"/>
                <w:sz w:val="16"/>
                <w:szCs w:val="16"/>
                <w:b w:val="1"/>
                <w:bCs w:val="1"/>
                <w:color w:val="auto"/>
              </w:rPr>
              <w:t>Issued Shares</w:t>
            </w:r>
          </w:p>
        </w:tc>
        <w:tc>
          <w:tcPr>
            <w:tcW w:w="100" w:type="dxa"/>
            <w:vAlign w:val="bottom"/>
            <w:vMerge w:val="restart"/>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8"/>
              </w:rPr>
              <w:t>Shares to be Issued</w:t>
            </w:r>
          </w:p>
        </w:tc>
        <w:tc>
          <w:tcPr>
            <w:tcW w:w="100" w:type="dxa"/>
            <w:vAlign w:val="bottom"/>
            <w:vMerge w:val="restart"/>
          </w:tcPr>
          <w:p>
            <w:pPr>
              <w:spacing w:after="0"/>
              <w:rPr>
                <w:sz w:val="13"/>
                <w:szCs w:val="13"/>
                <w:color w:val="auto"/>
              </w:rPr>
            </w:pPr>
          </w:p>
        </w:tc>
        <w:tc>
          <w:tcPr>
            <w:tcW w:w="14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w w:val="90"/>
              </w:rPr>
              <w:t>Total Issued and to</w:t>
            </w:r>
          </w:p>
        </w:tc>
        <w:tc>
          <w:tcPr>
            <w:tcW w:w="0" w:type="dxa"/>
            <w:vAlign w:val="bottom"/>
          </w:tcPr>
          <w:p>
            <w:pPr>
              <w:spacing w:after="0"/>
              <w:rPr>
                <w:sz w:val="1"/>
                <w:szCs w:val="1"/>
                <w:color w:val="auto"/>
              </w:rPr>
            </w:pPr>
          </w:p>
        </w:tc>
      </w:tr>
      <w:tr>
        <w:trPr>
          <w:trHeight w:val="207"/>
        </w:trPr>
        <w:tc>
          <w:tcPr>
            <w:tcW w:w="526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w w:val="94"/>
              </w:rPr>
              <w:t>be Issued Shares</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Class A Common Stock</w:t>
            </w:r>
          </w:p>
        </w:tc>
        <w:tc>
          <w:tcPr>
            <w:tcW w:w="1420" w:type="dxa"/>
            <w:vAlign w:val="bottom"/>
          </w:tcPr>
          <w:p>
            <w:pPr>
              <w:jc w:val="right"/>
              <w:spacing w:after="0"/>
              <w:rPr>
                <w:sz w:val="20"/>
                <w:szCs w:val="20"/>
                <w:color w:val="auto"/>
              </w:rPr>
            </w:pPr>
            <w:r>
              <w:rPr>
                <w:rFonts w:ascii="Arial" w:cs="Arial" w:eastAsia="Arial" w:hAnsi="Arial"/>
                <w:sz w:val="17"/>
                <w:szCs w:val="17"/>
                <w:color w:val="auto"/>
              </w:rPr>
              <w:t>750,000,000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238,543,475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20,264,715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258,808,190</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B Common Stock</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64,000,588</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64,000,588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835,000,000</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302,544,063</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20,264,715</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322,808,778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0"/>
        </w:trPr>
        <w:tc>
          <w:tcPr>
            <w:tcW w:w="5260" w:type="dxa"/>
            <w:vAlign w:val="bottom"/>
          </w:tcPr>
          <w:p>
            <w:pPr>
              <w:spacing w:after="0"/>
              <w:rPr>
                <w:sz w:val="24"/>
                <w:szCs w:val="24"/>
                <w:color w:val="auto"/>
              </w:rPr>
            </w:pPr>
          </w:p>
        </w:tc>
        <w:tc>
          <w:tcPr>
            <w:tcW w:w="1420" w:type="dxa"/>
            <w:vAlign w:val="bottom"/>
          </w:tcPr>
          <w:p>
            <w:pPr>
              <w:jc w:val="right"/>
              <w:ind w:right="655"/>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6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4" w:name="page25"/>
    <w:bookmarkEnd w:id="24"/>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ind w:left="840"/>
              <w:spacing w:after="0"/>
              <w:rPr>
                <w:sz w:val="20"/>
                <w:szCs w:val="20"/>
                <w:color w:val="auto"/>
              </w:rPr>
            </w:pPr>
            <w:r>
              <w:rPr>
                <w:rFonts w:ascii="Arial" w:cs="Arial" w:eastAsia="Arial" w:hAnsi="Arial"/>
                <w:sz w:val="16"/>
                <w:szCs w:val="16"/>
                <w:b w:val="1"/>
                <w:bCs w:val="1"/>
                <w:color w:val="auto"/>
              </w:rPr>
              <w:t>December 31, 2021</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260" w:type="dxa"/>
            <w:vAlign w:val="bottom"/>
          </w:tcPr>
          <w:p>
            <w:pPr>
              <w:spacing w:after="0"/>
              <w:rPr>
                <w:sz w:val="13"/>
                <w:szCs w:val="13"/>
                <w:color w:val="auto"/>
              </w:rPr>
            </w:pPr>
          </w:p>
        </w:tc>
        <w:tc>
          <w:tcPr>
            <w:tcW w:w="1520" w:type="dxa"/>
            <w:vAlign w:val="bottom"/>
            <w:gridSpan w:val="2"/>
          </w:tcPr>
          <w:p>
            <w:pPr>
              <w:ind w:left="320"/>
              <w:spacing w:after="0" w:line="154" w:lineRule="exact"/>
              <w:rPr>
                <w:sz w:val="20"/>
                <w:szCs w:val="20"/>
                <w:color w:val="auto"/>
              </w:rPr>
            </w:pPr>
            <w:r>
              <w:rPr>
                <w:rFonts w:ascii="Arial" w:cs="Arial" w:eastAsia="Arial" w:hAnsi="Arial"/>
                <w:sz w:val="16"/>
                <w:szCs w:val="16"/>
                <w:b w:val="1"/>
                <w:bCs w:val="1"/>
                <w:color w:val="auto"/>
              </w:rPr>
              <w:t>Authorized</w:t>
            </w:r>
          </w:p>
        </w:tc>
        <w:tc>
          <w:tcPr>
            <w:tcW w:w="1420" w:type="dxa"/>
            <w:vAlign w:val="bottom"/>
            <w:vMerge w:val="restart"/>
          </w:tcPr>
          <w:p>
            <w:pPr>
              <w:jc w:val="right"/>
              <w:ind w:right="156"/>
              <w:spacing w:after="0"/>
              <w:rPr>
                <w:sz w:val="20"/>
                <w:szCs w:val="20"/>
                <w:color w:val="auto"/>
              </w:rPr>
            </w:pPr>
            <w:r>
              <w:rPr>
                <w:rFonts w:ascii="Arial" w:cs="Arial" w:eastAsia="Arial" w:hAnsi="Arial"/>
                <w:sz w:val="16"/>
                <w:szCs w:val="16"/>
                <w:b w:val="1"/>
                <w:bCs w:val="1"/>
                <w:color w:val="auto"/>
              </w:rPr>
              <w:t>Issued Shares</w:t>
            </w:r>
          </w:p>
        </w:tc>
        <w:tc>
          <w:tcPr>
            <w:tcW w:w="100" w:type="dxa"/>
            <w:vAlign w:val="bottom"/>
            <w:vMerge w:val="restart"/>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8"/>
              </w:rPr>
              <w:t>Shares to be Issued</w:t>
            </w:r>
          </w:p>
        </w:tc>
        <w:tc>
          <w:tcPr>
            <w:tcW w:w="100" w:type="dxa"/>
            <w:vAlign w:val="bottom"/>
            <w:vMerge w:val="restart"/>
          </w:tcPr>
          <w:p>
            <w:pPr>
              <w:spacing w:after="0"/>
              <w:rPr>
                <w:sz w:val="13"/>
                <w:szCs w:val="13"/>
                <w:color w:val="auto"/>
              </w:rPr>
            </w:pPr>
          </w:p>
        </w:tc>
        <w:tc>
          <w:tcPr>
            <w:tcW w:w="1420" w:type="dxa"/>
            <w:vAlign w:val="bottom"/>
          </w:tcPr>
          <w:p>
            <w:pPr>
              <w:jc w:val="right"/>
              <w:spacing w:after="0" w:line="154" w:lineRule="exact"/>
              <w:rPr>
                <w:sz w:val="20"/>
                <w:szCs w:val="20"/>
                <w:color w:val="auto"/>
              </w:rPr>
            </w:pPr>
            <w:r>
              <w:rPr>
                <w:rFonts w:ascii="Arial" w:cs="Arial" w:eastAsia="Arial" w:hAnsi="Arial"/>
                <w:sz w:val="16"/>
                <w:szCs w:val="16"/>
                <w:b w:val="1"/>
                <w:bCs w:val="1"/>
                <w:color w:val="auto"/>
                <w:w w:val="90"/>
              </w:rPr>
              <w:t>Total Issued and to</w:t>
            </w:r>
          </w:p>
        </w:tc>
        <w:tc>
          <w:tcPr>
            <w:tcW w:w="0" w:type="dxa"/>
            <w:vAlign w:val="bottom"/>
          </w:tcPr>
          <w:p>
            <w:pPr>
              <w:spacing w:after="0"/>
              <w:rPr>
                <w:sz w:val="1"/>
                <w:szCs w:val="1"/>
                <w:color w:val="auto"/>
              </w:rPr>
            </w:pPr>
          </w:p>
        </w:tc>
      </w:tr>
      <w:tr>
        <w:trPr>
          <w:trHeight w:val="207"/>
        </w:trPr>
        <w:tc>
          <w:tcPr>
            <w:tcW w:w="526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96"/>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420" w:type="dxa"/>
            <w:vAlign w:val="bottom"/>
            <w:tcBorders>
              <w:bottom w:val="single" w:sz="8" w:color="auto"/>
            </w:tcBorders>
          </w:tcPr>
          <w:p>
            <w:pPr>
              <w:jc w:val="right"/>
              <w:ind w:right="76"/>
              <w:spacing w:after="0"/>
              <w:rPr>
                <w:sz w:val="20"/>
                <w:szCs w:val="20"/>
                <w:color w:val="auto"/>
              </w:rPr>
            </w:pPr>
            <w:r>
              <w:rPr>
                <w:rFonts w:ascii="Arial" w:cs="Arial" w:eastAsia="Arial" w:hAnsi="Arial"/>
                <w:sz w:val="16"/>
                <w:szCs w:val="16"/>
                <w:b w:val="1"/>
                <w:bCs w:val="1"/>
                <w:color w:val="auto"/>
                <w:w w:val="94"/>
              </w:rPr>
              <w:t>be Issued Shares</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Preferred Stock</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Class A Common Stock</w:t>
            </w:r>
          </w:p>
        </w:tc>
        <w:tc>
          <w:tcPr>
            <w:tcW w:w="1420" w:type="dxa"/>
            <w:vAlign w:val="bottom"/>
          </w:tcPr>
          <w:p>
            <w:pPr>
              <w:jc w:val="right"/>
              <w:spacing w:after="0"/>
              <w:rPr>
                <w:sz w:val="20"/>
                <w:szCs w:val="20"/>
                <w:color w:val="auto"/>
              </w:rPr>
            </w:pPr>
            <w:r>
              <w:rPr>
                <w:rFonts w:ascii="Arial" w:cs="Arial" w:eastAsia="Arial" w:hAnsi="Arial"/>
                <w:sz w:val="17"/>
                <w:szCs w:val="17"/>
                <w:color w:val="auto"/>
              </w:rPr>
              <w:t>750,000,000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168,693,323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89,152,130</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257,845,453</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B Common Stock</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75,000,000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64,000,588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64,000,588</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835,000,000</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168,693,323</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153,152,718</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321,846,041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Warrants</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number of outstanding warrants to purchase the Company’s Class A Common Stock as of June 30, 2022 and December 31, 2021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b w:val="1"/>
                <w:bCs w:val="1"/>
                <w:color w:val="auto"/>
              </w:rPr>
              <w:t>Number of Warrants</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w w:val="93"/>
              </w:rPr>
              <w:t>Exercise Price</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Expiration Date</w:t>
            </w:r>
          </w:p>
        </w:tc>
      </w:tr>
      <w:tr>
        <w:trPr>
          <w:trHeight w:val="216"/>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Public Warrants</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22,977,568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11.50</w:t>
            </w: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July 21, 2026</w:t>
            </w:r>
          </w:p>
        </w:tc>
      </w:tr>
      <w:tr>
        <w:trPr>
          <w:trHeight w:val="223"/>
        </w:trPr>
        <w:tc>
          <w:tcPr>
            <w:tcW w:w="5840" w:type="dxa"/>
            <w:vAlign w:val="bottom"/>
          </w:tcPr>
          <w:p>
            <w:pPr>
              <w:ind w:left="20"/>
              <w:spacing w:after="0" w:line="223" w:lineRule="exact"/>
              <w:rPr>
                <w:sz w:val="20"/>
                <w:szCs w:val="20"/>
                <w:color w:val="auto"/>
              </w:rPr>
            </w:pPr>
            <w:r>
              <w:rPr>
                <w:rFonts w:ascii="Arial" w:cs="Arial" w:eastAsia="Arial" w:hAnsi="Arial"/>
                <w:sz w:val="17"/>
                <w:szCs w:val="17"/>
                <w:color w:val="auto"/>
              </w:rPr>
              <w:t>Private Warrants</w:t>
            </w:r>
            <w:r>
              <w:rPr>
                <w:rFonts w:ascii="Arial" w:cs="Arial" w:eastAsia="Arial" w:hAnsi="Arial"/>
                <w:sz w:val="22"/>
                <w:szCs w:val="22"/>
                <w:color w:val="auto"/>
                <w:vertAlign w:val="superscript"/>
              </w:rPr>
              <w:t>(1)</w:t>
            </w:r>
          </w:p>
        </w:tc>
        <w:tc>
          <w:tcPr>
            <w:tcW w:w="1760" w:type="dxa"/>
            <w:vAlign w:val="bottom"/>
          </w:tcPr>
          <w:p>
            <w:pPr>
              <w:jc w:val="right"/>
              <w:spacing w:after="0"/>
              <w:rPr>
                <w:sz w:val="20"/>
                <w:szCs w:val="20"/>
                <w:color w:val="auto"/>
              </w:rPr>
            </w:pPr>
            <w:r>
              <w:rPr>
                <w:rFonts w:ascii="Arial" w:cs="Arial" w:eastAsia="Arial" w:hAnsi="Arial"/>
                <w:sz w:val="17"/>
                <w:szCs w:val="17"/>
                <w:color w:val="auto"/>
              </w:rPr>
              <w:t>674,551</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11.50</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7"/>
                <w:szCs w:val="17"/>
                <w:color w:val="auto"/>
                <w:w w:val="94"/>
              </w:rPr>
              <w:t>July 21, 2026</w:t>
            </w:r>
          </w:p>
        </w:tc>
      </w:tr>
      <w:tr>
        <w:trPr>
          <w:trHeight w:val="171"/>
        </w:trPr>
        <w:tc>
          <w:tcPr>
            <w:tcW w:w="58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20" w:type="dxa"/>
            <w:vAlign w:val="bottom"/>
            <w:shd w:val="clear" w:color="auto" w:fill="CCEEFF"/>
          </w:tcPr>
          <w:p>
            <w:pPr>
              <w:jc w:val="center"/>
              <w:spacing w:after="0" w:line="171" w:lineRule="exact"/>
              <w:rPr>
                <w:sz w:val="20"/>
                <w:szCs w:val="20"/>
                <w:color w:val="auto"/>
              </w:rPr>
            </w:pPr>
            <w:r>
              <w:rPr>
                <w:rFonts w:ascii="Arial" w:cs="Arial" w:eastAsia="Arial" w:hAnsi="Arial"/>
                <w:sz w:val="17"/>
                <w:szCs w:val="17"/>
                <w:color w:val="auto"/>
                <w:w w:val="94"/>
              </w:rPr>
              <w:t>Various through August</w:t>
            </w:r>
          </w:p>
        </w:tc>
      </w:tr>
      <w:tr>
        <w:trPr>
          <w:trHeight w:val="235"/>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warrants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4,544,258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10, 2028</w:t>
            </w:r>
          </w:p>
        </w:tc>
      </w:tr>
      <w:tr>
        <w:trPr>
          <w:trHeight w:val="216"/>
        </w:trPr>
        <w:tc>
          <w:tcPr>
            <w:tcW w:w="5840" w:type="dxa"/>
            <w:vAlign w:val="bottom"/>
          </w:tcPr>
          <w:p>
            <w:pPr>
              <w:ind w:left="200"/>
              <w:spacing w:after="0"/>
              <w:rPr>
                <w:sz w:val="20"/>
                <w:szCs w:val="20"/>
                <w:color w:val="auto"/>
              </w:rPr>
            </w:pPr>
            <w:r>
              <w:rPr>
                <w:rFonts w:ascii="Arial" w:cs="Arial" w:eastAsia="Arial" w:hAnsi="Arial"/>
                <w:sz w:val="17"/>
                <w:szCs w:val="17"/>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28,196,377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0" w:firstLine="445"/>
        <w:spacing w:after="0" w:line="279" w:lineRule="auto"/>
        <w:tabs>
          <w:tab w:leader="none" w:pos="616" w:val="left"/>
        </w:tabs>
        <w:numPr>
          <w:ilvl w:val="1"/>
          <w:numId w:val="11"/>
        </w:numPr>
        <w:rPr>
          <w:rFonts w:ascii="Arial" w:cs="Arial" w:eastAsia="Arial" w:hAnsi="Arial"/>
          <w:sz w:val="20"/>
          <w:szCs w:val="20"/>
          <w:color w:val="auto"/>
          <w:vertAlign w:val="superscript"/>
        </w:rPr>
      </w:pPr>
      <w:r>
        <w:rPr>
          <w:rFonts w:ascii="Arial" w:cs="Arial" w:eastAsia="Arial" w:hAnsi="Arial"/>
          <w:sz w:val="15"/>
          <w:szCs w:val="15"/>
          <w:color w:val="auto"/>
        </w:rPr>
        <w:t>The Private Warrants are recorded in Other liabilities, less current portion in the unaudited Condensed Consolidated Balance Sheets as of June 30, 2022 and December 31, 2021.</w:t>
      </w:r>
    </w:p>
    <w:p>
      <w:pPr>
        <w:spacing w:after="0" w:line="207" w:lineRule="exact"/>
        <w:rPr>
          <w:rFonts w:ascii="Arial" w:cs="Arial" w:eastAsia="Arial" w:hAnsi="Arial"/>
          <w:sz w:val="20"/>
          <w:szCs w:val="20"/>
          <w:color w:val="auto"/>
          <w:vertAlign w:val="superscript"/>
        </w:rPr>
      </w:pPr>
    </w:p>
    <w:p>
      <w:pPr>
        <w:ind w:left="400" w:hanging="395"/>
        <w:spacing w:after="0"/>
        <w:tabs>
          <w:tab w:leader="none" w:pos="4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2021 SI Plan</w:t>
      </w:r>
    </w:p>
    <w:p>
      <w:pPr>
        <w:spacing w:after="0" w:line="171" w:lineRule="exact"/>
        <w:rPr>
          <w:sz w:val="20"/>
          <w:szCs w:val="20"/>
          <w:color w:val="auto"/>
        </w:rPr>
      </w:pPr>
    </w:p>
    <w:p>
      <w:pPr>
        <w:ind w:right="120" w:firstLine="440"/>
        <w:spacing w:after="0" w:line="281" w:lineRule="auto"/>
        <w:rPr>
          <w:sz w:val="20"/>
          <w:szCs w:val="20"/>
          <w:color w:val="auto"/>
        </w:rPr>
      </w:pPr>
      <w:r>
        <w:rPr>
          <w:rFonts w:ascii="Arial" w:cs="Arial" w:eastAsia="Arial" w:hAnsi="Arial"/>
          <w:sz w:val="16"/>
          <w:szCs w:val="16"/>
          <w:color w:val="auto"/>
        </w:rPr>
        <w:t>In July 2021, the Company adopted the 2021 Stock Incentive Plan (“2021 SI Plan”). The 2021 SI Plan allows the Board of Directors to grant up to 49,573,570 incentive and nonqualified stock options, restricted shares, unrestricted shares, restricted share units, and other stock-based awards for the Company’s Class A Common Stock to employees, directors, and non-employees. The number of shares of Class A Common Stock available under the 2021 SI Plan will increase annually on the first day of each calendar year, beginning with the calendar year ending December 31, 2022, and continuing until (and including) the calendar year ending December 31, 2031. Annual increases are equal to the lesser of (i) 5 percent of the number of shares of Class A Common Stock issued and outstanding on December 31 of the immediately preceding fiscal year and (ii) an amount determined by the Board of Directors. As of the effective date of the 2021 SI Plan, no further stock awards have been or will be granted under the EI Plan or STI Plan.</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June 30, 2022, the Company had 45,310,505 shares of Class A Common Stock available for future issuance under its 2021 SI Plan.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5" w:name="page26"/>
    <w:bookmarkEnd w:id="25"/>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summary of the Company’s stock option activity under the SI Plan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center"/>
              <w:ind w:left="281"/>
              <w:spacing w:after="0"/>
              <w:rPr>
                <w:sz w:val="20"/>
                <w:szCs w:val="20"/>
                <w:color w:val="auto"/>
              </w:rPr>
            </w:pPr>
            <w:r>
              <w:rPr>
                <w:rFonts w:ascii="Arial" w:cs="Arial" w:eastAsia="Arial" w:hAnsi="Arial"/>
                <w:sz w:val="16"/>
                <w:szCs w:val="16"/>
                <w:b w:val="1"/>
                <w:bCs w:val="1"/>
                <w:color w:val="auto"/>
                <w:w w:val="86"/>
              </w:rPr>
              <w:t>Weighted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Weighted</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85"/>
              </w:rPr>
              <w:t>Average</w:t>
            </w:r>
          </w:p>
        </w:tc>
        <w:tc>
          <w:tcPr>
            <w:tcW w:w="220" w:type="dxa"/>
            <w:vAlign w:val="bottom"/>
          </w:tcPr>
          <w:p>
            <w:pPr>
              <w:spacing w:after="0"/>
              <w:rPr>
                <w:sz w:val="13"/>
                <w:szCs w:val="13"/>
                <w:color w:val="auto"/>
              </w:rPr>
            </w:pPr>
          </w:p>
        </w:tc>
        <w:tc>
          <w:tcPr>
            <w:tcW w:w="12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7"/>
        </w:trPr>
        <w:tc>
          <w:tcPr>
            <w:tcW w:w="5260" w:type="dxa"/>
            <w:vAlign w:val="bottom"/>
          </w:tcPr>
          <w:p>
            <w:pPr>
              <w:spacing w:after="0"/>
              <w:rPr>
                <w:sz w:val="13"/>
                <w:szCs w:val="13"/>
                <w:color w:val="auto"/>
              </w:rPr>
            </w:pPr>
          </w:p>
        </w:tc>
        <w:tc>
          <w:tcPr>
            <w:tcW w:w="1420" w:type="dxa"/>
            <w:vAlign w:val="bottom"/>
            <w:vMerge w:val="restart"/>
          </w:tcPr>
          <w:p>
            <w:pPr>
              <w:jc w:val="right"/>
              <w:ind w:right="275"/>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3"/>
                <w:szCs w:val="13"/>
                <w:color w:val="auto"/>
              </w:rPr>
            </w:pPr>
          </w:p>
        </w:tc>
        <w:tc>
          <w:tcPr>
            <w:tcW w:w="1020" w:type="dxa"/>
            <w:vAlign w:val="bottom"/>
          </w:tcPr>
          <w:p>
            <w:pPr>
              <w:jc w:val="center"/>
              <w:ind w:left="281"/>
              <w:spacing w:after="0" w:line="158" w:lineRule="exact"/>
              <w:rPr>
                <w:sz w:val="20"/>
                <w:szCs w:val="20"/>
                <w:color w:val="auto"/>
              </w:rPr>
            </w:pPr>
            <w:r>
              <w:rPr>
                <w:rFonts w:ascii="Arial" w:cs="Arial" w:eastAsia="Arial" w:hAnsi="Arial"/>
                <w:sz w:val="16"/>
                <w:szCs w:val="16"/>
                <w:b w:val="1"/>
                <w:bCs w:val="1"/>
                <w:color w:val="auto"/>
                <w:w w:val="85"/>
              </w:rPr>
              <w:t>Average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0"/>
              </w:rPr>
              <w:t>Remaining</w:t>
            </w:r>
          </w:p>
        </w:tc>
        <w:tc>
          <w:tcPr>
            <w:tcW w:w="2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6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81"/>
              <w:spacing w:after="0" w:line="158" w:lineRule="exact"/>
              <w:rPr>
                <w:sz w:val="20"/>
                <w:szCs w:val="20"/>
                <w:color w:val="auto"/>
              </w:rPr>
            </w:pPr>
            <w:r>
              <w:rPr>
                <w:rFonts w:ascii="Arial" w:cs="Arial" w:eastAsia="Arial" w:hAnsi="Arial"/>
                <w:sz w:val="16"/>
                <w:szCs w:val="16"/>
                <w:b w:val="1"/>
                <w:bCs w:val="1"/>
                <w:color w:val="auto"/>
                <w:w w:val="88"/>
              </w:rPr>
              <w:t>Exercise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Contractual Life</w:t>
            </w:r>
          </w:p>
        </w:tc>
        <w:tc>
          <w:tcPr>
            <w:tcW w:w="220" w:type="dxa"/>
            <w:vAlign w:val="bottom"/>
          </w:tcPr>
          <w:p>
            <w:pPr>
              <w:spacing w:after="0"/>
              <w:rPr>
                <w:sz w:val="13"/>
                <w:szCs w:val="13"/>
                <w:color w:val="auto"/>
              </w:rPr>
            </w:pPr>
          </w:p>
        </w:tc>
        <w:tc>
          <w:tcPr>
            <w:tcW w:w="1200" w:type="dxa"/>
            <w:vAlign w:val="bottom"/>
          </w:tcPr>
          <w:p>
            <w:pPr>
              <w:jc w:val="center"/>
              <w:ind w:right="179"/>
              <w:spacing w:after="0" w:line="158"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07"/>
        </w:trPr>
        <w:tc>
          <w:tcPr>
            <w:tcW w:w="5260" w:type="dxa"/>
            <w:vAlign w:val="bottom"/>
          </w:tcPr>
          <w:p>
            <w:pPr>
              <w:spacing w:after="0"/>
              <w:rPr>
                <w:sz w:val="17"/>
                <w:szCs w:val="17"/>
                <w:color w:val="auto"/>
              </w:rPr>
            </w:pPr>
          </w:p>
        </w:tc>
        <w:tc>
          <w:tcPr>
            <w:tcW w:w="1420" w:type="dxa"/>
            <w:vAlign w:val="bottom"/>
          </w:tcPr>
          <w:p>
            <w:pPr>
              <w:jc w:val="right"/>
              <w:ind w:right="355"/>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7"/>
                <w:szCs w:val="17"/>
                <w:color w:val="auto"/>
              </w:rPr>
            </w:pPr>
          </w:p>
        </w:tc>
        <w:tc>
          <w:tcPr>
            <w:tcW w:w="1020" w:type="dxa"/>
            <w:vAlign w:val="bottom"/>
          </w:tcPr>
          <w:p>
            <w:pPr>
              <w:jc w:val="center"/>
              <w:ind w:left="321"/>
              <w:spacing w:after="0"/>
              <w:rPr>
                <w:sz w:val="20"/>
                <w:szCs w:val="20"/>
                <w:color w:val="auto"/>
              </w:rPr>
            </w:pPr>
            <w:r>
              <w:rPr>
                <w:rFonts w:ascii="Arial" w:cs="Arial" w:eastAsia="Arial" w:hAnsi="Arial"/>
                <w:sz w:val="16"/>
                <w:szCs w:val="16"/>
                <w:b w:val="1"/>
                <w:bCs w:val="1"/>
                <w:color w:val="auto"/>
                <w:w w:val="86"/>
              </w:rPr>
              <w:t>Price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22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as of December 31,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4,347,492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6"/>
              </w:rPr>
              <w:t>5.15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Cancelled/forfeited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(84,427)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96"/>
              </w:rPr>
              <w:t>5.32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as of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4,263,065</w:t>
            </w:r>
          </w:p>
        </w:tc>
        <w:tc>
          <w:tcPr>
            <w:tcW w:w="1120" w:type="dxa"/>
            <w:vAlign w:val="bottom"/>
            <w:tcBorders>
              <w:bottom w:val="single" w:sz="8" w:color="CCEEFF"/>
            </w:tcBorders>
            <w:gridSpan w:val="2"/>
            <w:shd w:val="clear" w:color="auto" w:fill="CCEEFF"/>
          </w:tcPr>
          <w:p>
            <w:pPr>
              <w:jc w:val="right"/>
              <w:ind w:right="841"/>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5.15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180" w:firstLine="440"/>
        <w:spacing w:after="0" w:line="289" w:lineRule="auto"/>
        <w:rPr>
          <w:sz w:val="20"/>
          <w:szCs w:val="20"/>
          <w:color w:val="auto"/>
        </w:rPr>
      </w:pPr>
      <w:r>
        <w:rPr>
          <w:rFonts w:ascii="Arial" w:cs="Arial" w:eastAsia="Arial" w:hAnsi="Arial"/>
          <w:sz w:val="17"/>
          <w:szCs w:val="17"/>
          <w:color w:val="auto"/>
        </w:rPr>
        <w:t>The weighted-average assumptions used in the Black-Scholes option pricing model for awards granted during the three months ended June 30, 2022 are as follows: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5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1.61 %</w:t>
            </w:r>
          </w:p>
        </w:tc>
      </w:tr>
      <w:tr>
        <w:trPr>
          <w:trHeight w:val="222"/>
        </w:trPr>
        <w:tc>
          <w:tcPr>
            <w:tcW w:w="6220" w:type="dxa"/>
            <w:vAlign w:val="bottom"/>
          </w:tcPr>
          <w:p>
            <w:pPr>
              <w:ind w:left="20"/>
              <w:spacing w:after="0"/>
              <w:rPr>
                <w:sz w:val="20"/>
                <w:szCs w:val="20"/>
                <w:color w:val="auto"/>
              </w:rPr>
            </w:pPr>
            <w:r>
              <w:rPr>
                <w:rFonts w:ascii="Arial" w:cs="Arial" w:eastAsia="Arial" w:hAnsi="Arial"/>
                <w:sz w:val="17"/>
                <w:szCs w:val="17"/>
                <w:color w:val="auto"/>
              </w:rPr>
              <w:t>Expected term (in years):</w:t>
            </w:r>
          </w:p>
        </w:tc>
        <w:tc>
          <w:tcPr>
            <w:tcW w:w="5020" w:type="dxa"/>
            <w:vAlign w:val="bottom"/>
          </w:tcPr>
          <w:p>
            <w:pPr>
              <w:jc w:val="right"/>
              <w:spacing w:after="0"/>
              <w:rPr>
                <w:sz w:val="20"/>
                <w:szCs w:val="20"/>
                <w:color w:val="auto"/>
              </w:rPr>
            </w:pPr>
            <w:r>
              <w:rPr>
                <w:rFonts w:ascii="Arial" w:cs="Arial" w:eastAsia="Arial" w:hAnsi="Arial"/>
                <w:sz w:val="17"/>
                <w:szCs w:val="17"/>
                <w:color w:val="auto"/>
              </w:rPr>
              <w:t>7.01</w:t>
            </w: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5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43.50 %</w:t>
            </w:r>
          </w:p>
        </w:tc>
      </w:tr>
      <w:tr>
        <w:trPr>
          <w:trHeight w:val="222"/>
        </w:trPr>
        <w:tc>
          <w:tcPr>
            <w:tcW w:w="622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5020" w:type="dxa"/>
            <w:vAlign w:val="bottom"/>
          </w:tcPr>
          <w:p>
            <w:pPr>
              <w:jc w:val="right"/>
              <w:spacing w:after="0"/>
              <w:rPr>
                <w:sz w:val="20"/>
                <w:szCs w:val="20"/>
                <w:color w:val="auto"/>
              </w:rPr>
            </w:pPr>
            <w:r>
              <w:rPr>
                <w:rFonts w:ascii="Arial" w:cs="Arial" w:eastAsia="Arial" w:hAnsi="Arial"/>
                <w:sz w:val="17"/>
                <w:szCs w:val="17"/>
                <w:color w:val="auto"/>
              </w:rPr>
              <w:t>0.00 %</w:t>
            </w:r>
          </w:p>
        </w:tc>
      </w:tr>
    </w:tbl>
    <w:p>
      <w:pPr>
        <w:spacing w:after="0" w:line="224" w:lineRule="exact"/>
        <w:rPr>
          <w:sz w:val="20"/>
          <w:szCs w:val="20"/>
          <w:color w:val="auto"/>
        </w:rPr>
      </w:pPr>
    </w:p>
    <w:p>
      <w:pPr>
        <w:ind w:right="240" w:firstLine="440"/>
        <w:spacing w:after="0" w:line="289" w:lineRule="auto"/>
        <w:rPr>
          <w:sz w:val="20"/>
          <w:szCs w:val="20"/>
          <w:color w:val="auto"/>
        </w:rPr>
      </w:pPr>
      <w:r>
        <w:rPr>
          <w:rFonts w:ascii="Arial" w:cs="Arial" w:eastAsia="Arial" w:hAnsi="Arial"/>
          <w:sz w:val="17"/>
          <w:szCs w:val="17"/>
          <w:color w:val="auto"/>
        </w:rPr>
        <w:t>As of June 30, 2022, the total remaining stock-based compensation expense for unvested stock options was $5,022, which is expected to be recognized over a weighted average period of 2.58 years.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EI Plan</w:t>
      </w:r>
    </w:p>
    <w:p>
      <w:pPr>
        <w:spacing w:after="0" w:line="171" w:lineRule="exact"/>
        <w:rPr>
          <w:sz w:val="20"/>
          <w:szCs w:val="20"/>
          <w:color w:val="auto"/>
        </w:rPr>
      </w:pPr>
    </w:p>
    <w:p>
      <w:pPr>
        <w:jc w:val="both"/>
        <w:ind w:right="40" w:firstLine="440"/>
        <w:spacing w:after="0" w:line="273" w:lineRule="auto"/>
        <w:rPr>
          <w:sz w:val="20"/>
          <w:szCs w:val="20"/>
          <w:color w:val="auto"/>
        </w:rPr>
      </w:pPr>
      <w:r>
        <w:rPr>
          <w:rFonts w:ascii="Arial" w:cs="Arial" w:eastAsia="Arial" w:hAnsi="Arial"/>
          <w:sz w:val="17"/>
          <w:szCs w:val="17"/>
          <w:color w:val="auto"/>
        </w:rPr>
        <w:t>On February 1, 2018, the Board of Directors adopted the Equity Incentive Plan (“EI Plan”), under which the Board of Directors authorized the grant of up to 42,390,000 incentive and nonqualified stock options, restricted stock, unrestricted stock, restricted stock units, and other stock-based awards for Legacy FF’s Class A Ordinary Stock to employees, directors, and non-employees.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summary of the Company’s stock option activity under the EI Plan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center"/>
              <w:ind w:left="281"/>
              <w:spacing w:after="0"/>
              <w:rPr>
                <w:sz w:val="20"/>
                <w:szCs w:val="20"/>
                <w:color w:val="auto"/>
              </w:rPr>
            </w:pPr>
            <w:r>
              <w:rPr>
                <w:rFonts w:ascii="Arial" w:cs="Arial" w:eastAsia="Arial" w:hAnsi="Arial"/>
                <w:sz w:val="16"/>
                <w:szCs w:val="16"/>
                <w:b w:val="1"/>
                <w:bCs w:val="1"/>
                <w:color w:val="auto"/>
                <w:w w:val="86"/>
              </w:rPr>
              <w:t>Weighted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Weighted</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85"/>
              </w:rPr>
              <w:t>Average</w:t>
            </w:r>
          </w:p>
        </w:tc>
        <w:tc>
          <w:tcPr>
            <w:tcW w:w="220" w:type="dxa"/>
            <w:vAlign w:val="bottom"/>
          </w:tcPr>
          <w:p>
            <w:pPr>
              <w:spacing w:after="0"/>
              <w:rPr>
                <w:sz w:val="13"/>
                <w:szCs w:val="13"/>
                <w:color w:val="auto"/>
              </w:rPr>
            </w:pPr>
          </w:p>
        </w:tc>
        <w:tc>
          <w:tcPr>
            <w:tcW w:w="1200" w:type="dxa"/>
            <w:vAlign w:val="bottom"/>
            <w:vMerge w:val="restart"/>
          </w:tcPr>
          <w:p>
            <w:pPr>
              <w:jc w:val="center"/>
              <w:ind w:right="177"/>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7"/>
        </w:trPr>
        <w:tc>
          <w:tcPr>
            <w:tcW w:w="5260" w:type="dxa"/>
            <w:vAlign w:val="bottom"/>
          </w:tcPr>
          <w:p>
            <w:pPr>
              <w:spacing w:after="0"/>
              <w:rPr>
                <w:sz w:val="13"/>
                <w:szCs w:val="13"/>
                <w:color w:val="auto"/>
              </w:rPr>
            </w:pPr>
          </w:p>
        </w:tc>
        <w:tc>
          <w:tcPr>
            <w:tcW w:w="1420" w:type="dxa"/>
            <w:vAlign w:val="bottom"/>
            <w:vMerge w:val="restart"/>
          </w:tcPr>
          <w:p>
            <w:pPr>
              <w:jc w:val="right"/>
              <w:ind w:right="275"/>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3"/>
                <w:szCs w:val="13"/>
                <w:color w:val="auto"/>
              </w:rPr>
            </w:pPr>
          </w:p>
        </w:tc>
        <w:tc>
          <w:tcPr>
            <w:tcW w:w="1020" w:type="dxa"/>
            <w:vAlign w:val="bottom"/>
          </w:tcPr>
          <w:p>
            <w:pPr>
              <w:jc w:val="center"/>
              <w:ind w:left="281"/>
              <w:spacing w:after="0" w:line="158" w:lineRule="exact"/>
              <w:rPr>
                <w:sz w:val="20"/>
                <w:szCs w:val="20"/>
                <w:color w:val="auto"/>
              </w:rPr>
            </w:pPr>
            <w:r>
              <w:rPr>
                <w:rFonts w:ascii="Arial" w:cs="Arial" w:eastAsia="Arial" w:hAnsi="Arial"/>
                <w:sz w:val="16"/>
                <w:szCs w:val="16"/>
                <w:b w:val="1"/>
                <w:bCs w:val="1"/>
                <w:color w:val="auto"/>
                <w:w w:val="85"/>
              </w:rPr>
              <w:t>Average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0"/>
              </w:rPr>
              <w:t>Remaining</w:t>
            </w:r>
          </w:p>
        </w:tc>
        <w:tc>
          <w:tcPr>
            <w:tcW w:w="2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6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81"/>
              <w:spacing w:after="0" w:line="158" w:lineRule="exact"/>
              <w:rPr>
                <w:sz w:val="20"/>
                <w:szCs w:val="20"/>
                <w:color w:val="auto"/>
              </w:rPr>
            </w:pPr>
            <w:r>
              <w:rPr>
                <w:rFonts w:ascii="Arial" w:cs="Arial" w:eastAsia="Arial" w:hAnsi="Arial"/>
                <w:sz w:val="16"/>
                <w:szCs w:val="16"/>
                <w:b w:val="1"/>
                <w:bCs w:val="1"/>
                <w:color w:val="auto"/>
                <w:w w:val="88"/>
              </w:rPr>
              <w:t>Exercise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Contractual Life</w:t>
            </w:r>
          </w:p>
        </w:tc>
        <w:tc>
          <w:tcPr>
            <w:tcW w:w="220" w:type="dxa"/>
            <w:vAlign w:val="bottom"/>
          </w:tcPr>
          <w:p>
            <w:pPr>
              <w:spacing w:after="0"/>
              <w:rPr>
                <w:sz w:val="13"/>
                <w:szCs w:val="13"/>
                <w:color w:val="auto"/>
              </w:rPr>
            </w:pPr>
          </w:p>
        </w:tc>
        <w:tc>
          <w:tcPr>
            <w:tcW w:w="1200" w:type="dxa"/>
            <w:vAlign w:val="bottom"/>
          </w:tcPr>
          <w:p>
            <w:pPr>
              <w:jc w:val="center"/>
              <w:ind w:right="177"/>
              <w:spacing w:after="0" w:line="158"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07"/>
        </w:trPr>
        <w:tc>
          <w:tcPr>
            <w:tcW w:w="526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Options</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ind w:left="321"/>
              <w:spacing w:after="0"/>
              <w:rPr>
                <w:sz w:val="20"/>
                <w:szCs w:val="20"/>
                <w:color w:val="auto"/>
              </w:rPr>
            </w:pPr>
            <w:r>
              <w:rPr>
                <w:rFonts w:ascii="Arial" w:cs="Arial" w:eastAsia="Arial" w:hAnsi="Arial"/>
                <w:sz w:val="16"/>
                <w:szCs w:val="16"/>
                <w:b w:val="1"/>
                <w:bCs w:val="1"/>
                <w:color w:val="auto"/>
                <w:w w:val="86"/>
              </w:rPr>
              <w:t>Price</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37"/>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as of December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31,962,921</w:t>
            </w:r>
          </w:p>
        </w:tc>
        <w:tc>
          <w:tcPr>
            <w:tcW w:w="1120" w:type="dxa"/>
            <w:vAlign w:val="bottom"/>
            <w:gridSpan w:val="2"/>
            <w:shd w:val="clear" w:color="auto" w:fill="CCEEFF"/>
          </w:tcPr>
          <w:p>
            <w:pPr>
              <w:jc w:val="right"/>
              <w:ind w:right="841"/>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2.81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86,075</w:t>
            </w:r>
          </w:p>
        </w:tc>
        <w:tc>
          <w:tcPr>
            <w:tcW w:w="0" w:type="dxa"/>
            <w:vAlign w:val="bottom"/>
          </w:tcPr>
          <w:p>
            <w:pPr>
              <w:spacing w:after="0"/>
              <w:rPr>
                <w:sz w:val="1"/>
                <w:szCs w:val="1"/>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(477,001)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2.49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Cancelled/forfeited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(3,274,099)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96"/>
              </w:rPr>
              <w:t>2.48</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as of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28,211,821</w:t>
            </w:r>
          </w:p>
        </w:tc>
        <w:tc>
          <w:tcPr>
            <w:tcW w:w="1120" w:type="dxa"/>
            <w:vAlign w:val="bottom"/>
            <w:tcBorders>
              <w:bottom w:val="single" w:sz="8" w:color="CCEEFF"/>
            </w:tcBorders>
            <w:gridSpan w:val="2"/>
            <w:shd w:val="clear" w:color="auto" w:fill="CCEEFF"/>
          </w:tcPr>
          <w:p>
            <w:pPr>
              <w:jc w:val="right"/>
              <w:ind w:right="841"/>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2.80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40" w:firstLine="440"/>
        <w:spacing w:after="0" w:line="289" w:lineRule="auto"/>
        <w:rPr>
          <w:sz w:val="20"/>
          <w:szCs w:val="20"/>
          <w:color w:val="auto"/>
        </w:rPr>
      </w:pPr>
      <w:r>
        <w:rPr>
          <w:rFonts w:ascii="Arial" w:cs="Arial" w:eastAsia="Arial" w:hAnsi="Arial"/>
          <w:sz w:val="17"/>
          <w:szCs w:val="17"/>
          <w:color w:val="auto"/>
        </w:rPr>
        <w:t>As of June 30, 2022, the total remaining stock-based compensation expense for unvested stock options was $9,989, which is expected to be recognized over a weighted average period of 2.65 years.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STI Plan</w:t>
      </w:r>
    </w:p>
    <w:p>
      <w:pPr>
        <w:spacing w:after="0" w:line="171" w:lineRule="exact"/>
        <w:rPr>
          <w:sz w:val="20"/>
          <w:szCs w:val="20"/>
          <w:color w:val="auto"/>
        </w:rPr>
      </w:pPr>
    </w:p>
    <w:p>
      <w:pPr>
        <w:ind w:right="160" w:firstLine="440"/>
        <w:spacing w:after="0" w:line="273" w:lineRule="auto"/>
        <w:rPr>
          <w:sz w:val="20"/>
          <w:szCs w:val="20"/>
          <w:color w:val="auto"/>
        </w:rPr>
      </w:pPr>
      <w:r>
        <w:rPr>
          <w:rFonts w:ascii="Arial" w:cs="Arial" w:eastAsia="Arial" w:hAnsi="Arial"/>
          <w:sz w:val="17"/>
          <w:szCs w:val="17"/>
          <w:color w:val="auto"/>
        </w:rPr>
        <w:t>The Special Talent Incentive Plan (“STI Plan”) allows the Board of Directors to grant up to 14,130,000 incentive and nonqualified stock options, restricted shares, unrestricted shares, restricted share units, and other stock-based awards for Legacy FF’s Class A Ordinary Stock to employees, directors, and non-employees.</w:t>
      </w:r>
    </w:p>
    <w:p>
      <w:pPr>
        <w:sectPr>
          <w:pgSz w:w="11900" w:h="16838" w:orient="portrait"/>
          <w:cols w:equalWidth="0" w:num="1">
            <w:col w:w="11240"/>
          </w:cols>
          <w:pgMar w:left="320" w:top="2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type w:val="continuous"/>
        </w:sectPr>
      </w:pPr>
    </w:p>
    <w:bookmarkStart w:id="26" w:name="page27"/>
    <w:bookmarkEnd w:id="26"/>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color w:val="auto"/>
        </w:rPr>
        <w:t>The STI Plan does not specify a limit on the number of stock options that can be issued under the plan. Per the terms of the STI Plan, the Company must reserve and keep available a sufficient number of shares to satisfy the requirements of the STI Plan.</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 summary of the Company’s stock option activity under the STI Plan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restart"/>
          </w:tcPr>
          <w:p>
            <w:pPr>
              <w:jc w:val="center"/>
              <w:ind w:left="281"/>
              <w:spacing w:after="0"/>
              <w:rPr>
                <w:sz w:val="20"/>
                <w:szCs w:val="20"/>
                <w:color w:val="auto"/>
              </w:rPr>
            </w:pPr>
            <w:r>
              <w:rPr>
                <w:rFonts w:ascii="Arial" w:cs="Arial" w:eastAsia="Arial" w:hAnsi="Arial"/>
                <w:sz w:val="16"/>
                <w:szCs w:val="16"/>
                <w:b w:val="1"/>
                <w:bCs w:val="1"/>
                <w:color w:val="auto"/>
                <w:w w:val="86"/>
              </w:rPr>
              <w:t>Weighted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Weighted</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85"/>
              </w:rPr>
              <w:t>Average</w:t>
            </w:r>
          </w:p>
        </w:tc>
        <w:tc>
          <w:tcPr>
            <w:tcW w:w="220" w:type="dxa"/>
            <w:vAlign w:val="bottom"/>
          </w:tcPr>
          <w:p>
            <w:pPr>
              <w:spacing w:after="0"/>
              <w:rPr>
                <w:sz w:val="13"/>
                <w:szCs w:val="13"/>
                <w:color w:val="auto"/>
              </w:rPr>
            </w:pPr>
          </w:p>
        </w:tc>
        <w:tc>
          <w:tcPr>
            <w:tcW w:w="1200" w:type="dxa"/>
            <w:vAlign w:val="bottom"/>
            <w:vMerge w:val="restart"/>
          </w:tcPr>
          <w:p>
            <w:pPr>
              <w:jc w:val="center"/>
              <w:ind w:right="177"/>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57"/>
        </w:trPr>
        <w:tc>
          <w:tcPr>
            <w:tcW w:w="5260" w:type="dxa"/>
            <w:vAlign w:val="bottom"/>
          </w:tcPr>
          <w:p>
            <w:pPr>
              <w:spacing w:after="0"/>
              <w:rPr>
                <w:sz w:val="13"/>
                <w:szCs w:val="13"/>
                <w:color w:val="auto"/>
              </w:rPr>
            </w:pPr>
          </w:p>
        </w:tc>
        <w:tc>
          <w:tcPr>
            <w:tcW w:w="1420" w:type="dxa"/>
            <w:vAlign w:val="bottom"/>
            <w:vMerge w:val="restart"/>
          </w:tcPr>
          <w:p>
            <w:pPr>
              <w:jc w:val="right"/>
              <w:ind w:right="275"/>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3"/>
                <w:szCs w:val="13"/>
                <w:color w:val="auto"/>
              </w:rPr>
            </w:pPr>
          </w:p>
        </w:tc>
        <w:tc>
          <w:tcPr>
            <w:tcW w:w="1020" w:type="dxa"/>
            <w:vAlign w:val="bottom"/>
          </w:tcPr>
          <w:p>
            <w:pPr>
              <w:jc w:val="center"/>
              <w:ind w:left="281"/>
              <w:spacing w:after="0" w:line="158" w:lineRule="exact"/>
              <w:rPr>
                <w:sz w:val="20"/>
                <w:szCs w:val="20"/>
                <w:color w:val="auto"/>
              </w:rPr>
            </w:pPr>
            <w:r>
              <w:rPr>
                <w:rFonts w:ascii="Arial" w:cs="Arial" w:eastAsia="Arial" w:hAnsi="Arial"/>
                <w:sz w:val="16"/>
                <w:szCs w:val="16"/>
                <w:b w:val="1"/>
                <w:bCs w:val="1"/>
                <w:color w:val="auto"/>
                <w:w w:val="85"/>
              </w:rPr>
              <w:t>Average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0"/>
              </w:rPr>
              <w:t>Remaining</w:t>
            </w:r>
          </w:p>
        </w:tc>
        <w:tc>
          <w:tcPr>
            <w:tcW w:w="22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26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left="281"/>
              <w:spacing w:after="0" w:line="158" w:lineRule="exact"/>
              <w:rPr>
                <w:sz w:val="20"/>
                <w:szCs w:val="20"/>
                <w:color w:val="auto"/>
              </w:rPr>
            </w:pPr>
            <w:r>
              <w:rPr>
                <w:rFonts w:ascii="Arial" w:cs="Arial" w:eastAsia="Arial" w:hAnsi="Arial"/>
                <w:sz w:val="16"/>
                <w:szCs w:val="16"/>
                <w:b w:val="1"/>
                <w:bCs w:val="1"/>
                <w:color w:val="auto"/>
                <w:w w:val="88"/>
              </w:rPr>
              <w:t>Exercise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3"/>
              </w:rPr>
              <w:t>Contractual Life</w:t>
            </w:r>
          </w:p>
        </w:tc>
        <w:tc>
          <w:tcPr>
            <w:tcW w:w="220" w:type="dxa"/>
            <w:vAlign w:val="bottom"/>
          </w:tcPr>
          <w:p>
            <w:pPr>
              <w:spacing w:after="0"/>
              <w:rPr>
                <w:sz w:val="13"/>
                <w:szCs w:val="13"/>
                <w:color w:val="auto"/>
              </w:rPr>
            </w:pPr>
          </w:p>
        </w:tc>
        <w:tc>
          <w:tcPr>
            <w:tcW w:w="1200" w:type="dxa"/>
            <w:vAlign w:val="bottom"/>
          </w:tcPr>
          <w:p>
            <w:pPr>
              <w:jc w:val="center"/>
              <w:ind w:right="177"/>
              <w:spacing w:after="0" w:line="158" w:lineRule="exact"/>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07"/>
        </w:trPr>
        <w:tc>
          <w:tcPr>
            <w:tcW w:w="526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Options</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center"/>
              <w:ind w:left="321"/>
              <w:spacing w:after="0"/>
              <w:rPr>
                <w:sz w:val="20"/>
                <w:szCs w:val="20"/>
                <w:color w:val="auto"/>
              </w:rPr>
            </w:pPr>
            <w:r>
              <w:rPr>
                <w:rFonts w:ascii="Arial" w:cs="Arial" w:eastAsia="Arial" w:hAnsi="Arial"/>
                <w:sz w:val="16"/>
                <w:szCs w:val="16"/>
                <w:b w:val="1"/>
                <w:bCs w:val="1"/>
                <w:color w:val="auto"/>
                <w:w w:val="86"/>
              </w:rPr>
              <w:t>Price</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37"/>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as of December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9,526,727</w:t>
            </w:r>
          </w:p>
        </w:tc>
        <w:tc>
          <w:tcPr>
            <w:tcW w:w="1120" w:type="dxa"/>
            <w:vAlign w:val="bottom"/>
            <w:gridSpan w:val="2"/>
            <w:shd w:val="clear" w:color="auto" w:fill="CCEEFF"/>
          </w:tcPr>
          <w:p>
            <w:pPr>
              <w:jc w:val="right"/>
              <w:ind w:right="841"/>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5.55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13,905</w:t>
            </w:r>
          </w:p>
        </w:tc>
        <w:tc>
          <w:tcPr>
            <w:tcW w:w="0" w:type="dxa"/>
            <w:vAlign w:val="bottom"/>
          </w:tcPr>
          <w:p>
            <w:pPr>
              <w:spacing w:after="0"/>
              <w:rPr>
                <w:sz w:val="1"/>
                <w:szCs w:val="1"/>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(485,735)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2.41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1,678</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Cancelled/forfeited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(785,520)</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96"/>
              </w:rPr>
              <w:t>8.05</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Outstanding as of June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8,255,472</w:t>
            </w:r>
          </w:p>
        </w:tc>
        <w:tc>
          <w:tcPr>
            <w:tcW w:w="1120" w:type="dxa"/>
            <w:vAlign w:val="bottom"/>
            <w:tcBorders>
              <w:bottom w:val="single" w:sz="8" w:color="CCEEFF"/>
            </w:tcBorders>
            <w:gridSpan w:val="2"/>
            <w:shd w:val="clear" w:color="auto" w:fill="CCEEFF"/>
          </w:tcPr>
          <w:p>
            <w:pPr>
              <w:jc w:val="right"/>
              <w:ind w:right="841"/>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5.71</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right="240" w:firstLine="440"/>
        <w:spacing w:after="0" w:line="289" w:lineRule="auto"/>
        <w:rPr>
          <w:sz w:val="20"/>
          <w:szCs w:val="20"/>
          <w:color w:val="auto"/>
        </w:rPr>
      </w:pPr>
      <w:r>
        <w:rPr>
          <w:rFonts w:ascii="Arial" w:cs="Arial" w:eastAsia="Arial" w:hAnsi="Arial"/>
          <w:sz w:val="17"/>
          <w:szCs w:val="17"/>
          <w:color w:val="auto"/>
        </w:rPr>
        <w:t>As of June 30, 2022, the total remaining stock-based compensation expense for unvested stock options was $6,082, which is expected to be recognized over a weighted average period of approximately 3.71 years.</w:t>
      </w:r>
    </w:p>
    <w:p>
      <w:pPr>
        <w:spacing w:after="0" w:line="106" w:lineRule="exact"/>
        <w:rPr>
          <w:sz w:val="20"/>
          <w:szCs w:val="20"/>
          <w:color w:val="auto"/>
        </w:rPr>
      </w:pPr>
    </w:p>
    <w:p>
      <w:pPr>
        <w:ind w:right="180" w:firstLine="440"/>
        <w:spacing w:after="0" w:line="289" w:lineRule="auto"/>
        <w:rPr>
          <w:sz w:val="20"/>
          <w:szCs w:val="20"/>
          <w:color w:val="auto"/>
        </w:rPr>
      </w:pPr>
      <w:r>
        <w:rPr>
          <w:rFonts w:ascii="Arial" w:cs="Arial" w:eastAsia="Arial" w:hAnsi="Arial"/>
          <w:sz w:val="17"/>
          <w:szCs w:val="17"/>
          <w:color w:val="auto"/>
        </w:rPr>
        <w:t>The following table presents stock-based compensation expense included in each respective expense category in the unaudited Condensed Consolidated Statements of Operations and Other Comprehensive Loss: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6"/>
                <w:szCs w:val="16"/>
                <w:b w:val="1"/>
                <w:bCs w:val="1"/>
                <w:color w:val="auto"/>
              </w:rPr>
              <w:t>Six Months Ended June 30,</w:t>
            </w:r>
          </w:p>
        </w:tc>
      </w:tr>
      <w:tr>
        <w:trPr>
          <w:trHeight w:val="203"/>
        </w:trPr>
        <w:tc>
          <w:tcPr>
            <w:tcW w:w="44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6"/>
                <w:szCs w:val="16"/>
                <w:b w:val="1"/>
                <w:bCs w:val="1"/>
                <w:color w:val="auto"/>
              </w:rPr>
              <w:t>2021</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6"/>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1,661</w:t>
            </w:r>
          </w:p>
        </w:tc>
      </w:tr>
      <w:tr>
        <w:trPr>
          <w:trHeight w:val="222"/>
        </w:trPr>
        <w:tc>
          <w:tcPr>
            <w:tcW w:w="442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251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306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505</w:t>
            </w: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1,302</w:t>
            </w:r>
          </w:p>
        </w:tc>
      </w:tr>
      <w:tr>
        <w:trPr>
          <w:trHeight w:val="216"/>
        </w:trPr>
        <w:tc>
          <w:tcPr>
            <w:tcW w:w="4420" w:type="dxa"/>
            <w:vAlign w:val="bottom"/>
          </w:tcPr>
          <w:p>
            <w:pPr>
              <w:spacing w:after="0"/>
              <w:rPr>
                <w:sz w:val="18"/>
                <w:szCs w:val="18"/>
                <w:color w:val="auto"/>
              </w:rPr>
            </w:pPr>
          </w:p>
        </w:tc>
        <w:tc>
          <w:tcPr>
            <w:tcW w:w="1060" w:type="dxa"/>
            <w:vAlign w:val="bottom"/>
            <w:tcBorders>
              <w:bottom w:val="single" w:sz="8" w:color="auto"/>
            </w:tcBorders>
          </w:tcPr>
          <w:p>
            <w:pPr>
              <w:jc w:val="right"/>
              <w:ind w:right="877"/>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3,127</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6,474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3,468</w:t>
            </w:r>
          </w:p>
        </w:tc>
      </w:tr>
      <w:tr>
        <w:trPr>
          <w:trHeight w:val="20"/>
        </w:trPr>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Net Loss per Share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Loss Per Share Attributable to Common Stockholders</w:t>
      </w:r>
    </w:p>
    <w:p>
      <w:pPr>
        <w:spacing w:after="0" w:line="171" w:lineRule="exact"/>
        <w:rPr>
          <w:sz w:val="20"/>
          <w:szCs w:val="20"/>
          <w:color w:val="auto"/>
        </w:rPr>
      </w:pPr>
    </w:p>
    <w:p>
      <w:pPr>
        <w:ind w:right="420" w:firstLine="440"/>
        <w:spacing w:after="0" w:line="359" w:lineRule="auto"/>
        <w:rPr>
          <w:sz w:val="20"/>
          <w:szCs w:val="20"/>
          <w:color w:val="auto"/>
        </w:rPr>
      </w:pPr>
      <w:r>
        <w:rPr>
          <w:rFonts w:ascii="Arial" w:cs="Arial" w:eastAsia="Arial" w:hAnsi="Arial"/>
          <w:sz w:val="15"/>
          <w:szCs w:val="15"/>
          <w:color w:val="auto"/>
        </w:rPr>
        <w:t>Basic net loss per share attributable to common stockholders is calculated by dividing net loss attributable to common stockholders by the weighted-average number of shares issued and shares to be issued under the commitment to issue shares, as these shares are issuable for no consideration.</w:t>
      </w:r>
    </w:p>
    <w:p>
      <w:pPr>
        <w:spacing w:after="0" w:line="60" w:lineRule="exact"/>
        <w:rPr>
          <w:sz w:val="20"/>
          <w:szCs w:val="20"/>
          <w:color w:val="auto"/>
        </w:rPr>
      </w:pPr>
    </w:p>
    <w:p>
      <w:pPr>
        <w:ind w:right="100" w:firstLine="440"/>
        <w:spacing w:after="0" w:line="289" w:lineRule="auto"/>
        <w:rPr>
          <w:sz w:val="20"/>
          <w:szCs w:val="20"/>
          <w:color w:val="auto"/>
        </w:rPr>
      </w:pPr>
      <w:r>
        <w:rPr>
          <w:rFonts w:ascii="Arial" w:cs="Arial" w:eastAsia="Arial" w:hAnsi="Arial"/>
          <w:sz w:val="17"/>
          <w:szCs w:val="17"/>
          <w:color w:val="auto"/>
        </w:rPr>
        <w:t>Diluted net loss per share attributable to common stockholders adjusts the basic net loss per share attributable to common stockholders and the weighted-average number of shares issued and shares to be issued under the commitment to issue shares for potentially dilutive instruments.</w:t>
      </w:r>
    </w:p>
    <w:p>
      <w:pPr>
        <w:spacing w:after="0" w:line="106" w:lineRule="exact"/>
        <w:rPr>
          <w:sz w:val="20"/>
          <w:szCs w:val="20"/>
          <w:color w:val="auto"/>
        </w:rPr>
      </w:pPr>
    </w:p>
    <w:p>
      <w:pPr>
        <w:jc w:val="both"/>
        <w:ind w:right="20" w:firstLine="440"/>
        <w:spacing w:after="0" w:line="273" w:lineRule="auto"/>
        <w:rPr>
          <w:sz w:val="20"/>
          <w:szCs w:val="20"/>
          <w:color w:val="auto"/>
        </w:rPr>
      </w:pPr>
      <w:r>
        <w:rPr>
          <w:rFonts w:ascii="Arial" w:cs="Arial" w:eastAsia="Arial" w:hAnsi="Arial"/>
          <w:sz w:val="17"/>
          <w:szCs w:val="17"/>
          <w:color w:val="auto"/>
        </w:rPr>
        <w:t xml:space="preserve">For purposes of presentation of basic and diluted net loss per share, the Company includes shares to be issued in the denominator in accordance with ASC 710-10-54-4 and ASC 260-10-45-48 as if they had been issued on the date of the merger, as such shares are non-contingent and are issuable for no consideration (see Note 3, </w:t>
      </w:r>
      <w:r>
        <w:rPr>
          <w:rFonts w:ascii="Arial" w:cs="Arial" w:eastAsia="Arial" w:hAnsi="Arial"/>
          <w:sz w:val="17"/>
          <w:szCs w:val="17"/>
          <w:i w:val="1"/>
          <w:iCs w:val="1"/>
          <w:color w:val="auto"/>
        </w:rPr>
        <w:t>Business Combination</w:t>
      </w:r>
      <w:r>
        <w:rPr>
          <w:rFonts w:ascii="Arial" w:cs="Arial" w:eastAsia="Arial" w:hAnsi="Arial"/>
          <w:sz w:val="17"/>
          <w:szCs w:val="17"/>
          <w:color w:val="auto"/>
        </w:rPr>
        <w:t>).</w:t>
      </w:r>
    </w:p>
    <w:p>
      <w:pPr>
        <w:spacing w:after="0" w:line="119" w:lineRule="exact"/>
        <w:rPr>
          <w:sz w:val="20"/>
          <w:szCs w:val="20"/>
          <w:color w:val="auto"/>
        </w:rPr>
      </w:pPr>
    </w:p>
    <w:p>
      <w:pPr>
        <w:jc w:val="both"/>
        <w:ind w:right="180" w:firstLine="440"/>
        <w:spacing w:after="0" w:line="273" w:lineRule="auto"/>
        <w:rPr>
          <w:sz w:val="20"/>
          <w:szCs w:val="20"/>
          <w:color w:val="auto"/>
        </w:rPr>
      </w:pPr>
      <w:r>
        <w:rPr>
          <w:rFonts w:ascii="Arial" w:cs="Arial" w:eastAsia="Arial" w:hAnsi="Arial"/>
          <w:sz w:val="17"/>
          <w:szCs w:val="17"/>
          <w:color w:val="auto"/>
        </w:rPr>
        <w:t>The net loss per common share was the same for the Class A and Class B Common Stock because they are entitled to the same liquidation and dividend rights and are therefore, combined on the unaudited Condensed Consolidated Statements of Operations and Comprehensive Loss for the three and six months ended June 30, 2022 and 2021.</w:t>
      </w:r>
    </w:p>
    <w:p>
      <w:pPr>
        <w:spacing w:after="0" w:line="119" w:lineRule="exact"/>
        <w:rPr>
          <w:sz w:val="20"/>
          <w:szCs w:val="20"/>
          <w:color w:val="auto"/>
        </w:rPr>
      </w:pPr>
    </w:p>
    <w:p>
      <w:pPr>
        <w:ind w:right="120" w:firstLine="440"/>
        <w:spacing w:after="0" w:line="289" w:lineRule="auto"/>
        <w:rPr>
          <w:sz w:val="20"/>
          <w:szCs w:val="20"/>
          <w:color w:val="auto"/>
        </w:rPr>
      </w:pPr>
      <w:r>
        <w:rPr>
          <w:rFonts w:ascii="Arial" w:cs="Arial" w:eastAsia="Arial" w:hAnsi="Arial"/>
          <w:sz w:val="17"/>
          <w:szCs w:val="17"/>
          <w:color w:val="auto"/>
        </w:rPr>
        <w:t>Because the Company reported net losses for all periods presented, all potentially dilutive Common Stock equivalents were determined to be antidilutive for those periods and have been excluded from the calculation of net loss per share.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7" w:name="page28"/>
    <w:bookmarkEnd w:id="27"/>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the number of anti-dilutive shares excluded from the calculation of diluted net loss per share as of the following dates: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 2022</w:t>
            </w:r>
          </w:p>
        </w:tc>
        <w:tc>
          <w:tcPr>
            <w:tcW w:w="1420" w:type="dxa"/>
            <w:vAlign w:val="bottom"/>
          </w:tcPr>
          <w:p>
            <w:pPr>
              <w:jc w:val="right"/>
              <w:ind w:right="174"/>
              <w:spacing w:after="0"/>
              <w:rPr>
                <w:sz w:val="20"/>
                <w:szCs w:val="20"/>
                <w:color w:val="auto"/>
              </w:rPr>
            </w:pPr>
            <w:r>
              <w:rPr>
                <w:rFonts w:ascii="Arial" w:cs="Arial" w:eastAsia="Arial" w:hAnsi="Arial"/>
                <w:sz w:val="16"/>
                <w:szCs w:val="16"/>
                <w:b w:val="1"/>
                <w:bCs w:val="1"/>
                <w:color w:val="auto"/>
              </w:rPr>
              <w:t>June 30, 2021</w:t>
            </w:r>
          </w:p>
        </w:tc>
      </w:tr>
      <w:tr>
        <w:trPr>
          <w:trHeight w:val="219"/>
        </w:trPr>
        <w:tc>
          <w:tcPr>
            <w:tcW w:w="8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Stock-based compensation awards – SI Plan</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4,263,065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Stock-based compensation awards – EI Plan</w:t>
            </w:r>
          </w:p>
        </w:tc>
        <w:tc>
          <w:tcPr>
            <w:tcW w:w="1420" w:type="dxa"/>
            <w:vAlign w:val="bottom"/>
          </w:tcPr>
          <w:p>
            <w:pPr>
              <w:jc w:val="right"/>
              <w:spacing w:after="0"/>
              <w:rPr>
                <w:sz w:val="20"/>
                <w:szCs w:val="20"/>
                <w:color w:val="auto"/>
              </w:rPr>
            </w:pPr>
            <w:r>
              <w:rPr>
                <w:rFonts w:ascii="Arial" w:cs="Arial" w:eastAsia="Arial" w:hAnsi="Arial"/>
                <w:sz w:val="17"/>
                <w:szCs w:val="17"/>
                <w:color w:val="auto"/>
              </w:rPr>
              <w:t>28,211,821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31,125,216</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 awards – STI Plan</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8,255,472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9,285,845</w:t>
            </w: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Public Warrants</w:t>
            </w:r>
          </w:p>
        </w:tc>
        <w:tc>
          <w:tcPr>
            <w:tcW w:w="1420" w:type="dxa"/>
            <w:vAlign w:val="bottom"/>
          </w:tcPr>
          <w:p>
            <w:pPr>
              <w:jc w:val="right"/>
              <w:spacing w:after="0"/>
              <w:rPr>
                <w:sz w:val="20"/>
                <w:szCs w:val="20"/>
                <w:color w:val="auto"/>
              </w:rPr>
            </w:pPr>
            <w:r>
              <w:rPr>
                <w:rFonts w:ascii="Arial" w:cs="Arial" w:eastAsia="Arial" w:hAnsi="Arial"/>
                <w:sz w:val="17"/>
                <w:szCs w:val="17"/>
                <w:color w:val="auto"/>
              </w:rPr>
              <w:t>22,977,568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Private Warrants</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674,551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Other warrants</w:t>
            </w:r>
          </w:p>
        </w:tc>
        <w:tc>
          <w:tcPr>
            <w:tcW w:w="1420" w:type="dxa"/>
            <w:vAlign w:val="bottom"/>
          </w:tcPr>
          <w:p>
            <w:pPr>
              <w:jc w:val="right"/>
              <w:spacing w:after="0"/>
              <w:rPr>
                <w:sz w:val="20"/>
                <w:szCs w:val="20"/>
                <w:color w:val="auto"/>
              </w:rPr>
            </w:pPr>
            <w:r>
              <w:rPr>
                <w:rFonts w:ascii="Arial" w:cs="Arial" w:eastAsia="Arial" w:hAnsi="Arial"/>
                <w:sz w:val="17"/>
                <w:szCs w:val="17"/>
                <w:color w:val="auto"/>
              </w:rPr>
              <w:t>4,544,258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3,357,175</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notes payable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9,009,166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9,009,166</w:t>
            </w:r>
          </w:p>
        </w:tc>
      </w:tr>
      <w:tr>
        <w:trPr>
          <w:trHeight w:val="216"/>
        </w:trPr>
        <w:tc>
          <w:tcPr>
            <w:tcW w:w="8300" w:type="dxa"/>
            <w:vAlign w:val="bottom"/>
          </w:tcPr>
          <w:p>
            <w:pPr>
              <w:ind w:left="180"/>
              <w:spacing w:after="0"/>
              <w:rPr>
                <w:sz w:val="20"/>
                <w:szCs w:val="20"/>
                <w:color w:val="auto"/>
              </w:rPr>
            </w:pPr>
            <w:r>
              <w:rPr>
                <w:rFonts w:ascii="Arial" w:cs="Arial" w:eastAsia="Arial" w:hAnsi="Arial"/>
                <w:sz w:val="17"/>
                <w:szCs w:val="17"/>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77,935,901</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52,777,402</w:t>
            </w:r>
          </w:p>
        </w:tc>
      </w:tr>
      <w:tr>
        <w:trPr>
          <w:trHeight w:val="20"/>
        </w:trPr>
        <w:tc>
          <w:tcPr>
            <w:tcW w:w="8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tabs>
          <w:tab w:leader="none" w:pos="38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Subsequent Events</w:t>
      </w:r>
    </w:p>
    <w:p>
      <w:pPr>
        <w:spacing w:after="0" w:line="177" w:lineRule="exact"/>
        <w:rPr>
          <w:sz w:val="20"/>
          <w:szCs w:val="20"/>
          <w:color w:val="auto"/>
        </w:rPr>
      </w:pPr>
    </w:p>
    <w:p>
      <w:pPr>
        <w:ind w:right="180" w:firstLine="440"/>
        <w:spacing w:after="0" w:line="267" w:lineRule="auto"/>
        <w:rPr>
          <w:sz w:val="20"/>
          <w:szCs w:val="20"/>
          <w:color w:val="auto"/>
        </w:rPr>
      </w:pPr>
      <w:r>
        <w:rPr>
          <w:rFonts w:ascii="Arial" w:cs="Arial" w:eastAsia="Arial" w:hAnsi="Arial"/>
          <w:sz w:val="17"/>
          <w:szCs w:val="17"/>
          <w:color w:val="auto"/>
        </w:rPr>
        <w:t xml:space="preserve">The Company evaluated subsequent events and transactions that occurred after the balance sheet date up to the date that the unaudited Condensed Consolidated Financial Statements were issued. Other than as described below and in Note 3, </w:t>
      </w:r>
      <w:r>
        <w:rPr>
          <w:rFonts w:ascii="Arial" w:cs="Arial" w:eastAsia="Arial" w:hAnsi="Arial"/>
          <w:sz w:val="17"/>
          <w:szCs w:val="17"/>
          <w:i w:val="1"/>
          <w:iCs w:val="1"/>
          <w:color w:val="auto"/>
        </w:rPr>
        <w:t>Business Combination</w:t>
      </w:r>
      <w:r>
        <w:rPr>
          <w:rFonts w:ascii="Arial" w:cs="Arial" w:eastAsia="Arial" w:hAnsi="Arial"/>
          <w:sz w:val="17"/>
          <w:szCs w:val="17"/>
          <w:color w:val="auto"/>
        </w:rPr>
        <w:t xml:space="preserve"> and Note 7, </w:t>
      </w:r>
      <w:r>
        <w:rPr>
          <w:rFonts w:ascii="Arial" w:cs="Arial" w:eastAsia="Arial" w:hAnsi="Arial"/>
          <w:sz w:val="17"/>
          <w:szCs w:val="17"/>
          <w:i w:val="1"/>
          <w:iCs w:val="1"/>
          <w:color w:val="auto"/>
        </w:rPr>
        <w:t>Fair Value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Company did not identify any subsequent events that would have required adjustment or disclosure in the unaudited Condensed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Amended ATW Convertible Notes</w:t>
      </w:r>
    </w:p>
    <w:p>
      <w:pPr>
        <w:spacing w:after="0" w:line="171" w:lineRule="exact"/>
        <w:rPr>
          <w:sz w:val="20"/>
          <w:szCs w:val="20"/>
          <w:color w:val="auto"/>
        </w:rPr>
      </w:pPr>
    </w:p>
    <w:p>
      <w:pPr>
        <w:ind w:left="320" w:right="20"/>
        <w:spacing w:after="0" w:line="262" w:lineRule="auto"/>
        <w:rPr>
          <w:sz w:val="20"/>
          <w:szCs w:val="20"/>
          <w:color w:val="auto"/>
        </w:rPr>
      </w:pPr>
      <w:r>
        <w:rPr>
          <w:rFonts w:ascii="Arial" w:cs="Arial" w:eastAsia="Arial" w:hAnsi="Arial"/>
          <w:sz w:val="17"/>
          <w:szCs w:val="17"/>
          <w:color w:val="auto"/>
        </w:rPr>
        <w:t>On July 26, 2022, the Company entered into an agreement (the “Amendment”) with FF Aventuras SPV XI, LLC, FF Adventures SPV XVIII LLC, FF Ventures SPV IX LLC and FF Venturas SPV X LLC, entities affiliated with ATW Partners LLC (collectively, the “Investors”), to extend the maturity date, adjust the conversion price and otherwise amend the terms (as described further below) of certain existing convertible promissory notes (the “Notes”) held by the Investors with a combined original aggregate principal amount of approximately $73.9 million. The Notes were issued in 2021 to the Investors pursuant to the Second Amended and Restated Note Purchase Agreement, dated as of October 9, 2020 (as amended from time to time, the “NPA”), among certain subsidiaries of the Company and guarantors party thereto, U.S. Bank National Association, as the notes agent, Birch Lake Fund Management, LP, as the collateral agent, and the note purchasers party thereto.</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Pursuant to the Amendment:</w:t>
      </w:r>
    </w:p>
    <w:p>
      <w:pPr>
        <w:spacing w:after="0" w:line="171" w:lineRule="exact"/>
        <w:rPr>
          <w:sz w:val="20"/>
          <w:szCs w:val="20"/>
          <w:color w:val="auto"/>
        </w:rPr>
      </w:pPr>
    </w:p>
    <w:p>
      <w:pPr>
        <w:ind w:left="940" w:right="40" w:hanging="621"/>
        <w:spacing w:after="0" w:line="289" w:lineRule="auto"/>
        <w:tabs>
          <w:tab w:leader="none" w:pos="93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maturity date of each of the Notes was extended to October 31, 2026. This extension does not, however, defer the accrual of interest to the new maturity date. Interest shall accrue on the Notes at 10% per annum following February 10, 2023;</w:t>
      </w:r>
    </w:p>
    <w:p>
      <w:pPr>
        <w:spacing w:after="0" w:line="105" w:lineRule="exact"/>
        <w:rPr>
          <w:rFonts w:ascii="Arial" w:cs="Arial" w:eastAsia="Arial" w:hAnsi="Arial"/>
          <w:sz w:val="17"/>
          <w:szCs w:val="17"/>
          <w:color w:val="auto"/>
        </w:rPr>
      </w:pPr>
    </w:p>
    <w:p>
      <w:pPr>
        <w:ind w:left="940" w:right="120" w:hanging="621"/>
        <w:spacing w:after="0" w:line="263" w:lineRule="auto"/>
        <w:tabs>
          <w:tab w:leader="none" w:pos="93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conversion price of each of the Notes was adjusted to equal the lesser of (x) $10.00, (y) 95% of the per share daily volume weighted average prices (“VWAPs”) of the Company’s common stock during the 30 trading days immediately prior to the applicable conversion date and (z) the lowest effective price per share of common stock (or equivalents) issued or issuable by the Company in any financing of debt or equity after July 26, 2022, subject to possible adjustment as set forth therein (the “Set Price”). However, from July 26, 2022 to December 30, 2022, the conversion price of each of the Notes is equal to the lesser of (i) the Set Price, and (ii) 92% of the lowest of the VWAPs during the seven (7) trading days immediately prior to the applicable conversion date;</w:t>
      </w:r>
    </w:p>
    <w:p>
      <w:pPr>
        <w:spacing w:after="0" w:line="129" w:lineRule="exact"/>
        <w:rPr>
          <w:rFonts w:ascii="Arial" w:cs="Arial" w:eastAsia="Arial" w:hAnsi="Arial"/>
          <w:sz w:val="17"/>
          <w:szCs w:val="17"/>
          <w:color w:val="auto"/>
        </w:rPr>
      </w:pPr>
    </w:p>
    <w:p>
      <w:pPr>
        <w:ind w:left="940" w:right="100" w:hanging="621"/>
        <w:spacing w:after="0" w:line="297" w:lineRule="auto"/>
        <w:tabs>
          <w:tab w:leader="none" w:pos="937"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“forced conversion” feature was added to each of the Notes that allows the Company, on or after December 31, 2022, to cause the conversion of all or part of, in the aggregate among all of the Notes, up to $35 million principal amount of the Notes less any principal amount of the Notes voluntarily converted by the holder thereof after July 26, 2022, subject to certain conditions as set forth in the Amendment;</w:t>
      </w:r>
    </w:p>
    <w:p>
      <w:pPr>
        <w:spacing w:after="0" w:line="102" w:lineRule="exact"/>
        <w:rPr>
          <w:rFonts w:ascii="Arial" w:cs="Arial" w:eastAsia="Arial" w:hAnsi="Arial"/>
          <w:sz w:val="16"/>
          <w:szCs w:val="16"/>
          <w:color w:val="auto"/>
        </w:rPr>
      </w:pPr>
    </w:p>
    <w:p>
      <w:pPr>
        <w:ind w:left="940" w:right="240" w:hanging="621"/>
        <w:spacing w:after="0" w:line="289" w:lineRule="auto"/>
        <w:tabs>
          <w:tab w:leader="none" w:pos="93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date by which the Investors must exercise their option to purchase additional “Subordinated Intermediate Last Out Optional Notes” from the Company under the terms of the NPA was extended to July 20, 2023; and</w:t>
      </w:r>
    </w:p>
    <w:p>
      <w:pPr>
        <w:spacing w:after="0" w:line="105" w:lineRule="exact"/>
        <w:rPr>
          <w:rFonts w:ascii="Arial" w:cs="Arial" w:eastAsia="Arial" w:hAnsi="Arial"/>
          <w:sz w:val="17"/>
          <w:szCs w:val="17"/>
          <w:color w:val="auto"/>
        </w:rPr>
      </w:pPr>
    </w:p>
    <w:p>
      <w:pPr>
        <w:ind w:left="940" w:right="680" w:hanging="621"/>
        <w:spacing w:after="0" w:line="289" w:lineRule="auto"/>
        <w:tabs>
          <w:tab w:leader="none" w:pos="937" w:val="left"/>
        </w:tabs>
        <w:numPr>
          <w:ilvl w:val="0"/>
          <w:numId w:val="13"/>
        </w:numPr>
        <w:rPr>
          <w:rFonts w:ascii="Arial" w:cs="Arial" w:eastAsia="Arial" w:hAnsi="Arial"/>
          <w:sz w:val="17"/>
          <w:szCs w:val="17"/>
          <w:color w:val="auto"/>
        </w:rPr>
      </w:pPr>
      <w:r>
        <w:rPr>
          <w:rFonts w:ascii="Arial" w:cs="Arial" w:eastAsia="Arial" w:hAnsi="Arial"/>
          <w:sz w:val="17"/>
          <w:szCs w:val="17"/>
          <w:color w:val="auto"/>
        </w:rPr>
        <w:t>within 45 days of the date on which at least $50 million in senior secured convertible term loans have been funded to the Company by the Investors or their affiliates under the “Tranche A Loans” facility (the “Tranche A Facility”)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8" w:name="page29"/>
    <w:bookmarkEnd w:id="28"/>
    <w:p>
      <w:pPr>
        <w:ind w:left="44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40" w:right="280"/>
        <w:spacing w:after="0" w:line="267" w:lineRule="auto"/>
        <w:rPr>
          <w:sz w:val="20"/>
          <w:szCs w:val="20"/>
          <w:color w:val="auto"/>
        </w:rPr>
      </w:pPr>
      <w:r>
        <w:rPr>
          <w:rFonts w:ascii="Arial" w:cs="Arial" w:eastAsia="Arial" w:hAnsi="Arial"/>
          <w:sz w:val="17"/>
          <w:szCs w:val="17"/>
          <w:color w:val="auto"/>
        </w:rPr>
        <w:t>(which funding by the Investors or their affiliates is conditioned upon the Company obtaining binding commitments for at least $100 million in additional financing) (the “Collateral Trigger Date”), subject to agreement by the Company and the Investors on the terms of such Tranche A Facility, the Amendment provides that the Company and the Investors will enter into a security agreement to secure the obligations under the Notes with a junior lien on substantially all of the assets that secure the Tranche A Facility.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New ATW Financing</w:t>
      </w:r>
    </w:p>
    <w:p>
      <w:pPr>
        <w:spacing w:after="0" w:line="171" w:lineRule="exact"/>
        <w:rPr>
          <w:sz w:val="20"/>
          <w:szCs w:val="20"/>
          <w:color w:val="auto"/>
        </w:rPr>
      </w:pPr>
    </w:p>
    <w:p>
      <w:pPr>
        <w:ind w:left="320"/>
        <w:spacing w:after="0" w:line="276" w:lineRule="auto"/>
        <w:rPr>
          <w:sz w:val="20"/>
          <w:szCs w:val="20"/>
          <w:color w:val="auto"/>
        </w:rPr>
      </w:pPr>
      <w:r>
        <w:rPr>
          <w:rFonts w:ascii="Arial" w:cs="Arial" w:eastAsia="Arial" w:hAnsi="Arial"/>
          <w:sz w:val="16"/>
          <w:szCs w:val="16"/>
          <w:color w:val="auto"/>
        </w:rPr>
        <w:t>On August 14, 2022, the Company entered into a Securities Purchase Agreement (the “SPA”) with FF Simplicity Ventures LLC, an affiliate of ATW Partners LLC, and in its capacity as administrative agent and collateral agent, and certain purchasers, including FF Simplicity Ventures LLC (collectively with additional purchasers from time to time party thereto, the “Purchasers”), to issue and sell $52 million in aggregate principal amount of the Company’s senior secured convertible notes, in each case upon the satisfaction of certain closing conditions, in multiple tranches, as follows: $27 million initially (the “Initial Bridge Notes”); $10 million on the 20th business day following the closing of the Initial Bridge Notes (the “Second Bridge Notes”); and $15 million (the “Third Bridge Notes” and with the Initial Bridge Notes and the Second Bridge Notes, the “Bridge Notes”) on or prior to October 11, 2022. Under the SPA, the Company is permitted to obtain incremental senior secured convertible notes in an aggregate principal amount of $248 million within 90 days after the closing of the Initial Bridge Notes, which incremental senior secured notes have not been committed by any additional Purchasers as of the date hereof (the “Incremental Notes” and together with the Bridge Notes, the “New Notes”). The Company is in active discussions with several potential additional Purchasers of the New Notes and other debt and equity investments in the Company, but there is no assurance that any additional New Notes will be issued under the SPA. The New Notes are subject to an original issue discount of 10%, and are convertible into shares of the Company’s Class A common stock at a conversion price equal to $2.69 (or $2.2865 for the Initial Bridge Notes and up to an additional $31 million of additional New Notes to the extent committed on or prior to August 17, 2022 and funded on or prior to August 19, 2022), plus an interest make-whole amount as set forth in the New Notes, subject to customary adjustments, including full ratchet anti-dilution protection. The shares of the Company’s Class A common stock issuable upon conversion of the New Notes are not transferable for six months without the prior written consent of the Company (which consent shall not be unreasonably withheld).</w:t>
      </w:r>
    </w:p>
    <w:p>
      <w:pPr>
        <w:spacing w:after="0" w:line="125" w:lineRule="exact"/>
        <w:rPr>
          <w:sz w:val="20"/>
          <w:szCs w:val="20"/>
          <w:color w:val="auto"/>
        </w:rPr>
      </w:pPr>
    </w:p>
    <w:p>
      <w:pPr>
        <w:ind w:left="320" w:right="20"/>
        <w:spacing w:after="0" w:line="278" w:lineRule="auto"/>
        <w:rPr>
          <w:sz w:val="20"/>
          <w:szCs w:val="20"/>
          <w:color w:val="auto"/>
        </w:rPr>
      </w:pPr>
      <w:r>
        <w:rPr>
          <w:rFonts w:ascii="Arial" w:cs="Arial" w:eastAsia="Arial" w:hAnsi="Arial"/>
          <w:sz w:val="16"/>
          <w:szCs w:val="16"/>
          <w:color w:val="auto"/>
        </w:rPr>
        <w:t>The New Notes are secured by the grant of a first priority perfected lien upon substantially all of the personal and real property of the Company and its subsidiaries, as well as guaranty by substantially all of the Company’s domestic subsidiaries. The New Notes mature on August 15, 2026 or earlier under certain conditions set forth in the SPA. The New Notes accrue interest at 10% per annum, provided that, subject to certain conditions set forth in the SPA, the Company may elect to pay such interest in Company Class A common stock if the Company also pays the Purchasers an additional cash interest payment equal to 5% per annum. Except in the case of a mandatory prepayment pursuant to the SPA, if any of the New Notes are prepaid, repaid, reduced, refinanced, or replaced in whole or in part prior to the August 15, 2026 maturity date, then the Company shall pay to the Purchaser a “Premium Percentage” in an amount ranging from 0% to 10% of the principal amount of such Note(s) as determined in accordance with a schedule set forth in the SPA. Pursuant to the SPA, each Purchaser that then owns at least $25 million principal amount of New Notes (when aggregated with any affiliates of such Purchaser) shall have customary preemptive rights to participate in any future financing by the Company as provided in the SPA. The Company agreed to use commercially reasonable efforts to seek The Nasdaq Stock Market LLC’s (“Nasdaq”) financial viability exception pursuant to Nasdaq Rule 5653(f) for the issuance of the Bridge Notes as soon as possible following the signing of the SPA.</w:t>
      </w:r>
    </w:p>
    <w:p>
      <w:pPr>
        <w:spacing w:after="0" w:line="118" w:lineRule="exact"/>
        <w:rPr>
          <w:sz w:val="20"/>
          <w:szCs w:val="20"/>
          <w:color w:val="auto"/>
        </w:rPr>
      </w:pPr>
    </w:p>
    <w:p>
      <w:pPr>
        <w:ind w:left="320" w:right="80"/>
        <w:spacing w:after="0" w:line="283" w:lineRule="auto"/>
        <w:rPr>
          <w:sz w:val="20"/>
          <w:szCs w:val="20"/>
          <w:color w:val="auto"/>
        </w:rPr>
      </w:pPr>
      <w:r>
        <w:rPr>
          <w:rFonts w:ascii="Arial" w:cs="Arial" w:eastAsia="Arial" w:hAnsi="Arial"/>
          <w:sz w:val="16"/>
          <w:szCs w:val="16"/>
          <w:color w:val="auto"/>
        </w:rPr>
        <w:t>As a closing condition under the SPA for funding of each of the Bridge Notes, the Company is required to deliver to each of the Purchasers a warrant (a “Warrant”) registered in the name of such Purchaser to purchase up to a number of shares of the Company’s Class A common stock equal to 33% of such shares issuable to such Purchaser upon conversion of the Note, with an exercise price equal to $5.00 per share, subject to customary weighted average anti-dilution protection and other adjustments, and are exercisable for seven years on a cash or cashless basis. The Company may repurchase the Warrants for $0.01 per Warrant share if and to the extent the volume weighted average prices of the Company’s Class A common stock during 20 of out 30 trading days prior to the repurchase is greater than $15.00 per share, subject to certain additional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29" w:name="page30"/>
    <w:bookmarkEnd w:id="29"/>
    <w:p>
      <w:pPr>
        <w:ind w:left="120"/>
        <w:spacing w:after="0"/>
        <w:rPr>
          <w:sz w:val="20"/>
          <w:szCs w:val="20"/>
          <w:color w:val="auto"/>
        </w:rPr>
      </w:pPr>
      <w:r>
        <w:rPr>
          <w:rFonts w:ascii="Arial" w:cs="Arial" w:eastAsia="Arial" w:hAnsi="Arial"/>
          <w:sz w:val="17"/>
          <w:szCs w:val="17"/>
          <w:u w:val="single" w:color="auto"/>
          <w:color w:val="0000FF"/>
        </w:rPr>
        <w:t>Table of Contents</w:t>
      </w:r>
    </w:p>
    <w:p>
      <w:pPr>
        <w:spacing w:after="0" w:line="26"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Faraday Future Intelligent Electric Inc.</w:t>
      </w:r>
    </w:p>
    <w:p>
      <w:pPr>
        <w:spacing w:after="0" w:line="14"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except share and per share data)</w:t>
      </w:r>
    </w:p>
    <w:p>
      <w:pPr>
        <w:spacing w:after="0" w:line="14"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The Company is required to use commercially reasonable efforts to efforts to (i) file, within 90 calendar days of the date of the SPA or as soon as practicable thereafter, a registration statement on the appropriate form providing for the resale by the Purchasers of the shares of Class A common stock issuable upon exercise of the Warrants and conversion of the New Notes, (ii) cause such registration statement to become effective within 180 days following the date of the SPA and (iii) maintain the effectiveness of such registration statement at all times until each Purchaser no longer owns any Warrants or New Notes or shares of Class A common stock issuable upon exercise or conversion thereof.</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Each Purchaser has the option, from time to time for 12 months after the effective date of the aforementioned registration statement, to purchase additional senior secured convertible notes (referred to as “Tranche B Notes”) and Warrants of the Company on the same terms as the Incremental Notes in an aggregate amount not to exceed the initial principal amount of the Bridge Notes and Incremental Notes issued to such Purchaser,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70485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640" w:top="271" w:right="4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7" w:lineRule="exact"/>
        <w:rPr>
          <w:sz w:val="20"/>
          <w:szCs w:val="20"/>
          <w:color w:val="auto"/>
        </w:rPr>
      </w:pPr>
    </w:p>
    <w:p>
      <w:pPr>
        <w:ind w:right="40" w:firstLine="440"/>
        <w:spacing w:after="0" w:line="261" w:lineRule="auto"/>
        <w:rPr>
          <w:sz w:val="20"/>
          <w:szCs w:val="20"/>
          <w:color w:val="auto"/>
        </w:rPr>
      </w:pPr>
      <w:r>
        <w:rPr>
          <w:rFonts w:ascii="Arial" w:cs="Arial" w:eastAsia="Arial" w:hAnsi="Arial"/>
          <w:sz w:val="17"/>
          <w:szCs w:val="17"/>
          <w:i w:val="1"/>
          <w:iCs w:val="1"/>
          <w:color w:val="auto"/>
        </w:rPr>
        <w:t xml:space="preserve">The following discussion and analysis is intended to help the reader understand FF’s results of operations and financial condition. This discussion and analysis is provided as a supplement to, and should be read in conjunction with FF’s unaudited </w:t>
      </w:r>
      <w:r>
        <w:rPr>
          <w:rFonts w:ascii="Arial" w:cs="Arial" w:eastAsia="Arial" w:hAnsi="Arial"/>
          <w:sz w:val="17"/>
          <w:szCs w:val="17"/>
          <w:color w:val="auto"/>
        </w:rPr>
        <w:t>Condensed</w:t>
      </w:r>
      <w:r>
        <w:rPr>
          <w:rFonts w:ascii="Arial" w:cs="Arial" w:eastAsia="Arial" w:hAnsi="Arial"/>
          <w:sz w:val="17"/>
          <w:szCs w:val="17"/>
          <w:i w:val="1"/>
          <w:iCs w:val="1"/>
          <w:color w:val="auto"/>
        </w:rPr>
        <w:t xml:space="preserve"> Consolidated Financial Statements and Notes thereto included elsewhere in this quarterly report on Form 10-Q (this “Report”). Some of the information contained in this discussion and analysis or set forth elsewhere in this Report, including information with respect to FF’s plans and strategy for FF’s business, includes forward-looking statements that involve risks and uncertainties. FF’s actual results may differ materially from management’s expectations as a result of various factors, including but not limited to those discussed in the sections entitled “Risk Factors” in the Company’s Form 10-K, as updated by Part II, Item 1A of this Report and “Cautionary Note Regarding Forward Looking Statements” below. The objective of this section is to provide investors an understanding of the financial drivers and levers in FF’s business and describe the financial performance of the business.</w:t>
      </w:r>
    </w:p>
    <w:p>
      <w:pPr>
        <w:spacing w:after="0" w:line="133" w:lineRule="exact"/>
        <w:rPr>
          <w:sz w:val="20"/>
          <w:szCs w:val="20"/>
          <w:color w:val="auto"/>
        </w:rPr>
      </w:pPr>
    </w:p>
    <w:p>
      <w:pPr>
        <w:ind w:right="140" w:firstLine="440"/>
        <w:spacing w:after="0" w:line="265" w:lineRule="auto"/>
        <w:rPr>
          <w:sz w:val="20"/>
          <w:szCs w:val="20"/>
          <w:color w:val="auto"/>
        </w:rPr>
      </w:pPr>
      <w:r>
        <w:rPr>
          <w:rFonts w:ascii="Arial" w:cs="Arial" w:eastAsia="Arial" w:hAnsi="Arial"/>
          <w:sz w:val="17"/>
          <w:szCs w:val="17"/>
          <w:i w:val="1"/>
          <w:iCs w:val="1"/>
          <w:color w:val="auto"/>
        </w:rPr>
        <w:t>Unless context otherwise requires, all references in this section to the “Company,” “FF,” “we,” “us,” “our” and similar terms refer to Faraday Future Intelligent Electric Inc., a Delaware corporation, and its consolidated subsidiaries. References to “PSAC” refer to Property Solutions Acquisition Corp., a Delaware corporation, our predecessor company prior to the consummation of the Business Combination (as defined herein), and “Legacy FF” refers to FF Intelligent Mobility Global Holdings Ltd., an exempted company with limited liability incorporated under the laws of the Cayman Islands, together with its consolidated subsidiaries, prior to the consummation of the Business Combination.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77" w:lineRule="exact"/>
        <w:rPr>
          <w:sz w:val="20"/>
          <w:szCs w:val="20"/>
          <w:color w:val="auto"/>
        </w:rPr>
      </w:pPr>
    </w:p>
    <w:p>
      <w:pPr>
        <w:ind w:firstLine="440"/>
        <w:spacing w:after="0" w:line="261"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There can be no assurance that actual results will not materially differ from expectations. Such statements include, but are not limited to, any statements relating to our financial and business performance, market acceptance and success of our business model, our ability to expand the scope of our offerings, and our ability to comply with the extensive, complex, and evolving regulatory requirements. These statements are based on management's current expectations, but actual results may differ materially due to various factors.</w:t>
      </w:r>
    </w:p>
    <w:p>
      <w:pPr>
        <w:spacing w:after="0" w:line="133" w:lineRule="exact"/>
        <w:rPr>
          <w:sz w:val="20"/>
          <w:szCs w:val="20"/>
          <w:color w:val="auto"/>
        </w:rPr>
      </w:pPr>
    </w:p>
    <w:p>
      <w:pPr>
        <w:ind w:right="120" w:firstLine="440"/>
        <w:spacing w:after="0" w:line="279" w:lineRule="auto"/>
        <w:rPr>
          <w:sz w:val="20"/>
          <w:szCs w:val="20"/>
          <w:color w:val="auto"/>
        </w:rPr>
      </w:pPr>
      <w:r>
        <w:rPr>
          <w:rFonts w:ascii="Arial" w:cs="Arial" w:eastAsia="Arial" w:hAnsi="Arial"/>
          <w:sz w:val="16"/>
          <w:szCs w:val="16"/>
          <w:color w:val="auto"/>
        </w:rPr>
        <w:t>The forward-looking statements contained in this Report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but are not limited to, those factors described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in the Form 10-K, as updated by Part II, Item 1A of this Report. Should one or more of these risks or uncertainties materialize, or should any of our assumptions prove incorrect, actual results may vary in material respects from those projected in these forward-looking statements. We undertake no obligation (and expressly disclaim any obligation) to update or revise any forward-looking statements, whether as a result of new information, future events or otherwise, except as may be required under applicable securities laws. These risks and others described under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Form 10-K, as updated by Part II, Item 1A of this Report may not be exhaustive.</w:t>
      </w:r>
    </w:p>
    <w:p>
      <w:pPr>
        <w:spacing w:after="0" w:line="118" w:lineRule="exact"/>
        <w:rPr>
          <w:sz w:val="20"/>
          <w:szCs w:val="20"/>
          <w:color w:val="auto"/>
        </w:rPr>
      </w:pPr>
    </w:p>
    <w:p>
      <w:pPr>
        <w:ind w:right="100" w:firstLine="440"/>
        <w:spacing w:after="0" w:line="263"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Report. In addition, even if our results or operations, financial condition and liquidity, and developments in the industry in which we operate are consistent with the forward-looking statements contained in this Report, those results or developments may not be indicative of results or developments in subsequent periods.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FF is a California-based, global, shared, intelligent, mobility ecosystem company founded in 2014 with a vision to disrupt the automotive industry.</w:t>
      </w:r>
    </w:p>
    <w:p>
      <w:pPr>
        <w:spacing w:after="0" w:line="183" w:lineRule="exact"/>
        <w:rPr>
          <w:sz w:val="20"/>
          <w:szCs w:val="20"/>
          <w:color w:val="auto"/>
        </w:rPr>
      </w:pPr>
    </w:p>
    <w:p>
      <w:pPr>
        <w:ind w:right="520" w:firstLine="440"/>
        <w:spacing w:after="0" w:line="289" w:lineRule="auto"/>
        <w:rPr>
          <w:sz w:val="20"/>
          <w:szCs w:val="20"/>
          <w:color w:val="auto"/>
        </w:rPr>
      </w:pPr>
      <w:r>
        <w:rPr>
          <w:rFonts w:ascii="Arial" w:cs="Arial" w:eastAsia="Arial" w:hAnsi="Arial"/>
          <w:sz w:val="17"/>
          <w:szCs w:val="17"/>
          <w:color w:val="auto"/>
        </w:rPr>
        <w:t>On July 21, 2021 (the “Closing Date”), Faraday Future Intelligent Electric Inc. (f/k/a Property Solutions Acquisition Corp. (“PSAC”)), a Delaware corporation, consummated the previously announced business combination pursuant to that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31" w:name="page32"/>
    <w:bookmarkEnd w:id="31"/>
    <w:p>
      <w:pPr>
        <w:ind w:right="120"/>
        <w:spacing w:after="0" w:line="267" w:lineRule="auto"/>
        <w:rPr>
          <w:sz w:val="20"/>
          <w:szCs w:val="20"/>
          <w:color w:val="auto"/>
        </w:rPr>
      </w:pPr>
      <w:r>
        <w:rPr>
          <w:rFonts w:ascii="Arial" w:cs="Arial" w:eastAsia="Arial" w:hAnsi="Arial"/>
          <w:sz w:val="17"/>
          <w:szCs w:val="17"/>
          <w:color w:val="auto"/>
        </w:rPr>
        <w:t>certain Agreement and Plan of Merger, dated as of January 27, 2021 (as amended, the “Merger Agreement”), by and among PSAC, PSAC Merger Sub Ltd., an exempted company with limited liability incorporated under the laws of the Cayman Islands and wholly-owned subsidiary of PSAC (“Merger Sub”), and Legacy FF. Pursuant to the terms of the Merger Agreement, Merger Sub merged with and into Legacy FF, with Legacy FF surviving the merger as a wholly-owned subsidiary of the Company (the “Business Combination”).</w:t>
      </w:r>
    </w:p>
    <w:p>
      <w:pPr>
        <w:spacing w:after="0" w:line="12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Upon the consummation of the Business Combination (the “Closing”), PSAC changed its name from Property Solutions Acquisition Corp. to Faraday Future Intelligent Electric Inc. (“FF”) and FF’s Class A Common Stock and warrants (“Public Warrants”) originally issued in the initial public offering of PSAC began trading on The Nasdaq Global Select Market (“NASDAQ”) under the ticker symbols FFIE and FFIEW, respectively.</w:t>
      </w:r>
    </w:p>
    <w:p>
      <w:pPr>
        <w:spacing w:after="0" w:line="119" w:lineRule="exact"/>
        <w:rPr>
          <w:sz w:val="20"/>
          <w:szCs w:val="20"/>
          <w:color w:val="auto"/>
        </w:rPr>
      </w:pPr>
    </w:p>
    <w:p>
      <w:pPr>
        <w:ind w:right="180" w:firstLine="440"/>
        <w:spacing w:after="0" w:line="314" w:lineRule="auto"/>
        <w:rPr>
          <w:sz w:val="20"/>
          <w:szCs w:val="20"/>
          <w:color w:val="auto"/>
        </w:rPr>
      </w:pPr>
      <w:r>
        <w:rPr>
          <w:rFonts w:ascii="Arial" w:cs="Arial" w:eastAsia="Arial" w:hAnsi="Arial"/>
          <w:sz w:val="15"/>
          <w:szCs w:val="15"/>
          <w:color w:val="auto"/>
        </w:rPr>
        <w:t>With headquarters in Los Angeles, California, FF designs and engineers next-generation, intelligent, connected, electric vehicles. FF intends to manufacture vehicles at its production facility in Hanford, California, with additional future production capacity needs addressed through a contract manufacturing agreement with Myoung Shin Co., Ltd., an automotive manufacturer headquartered in South Korea. FF has additional engineering, sales, and operational capabilities in China and is exploring opportunities for potential manufacturing capabilities in China through a joint venture or other arrangement.</w:t>
      </w:r>
    </w:p>
    <w:p>
      <w:pPr>
        <w:spacing w:after="0" w:line="93" w:lineRule="exact"/>
        <w:rPr>
          <w:sz w:val="20"/>
          <w:szCs w:val="20"/>
          <w:color w:val="auto"/>
        </w:rPr>
      </w:pPr>
    </w:p>
    <w:p>
      <w:pPr>
        <w:ind w:right="380" w:firstLine="440"/>
        <w:spacing w:after="0" w:line="289" w:lineRule="auto"/>
        <w:rPr>
          <w:sz w:val="20"/>
          <w:szCs w:val="20"/>
          <w:color w:val="auto"/>
        </w:rPr>
      </w:pPr>
      <w:r>
        <w:rPr>
          <w:rFonts w:ascii="Arial" w:cs="Arial" w:eastAsia="Arial" w:hAnsi="Arial"/>
          <w:sz w:val="17"/>
          <w:szCs w:val="17"/>
          <w:color w:val="auto"/>
        </w:rPr>
        <w:t>Since its founding, FF has created major innovations in technology, products, and a user-centered business model. FF believes these innovations will enable FF to set new standards in luxury and performance that will redefine the future of intelligent mobility.</w:t>
      </w:r>
    </w:p>
    <w:p>
      <w:pPr>
        <w:spacing w:after="0" w:line="106" w:lineRule="exact"/>
        <w:rPr>
          <w:sz w:val="20"/>
          <w:szCs w:val="20"/>
          <w:color w:val="auto"/>
        </w:rPr>
      </w:pPr>
    </w:p>
    <w:p>
      <w:pPr>
        <w:ind w:right="340" w:firstLine="440"/>
        <w:spacing w:after="0" w:line="273" w:lineRule="auto"/>
        <w:rPr>
          <w:sz w:val="20"/>
          <w:szCs w:val="20"/>
          <w:color w:val="auto"/>
        </w:rPr>
      </w:pPr>
      <w:r>
        <w:rPr>
          <w:rFonts w:ascii="Arial" w:cs="Arial" w:eastAsia="Arial" w:hAnsi="Arial"/>
          <w:sz w:val="17"/>
          <w:szCs w:val="17"/>
          <w:color w:val="auto"/>
        </w:rPr>
        <w:t>FF’s innovations in technology include its proprietary Variable Platform Architecture (“VPA”), propulsion system, and Internet Artificial Intelligence (“I.A.I.”) system. We believe the following combination of capabilities of FF’s products, technology, team, and business model distinguish FF from its competitors:</w:t>
      </w:r>
    </w:p>
    <w:p>
      <w:pPr>
        <w:spacing w:after="0" w:line="119" w:lineRule="exact"/>
        <w:rPr>
          <w:sz w:val="20"/>
          <w:szCs w:val="20"/>
          <w:color w:val="auto"/>
        </w:rPr>
      </w:pPr>
    </w:p>
    <w:p>
      <w:pPr>
        <w:ind w:left="940" w:hanging="432"/>
        <w:spacing w:after="0"/>
        <w:tabs>
          <w:tab w:leader="none" w:pos="9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FF has designed and developed a breakthrough mobility platform — its proprietary VPA.</w:t>
      </w:r>
    </w:p>
    <w:p>
      <w:pPr>
        <w:spacing w:after="0" w:line="171" w:lineRule="exact"/>
        <w:rPr>
          <w:rFonts w:ascii="Arial" w:cs="Arial" w:eastAsia="Arial" w:hAnsi="Arial"/>
          <w:sz w:val="17"/>
          <w:szCs w:val="17"/>
          <w:color w:val="auto"/>
        </w:rPr>
      </w:pPr>
    </w:p>
    <w:p>
      <w:pPr>
        <w:ind w:left="940" w:right="520" w:hanging="432"/>
        <w:spacing w:after="0" w:line="289" w:lineRule="auto"/>
        <w:tabs>
          <w:tab w:leader="none" w:pos="9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FF’s propulsion system provides a competitive edge in acceleration and range, enabled by an expected industry-leading inverter design, and propulsion system.</w:t>
      </w:r>
    </w:p>
    <w:p>
      <w:pPr>
        <w:spacing w:after="0" w:line="105" w:lineRule="exact"/>
        <w:rPr>
          <w:rFonts w:ascii="Arial" w:cs="Arial" w:eastAsia="Arial" w:hAnsi="Arial"/>
          <w:sz w:val="17"/>
          <w:szCs w:val="17"/>
          <w:color w:val="auto"/>
        </w:rPr>
      </w:pPr>
    </w:p>
    <w:p>
      <w:pPr>
        <w:ind w:left="940" w:right="280" w:hanging="432"/>
        <w:spacing w:after="0" w:line="273" w:lineRule="auto"/>
        <w:tabs>
          <w:tab w:leader="none" w:pos="9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FF’s advanced I.A.I. technology offers high-performance computing, high speed internet connectivity, Over the Air (“OTA”) updating, an open ecosystem for third party application integration, and a Level 3 autonomous driving-ready system, in addition to several other proprietary innovations that enable FF to build an advanced, highly-personalized user experience.</w:t>
      </w:r>
    </w:p>
    <w:p>
      <w:pPr>
        <w:spacing w:after="0" w:line="118" w:lineRule="exact"/>
        <w:rPr>
          <w:rFonts w:ascii="Arial" w:cs="Arial" w:eastAsia="Arial" w:hAnsi="Arial"/>
          <w:sz w:val="17"/>
          <w:szCs w:val="17"/>
          <w:color w:val="auto"/>
        </w:rPr>
      </w:pPr>
    </w:p>
    <w:p>
      <w:pPr>
        <w:ind w:left="940" w:right="120" w:hanging="432"/>
        <w:spacing w:after="0" w:line="273" w:lineRule="auto"/>
        <w:tabs>
          <w:tab w:leader="none" w:pos="9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Since inception, FF has developed a portfolio of intellectual property, established its proposed supply chain, and assembled a global team of automotive and technology experts and innovators to achieve its goal of redefining the future of the automotive industry. As of June 30, 2022, FF has been granted approximately 650 patents globally.</w:t>
      </w:r>
    </w:p>
    <w:p>
      <w:pPr>
        <w:spacing w:after="0" w:line="118" w:lineRule="exact"/>
        <w:rPr>
          <w:rFonts w:ascii="Arial" w:cs="Arial" w:eastAsia="Arial" w:hAnsi="Arial"/>
          <w:sz w:val="17"/>
          <w:szCs w:val="17"/>
          <w:color w:val="auto"/>
        </w:rPr>
      </w:pPr>
    </w:p>
    <w:p>
      <w:pPr>
        <w:ind w:left="940" w:right="80" w:hanging="432"/>
        <w:spacing w:after="0" w:line="289" w:lineRule="auto"/>
        <w:tabs>
          <w:tab w:leader="none" w:pos="9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FF’s B2C (business-to-customer) passenger vehicle launch pipeline over the next five years includes the FF 91 series, the FF 81 series, and the FF 71 series.</w:t>
      </w:r>
    </w:p>
    <w:p>
      <w:pPr>
        <w:spacing w:after="0" w:line="105" w:lineRule="exact"/>
        <w:rPr>
          <w:rFonts w:ascii="Arial" w:cs="Arial" w:eastAsia="Arial" w:hAnsi="Arial"/>
          <w:sz w:val="17"/>
          <w:szCs w:val="17"/>
          <w:color w:val="auto"/>
        </w:rPr>
      </w:pPr>
    </w:p>
    <w:p>
      <w:pPr>
        <w:ind w:left="940" w:right="460" w:hanging="432"/>
        <w:spacing w:after="0" w:line="289" w:lineRule="auto"/>
        <w:tabs>
          <w:tab w:leader="none" w:pos="9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FF expects deliveries of the FF 91 in the third or fourth quarter of 2022. FF believes that the FF 91 will be the first ultra-luxury EV to offer a highly personalized, fully connected user experience for driver and passengers.</w:t>
      </w:r>
    </w:p>
    <w:p>
      <w:pPr>
        <w:spacing w:after="0" w:line="105" w:lineRule="exact"/>
        <w:rPr>
          <w:rFonts w:ascii="Arial" w:cs="Arial" w:eastAsia="Arial" w:hAnsi="Arial"/>
          <w:sz w:val="17"/>
          <w:szCs w:val="17"/>
          <w:color w:val="auto"/>
        </w:rPr>
      </w:pPr>
    </w:p>
    <w:p>
      <w:pPr>
        <w:ind w:left="940" w:right="240" w:hanging="432"/>
        <w:spacing w:after="0" w:line="289" w:lineRule="auto"/>
        <w:tabs>
          <w:tab w:leader="none" w:pos="9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Subject to future financing, FF plans to launch its second passenger vehicle, the FF 81, as early as 2024, which will be a premium, mass-market electric vehicle positioned to compete against the Tesla Model S, Tesla Model X, the BMW 5-series, and the Nio ES8.</w:t>
      </w:r>
    </w:p>
    <w:p>
      <w:pPr>
        <w:spacing w:after="0" w:line="105" w:lineRule="exact"/>
        <w:rPr>
          <w:rFonts w:ascii="Arial" w:cs="Arial" w:eastAsia="Arial" w:hAnsi="Arial"/>
          <w:sz w:val="17"/>
          <w:szCs w:val="17"/>
          <w:color w:val="auto"/>
        </w:rPr>
      </w:pPr>
    </w:p>
    <w:p>
      <w:pPr>
        <w:ind w:left="940" w:right="340" w:hanging="432"/>
        <w:spacing w:after="0" w:line="273" w:lineRule="auto"/>
        <w:tabs>
          <w:tab w:leader="none" w:pos="9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Subject to future financing, FF plans to develop a mass-market passenger vehicle, the FF 71. FF expects to launch the FF 71 subsequent to the launch of FF 81. The FF 71 will integrate full connectivity and advanced technology into a smaller vehicle size and is positioned to compete against the Tesla Model 3, Tesla Model Y, and the BMW 3-series.</w:t>
      </w:r>
    </w:p>
    <w:p>
      <w:pPr>
        <w:spacing w:after="0" w:line="118" w:lineRule="exact"/>
        <w:rPr>
          <w:rFonts w:ascii="Arial" w:cs="Arial" w:eastAsia="Arial" w:hAnsi="Arial"/>
          <w:sz w:val="17"/>
          <w:szCs w:val="17"/>
          <w:color w:val="auto"/>
        </w:rPr>
      </w:pPr>
    </w:p>
    <w:p>
      <w:pPr>
        <w:jc w:val="both"/>
        <w:ind w:left="940" w:right="380" w:hanging="432"/>
        <w:spacing w:after="0" w:line="273" w:lineRule="auto"/>
        <w:tabs>
          <w:tab w:leader="none" w:pos="928"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Subject to future financing, FF plans to develop a Smart Last Mile Delivery (“SLMD”) vehicle to address the high-growth, last-mile delivery opportunity, particularly in Europe, China and the U.S. FF’s modular VPA facilitates entry into the last-mile delivery segment, allowing FF to expand its total addressable market and avenues of growth.</w:t>
      </w:r>
    </w:p>
    <w:p>
      <w:pPr>
        <w:spacing w:after="0" w:line="119" w:lineRule="exact"/>
        <w:rPr>
          <w:sz w:val="20"/>
          <w:szCs w:val="20"/>
          <w:color w:val="auto"/>
        </w:rPr>
      </w:pPr>
    </w:p>
    <w:p>
      <w:pPr>
        <w:ind w:right="180" w:firstLine="433"/>
        <w:spacing w:after="0" w:line="273" w:lineRule="auto"/>
        <w:tabs>
          <w:tab w:leader="none" w:pos="666" w:val="left"/>
        </w:tabs>
        <w:numPr>
          <w:ilvl w:val="0"/>
          <w:numId w:val="15"/>
        </w:numPr>
        <w:rPr>
          <w:rFonts w:ascii="Arial" w:cs="Arial" w:eastAsia="Arial" w:hAnsi="Arial"/>
          <w:sz w:val="17"/>
          <w:szCs w:val="17"/>
          <w:color w:val="auto"/>
        </w:rPr>
      </w:pPr>
      <w:r>
        <w:rPr>
          <w:rFonts w:ascii="Arial" w:cs="Arial" w:eastAsia="Arial" w:hAnsi="Arial"/>
          <w:sz w:val="17"/>
          <w:szCs w:val="17"/>
          <w:color w:val="auto"/>
        </w:rPr>
        <w:t>has adopted a hybrid manufacturing strategy consisting of its refurbished manufacturing facility in Hanford, California and a collaboration with Myoung Shin Co., Ltd, a contract manufacturing partner in South Korea. FF is also exploring other potential contract manufacturing options in addition to the contract manufacturing agreement in South Korea. FF is also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32" w:name="page33"/>
    <w:bookmarkEnd w:id="32"/>
    <w:p>
      <w:pPr>
        <w:ind w:right="80"/>
        <w:spacing w:after="0" w:line="289" w:lineRule="auto"/>
        <w:rPr>
          <w:sz w:val="20"/>
          <w:szCs w:val="20"/>
          <w:color w:val="auto"/>
        </w:rPr>
      </w:pPr>
      <w:r>
        <w:rPr>
          <w:rFonts w:ascii="Arial" w:cs="Arial" w:eastAsia="Arial" w:hAnsi="Arial"/>
          <w:sz w:val="17"/>
          <w:szCs w:val="17"/>
          <w:color w:val="auto"/>
        </w:rPr>
        <w:t>exploring the possibility of manufacturing capacity in China through a joint venture or other arrangements. All passenger vehicles as well as the SLMD vehicle are expected to be available for sale in the U.S. and China. European markets may be added as early as 2023.</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77" w:lineRule="exact"/>
        <w:rPr>
          <w:sz w:val="20"/>
          <w:szCs w:val="20"/>
          <w:color w:val="auto"/>
        </w:rPr>
      </w:pPr>
    </w:p>
    <w:p>
      <w:pPr>
        <w:ind w:right="240" w:firstLine="428"/>
        <w:spacing w:after="0" w:line="267"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Any such election to not take advantage of the extended transition period is irrevocable.</w:t>
      </w:r>
    </w:p>
    <w:p>
      <w:pPr>
        <w:spacing w:after="0" w:line="126" w:lineRule="exact"/>
        <w:rPr>
          <w:sz w:val="20"/>
          <w:szCs w:val="20"/>
          <w:color w:val="auto"/>
        </w:rPr>
      </w:pPr>
    </w:p>
    <w:p>
      <w:pPr>
        <w:ind w:right="120" w:firstLine="433"/>
        <w:spacing w:after="0" w:line="263" w:lineRule="auto"/>
        <w:tabs>
          <w:tab w:leader="none" w:pos="66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 an “emerging growth company” as defined in Section 2(a) of the Securities Act of 1933, as amended, and has elected to take advantage of the benefits of the extended transition period for new or revised financial accounting standards. FF expects to continue to take advantage of the benefits of the extended transition period, although it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Information</w:t>
      </w:r>
    </w:p>
    <w:p>
      <w:pPr>
        <w:spacing w:after="0" w:line="177" w:lineRule="exact"/>
        <w:rPr>
          <w:sz w:val="20"/>
          <w:szCs w:val="20"/>
          <w:color w:val="auto"/>
        </w:rPr>
      </w:pPr>
    </w:p>
    <w:p>
      <w:pPr>
        <w:ind w:right="420" w:firstLine="445"/>
        <w:spacing w:after="0" w:line="289" w:lineRule="auto"/>
        <w:tabs>
          <w:tab w:leader="none" w:pos="678" w:val="left"/>
        </w:tabs>
        <w:numPr>
          <w:ilvl w:val="0"/>
          <w:numId w:val="17"/>
        </w:numPr>
        <w:rPr>
          <w:rFonts w:ascii="Arial" w:cs="Arial" w:eastAsia="Arial" w:hAnsi="Arial"/>
          <w:sz w:val="17"/>
          <w:szCs w:val="17"/>
          <w:color w:val="auto"/>
        </w:rPr>
      </w:pPr>
      <w:r>
        <w:rPr>
          <w:rFonts w:ascii="Arial" w:cs="Arial" w:eastAsia="Arial" w:hAnsi="Arial"/>
          <w:sz w:val="17"/>
          <w:szCs w:val="17"/>
          <w:color w:val="auto"/>
        </w:rPr>
        <w:t>has determined that FF operates as one reportable segment, which is the design, development, manufacture, engineering, sale, and distribution of electric vehicles and related products in the global market.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 on FF’s Business (in thousands)</w:t>
      </w:r>
    </w:p>
    <w:p>
      <w:pPr>
        <w:spacing w:after="0" w:line="177" w:lineRule="exact"/>
        <w:rPr>
          <w:sz w:val="20"/>
          <w:szCs w:val="20"/>
          <w:color w:val="auto"/>
        </w:rPr>
      </w:pPr>
    </w:p>
    <w:p>
      <w:pPr>
        <w:ind w:right="120" w:firstLine="440"/>
        <w:spacing w:after="0" w:line="267" w:lineRule="auto"/>
        <w:rPr>
          <w:sz w:val="20"/>
          <w:szCs w:val="20"/>
          <w:color w:val="auto"/>
        </w:rPr>
      </w:pPr>
      <w:r>
        <w:rPr>
          <w:rFonts w:ascii="Arial" w:cs="Arial" w:eastAsia="Arial" w:hAnsi="Arial"/>
          <w:sz w:val="17"/>
          <w:szCs w:val="17"/>
          <w:color w:val="auto"/>
        </w:rPr>
        <w:t>There continues to be worldwide impact from the COVID-19 pandemic. The impact of COVID-19 includes changes in consumer and business behavior, pandemic fears, market downturns, restrictions on business, and individual activities have created significant volatility in the global economy and have led to reduced economic activity. The spread of COVID-19 has also created a disruption in the manufacture, delivery, and overall supply chain of vehicle manufacturers and suppliers and has led to a global decrease in vehicle sales in markets around the world.</w:t>
      </w:r>
    </w:p>
    <w:p>
      <w:pPr>
        <w:spacing w:after="0" w:line="126" w:lineRule="exact"/>
        <w:rPr>
          <w:sz w:val="20"/>
          <w:szCs w:val="20"/>
          <w:color w:val="auto"/>
        </w:rPr>
      </w:pPr>
    </w:p>
    <w:p>
      <w:pPr>
        <w:ind w:firstLine="440"/>
        <w:spacing w:after="0" w:line="277" w:lineRule="auto"/>
        <w:rPr>
          <w:sz w:val="20"/>
          <w:szCs w:val="20"/>
          <w:color w:val="auto"/>
        </w:rPr>
      </w:pPr>
      <w:r>
        <w:rPr>
          <w:rFonts w:ascii="Arial" w:cs="Arial" w:eastAsia="Arial" w:hAnsi="Arial"/>
          <w:sz w:val="16"/>
          <w:szCs w:val="16"/>
          <w:color w:val="auto"/>
        </w:rPr>
        <w:t>The pandemic has resulted in government authorities implementing numerous measures to try to contain the virus, such as travel bans, restrictions, quarantines, stay-at-home or shelter-in-place orders, and business shutdowns. For example, FF’s employees based in California have been subject to stay-at-home orders from state and local governments. While the stay-at-home orders were lifted on June 15, 2021, FF continues to operate under various return-to-work protocols and must continue to follow certain safety and COVID-19 protocols. These measures may adversely impact FF’s employees and operations, the operations of FF’s suppliers and business partners, and could negatively impact the construction schedule of FF’s manufacturing facility and the production schedule of the FF 91. In addition, various aspects of FF’s business and manufacturing facility cannot be conducted remotely. These measures by government authorities may remain in place for a significant period of time and could adversely affect FF’s construction and manufacturing plans, sales and marketing activities, and business operations. The extent of the continuing impact of the COVID-19 pandemic on FF’s operational and financial performance is uncertain and will depend on many factors outside FF’s control, including, without limitation, the timing, extent, trajectory and duration of the pandemic; the availability, distribution and effectiveness of vaccines; the imposition of protective public safety measures; and the impact of the pandemic on the global economy, including FF’s supply chain, and on the demand for consumer products. Future measures taken by government authorities in response the COVID-19 pandemic could adversely affect FF’s construction and manufacturing plans, sales and marketing activities, and business operations.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response to the pandemic, Congress passed the Coronavirus Aid, Relief, and Economic Security Act (the “CARES Act”) administered by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United States Small Business Administration (“SBA”). In 2020, Legacy FF received a Paycheck Protection Program (“PPP”) loan in the amount of $9,168. The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Company was notified by East West Bank that a principal amount of $8,975 as well as accrued interest of $155 relating to the PPP Loan had been forgiven as of</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The Company paid the remaining principal and accrued interest of $195 in aggregate in April 2022.</w:t>
      </w:r>
    </w:p>
    <w:p>
      <w:pPr>
        <w:spacing w:after="0" w:line="159" w:lineRule="exact"/>
        <w:rPr>
          <w:sz w:val="20"/>
          <w:szCs w:val="20"/>
          <w:color w:val="auto"/>
        </w:rPr>
      </w:pPr>
    </w:p>
    <w:p>
      <w:pPr>
        <w:ind w:right="80" w:firstLine="440"/>
        <w:spacing w:after="0" w:line="314" w:lineRule="auto"/>
        <w:rPr>
          <w:sz w:val="20"/>
          <w:szCs w:val="20"/>
          <w:color w:val="auto"/>
        </w:rPr>
      </w:pPr>
      <w:r>
        <w:rPr>
          <w:rFonts w:ascii="Arial" w:cs="Arial" w:eastAsia="Arial" w:hAnsi="Arial"/>
          <w:sz w:val="15"/>
          <w:szCs w:val="15"/>
          <w:color w:val="auto"/>
        </w:rPr>
        <w:t>The COVID-19 vaccine is currently being administered. Any resurgence may slow down FF’s ability to ramp-up FF’s production program on time to satisfy investors and potential customers. Any delay to production will delay FF’s ability to launch the FF 91 and begin generating revenue. The COVID-19 pandemic could limit the ability of FF’s suppliers and business partners to perform, including third party suppliers’ ability to provide components and materials used in the FF 91. FF may also experience an increase in the cost of raw materials. FF does not anticipate any material impairments as a result of COVID-19;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33" w:name="page34"/>
    <w:bookmarkEnd w:id="33"/>
    <w:p>
      <w:pPr>
        <w:spacing w:after="0" w:line="325" w:lineRule="auto"/>
        <w:rPr>
          <w:sz w:val="20"/>
          <w:szCs w:val="20"/>
          <w:color w:val="auto"/>
        </w:rPr>
      </w:pPr>
      <w:r>
        <w:rPr>
          <w:rFonts w:ascii="Arial" w:cs="Arial" w:eastAsia="Arial" w:hAnsi="Arial"/>
          <w:sz w:val="15"/>
          <w:szCs w:val="15"/>
          <w:color w:val="auto"/>
        </w:rPr>
        <w:t>however, FF will continue to evaluate conditions on an ongoing basis. Even after the COVID-19 pandemic has subsided, FF may continue to experience an adverse impact to its business as a result of the global economic impact and any lasting effects on the global economy, including any recession that has occurred or may occur in the future. Refer to the section titled “</w:t>
      </w:r>
      <w:r>
        <w:rPr>
          <w:rFonts w:ascii="Arial" w:cs="Arial" w:eastAsia="Arial" w:hAnsi="Arial"/>
          <w:sz w:val="15"/>
          <w:szCs w:val="15"/>
          <w:i w:val="1"/>
          <w:iCs w:val="1"/>
          <w:color w:val="auto"/>
        </w:rPr>
        <w:t>Risk Factors</w:t>
      </w:r>
      <w:r>
        <w:rPr>
          <w:rFonts w:ascii="Arial" w:cs="Arial" w:eastAsia="Arial" w:hAnsi="Arial"/>
          <w:sz w:val="15"/>
          <w:szCs w:val="15"/>
          <w:color w:val="auto"/>
        </w:rPr>
        <w:t>” in the Form 10-K for a full discussion of the risks associated with the COVID-19 pandemic.</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w:t>
      </w:r>
    </w:p>
    <w:p>
      <w:pPr>
        <w:spacing w:after="0" w:line="177" w:lineRule="exact"/>
        <w:rPr>
          <w:sz w:val="20"/>
          <w:szCs w:val="20"/>
          <w:color w:val="auto"/>
        </w:rPr>
      </w:pPr>
    </w:p>
    <w:p>
      <w:pPr>
        <w:ind w:right="80" w:firstLine="472"/>
        <w:spacing w:after="0" w:line="283" w:lineRule="auto"/>
        <w:rPr>
          <w:sz w:val="20"/>
          <w:szCs w:val="20"/>
          <w:color w:val="auto"/>
        </w:rPr>
      </w:pPr>
      <w:r>
        <w:rPr>
          <w:rFonts w:ascii="Arial" w:cs="Arial" w:eastAsia="Arial" w:hAnsi="Arial"/>
          <w:sz w:val="16"/>
          <w:szCs w:val="16"/>
          <w:color w:val="auto"/>
        </w:rPr>
        <w:t>On June 24, 2021, the registration statement on Form S-4 (File No. 333-255027), initially filed with the U.S. Securities and Exchange Commission (“SEC”) on April 5, 2021 (as amended, the “Registration Statement”), relating to the Business Combination was declared effective by the SEC, and (ii) PSAC established a record date of June 24, 2021 and a meeting date of July 21, 2021 for its special meeting of stockholders, where the Business Combination was approved. For purposes of the discussions in this section related to conversion on the Closing Date of all issued and outstanding Legacy FF Ordinary Stock into shares of Common Stock of FF in accordance with the terms and conditions of the Merger Agreement and the settlement of liabilities in conjunction with the closing of the Business Combination, we refer to that parties’ right to receive Class A and Class B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Developments</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FF accomplished the following major milestones during the six months ended June 30, 2022:</w:t>
      </w:r>
    </w:p>
    <w:p>
      <w:pPr>
        <w:spacing w:after="0" w:line="171" w:lineRule="exact"/>
        <w:rPr>
          <w:sz w:val="20"/>
          <w:szCs w:val="20"/>
          <w:color w:val="auto"/>
        </w:rPr>
      </w:pPr>
    </w:p>
    <w:p>
      <w:pPr>
        <w:ind w:left="940" w:right="180" w:hanging="432"/>
        <w:spacing w:after="0" w:line="289" w:lineRule="auto"/>
        <w:tabs>
          <w:tab w:leader="none" w:pos="928" w:val="left"/>
        </w:tabs>
        <w:numPr>
          <w:ilvl w:val="0"/>
          <w:numId w:val="18"/>
        </w:numPr>
        <w:rPr>
          <w:rFonts w:ascii="Arial" w:cs="Arial" w:eastAsia="Arial" w:hAnsi="Arial"/>
          <w:sz w:val="17"/>
          <w:szCs w:val="17"/>
          <w:i w:val="1"/>
          <w:iCs w:val="1"/>
          <w:color w:val="auto"/>
        </w:rPr>
      </w:pPr>
      <w:r>
        <w:rPr>
          <w:rFonts w:ascii="Arial" w:cs="Arial" w:eastAsia="Arial" w:hAnsi="Arial"/>
          <w:sz w:val="17"/>
          <w:szCs w:val="17"/>
          <w:color w:val="auto"/>
        </w:rPr>
        <w:t>Announced that Myoung Shin Co., Ltd., an automotive manufacturer headquartered in South Korea, has been contracted to manufacture Faraday Future’s second vehicle, the FF 81, with Start of Production (“SOP”) scheduled as early as 2024.</w:t>
      </w:r>
    </w:p>
    <w:p>
      <w:pPr>
        <w:spacing w:after="0" w:line="105" w:lineRule="exact"/>
        <w:rPr>
          <w:rFonts w:ascii="Arial" w:cs="Arial" w:eastAsia="Arial" w:hAnsi="Arial"/>
          <w:sz w:val="17"/>
          <w:szCs w:val="17"/>
          <w:i w:val="1"/>
          <w:iCs w:val="1"/>
          <w:color w:val="auto"/>
        </w:rPr>
      </w:pPr>
    </w:p>
    <w:p>
      <w:pPr>
        <w:ind w:left="940" w:right="780" w:hanging="432"/>
        <w:spacing w:after="0" w:line="289" w:lineRule="auto"/>
        <w:tabs>
          <w:tab w:leader="none" w:pos="9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Unveiled the first production-intent FF 91 ultra-luxury EV. This marks FF’s manufacturing Milestone #4, pre-production builds for final engineering validation and certification, now referred to as production-intent vehicles.</w:t>
      </w:r>
    </w:p>
    <w:p>
      <w:pPr>
        <w:spacing w:after="0" w:line="105" w:lineRule="exact"/>
        <w:rPr>
          <w:rFonts w:ascii="Arial" w:cs="Arial" w:eastAsia="Arial" w:hAnsi="Arial"/>
          <w:sz w:val="17"/>
          <w:szCs w:val="17"/>
          <w:color w:val="auto"/>
        </w:rPr>
      </w:pPr>
    </w:p>
    <w:p>
      <w:pPr>
        <w:ind w:left="940" w:hanging="432"/>
        <w:spacing w:after="0"/>
        <w:tabs>
          <w:tab w:leader="none" w:pos="9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Received dealer and distributor license from the State of California facilitating direct sales in the State of California and online sales nationally.</w:t>
      </w:r>
    </w:p>
    <w:p>
      <w:pPr>
        <w:spacing w:after="0" w:line="182" w:lineRule="exact"/>
        <w:rPr>
          <w:rFonts w:ascii="Arial" w:cs="Arial" w:eastAsia="Arial" w:hAnsi="Arial"/>
          <w:sz w:val="16"/>
          <w:szCs w:val="16"/>
          <w:color w:val="auto"/>
        </w:rPr>
      </w:pPr>
    </w:p>
    <w:p>
      <w:pPr>
        <w:ind w:left="940" w:right="200" w:hanging="432"/>
        <w:spacing w:after="0" w:line="322" w:lineRule="auto"/>
        <w:tabs>
          <w:tab w:leader="none" w:pos="928"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Signed the lease for FF’s flagship store in Beverly Hills, California and confirmed the design firm for the store. The initial term of the lease shall be 126 months, with two five-year tenant extension options. Further, FF announced the active search for a second flagship store for the U.S.</w:t>
      </w:r>
    </w:p>
    <w:p>
      <w:pPr>
        <w:spacing w:after="0" w:line="82" w:lineRule="exact"/>
        <w:rPr>
          <w:rFonts w:ascii="Arial" w:cs="Arial" w:eastAsia="Arial" w:hAnsi="Arial"/>
          <w:sz w:val="16"/>
          <w:szCs w:val="16"/>
          <w:color w:val="auto"/>
        </w:rPr>
      </w:pPr>
    </w:p>
    <w:p>
      <w:pPr>
        <w:ind w:left="940" w:right="20" w:hanging="432"/>
        <w:spacing w:after="0" w:line="267" w:lineRule="auto"/>
        <w:tabs>
          <w:tab w:leader="none" w:pos="9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Announced that Mathias Hofmann became the new Head of Global Supply Chain after the retirement of Benedikt Hartmann effective February 25, 2022. Mathias comes to FF after a nearly 30-year career with BMW, where he served as a Vice President with global responsibilities in purchasing and plant management. He has worked on four continents, including China, and was most recently Plant Director in Brazil. He has extensive experience in both plant operations and direct and indirect purchasing.</w:t>
      </w:r>
    </w:p>
    <w:p>
      <w:pPr>
        <w:spacing w:after="0" w:line="125" w:lineRule="exact"/>
        <w:rPr>
          <w:rFonts w:ascii="Arial" w:cs="Arial" w:eastAsia="Arial" w:hAnsi="Arial"/>
          <w:sz w:val="17"/>
          <w:szCs w:val="17"/>
          <w:color w:val="auto"/>
        </w:rPr>
      </w:pPr>
    </w:p>
    <w:p>
      <w:pPr>
        <w:ind w:left="940" w:right="80" w:hanging="432"/>
        <w:spacing w:after="0" w:line="273" w:lineRule="auto"/>
        <w:tabs>
          <w:tab w:leader="none" w:pos="9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Appointed Becky Roof as Interim Chief Financial Officer (CFO) and engaged an affiliate of AlixPartners to accelerate implementation of Special Committee recommendations, including, but not limited to financial controls and material weakness remediation. Ms. Roof is a seasoned financial executive who has served in an interim CFO capacity at numerous public and private companies.</w:t>
      </w:r>
    </w:p>
    <w:p>
      <w:pPr>
        <w:spacing w:after="0" w:line="118" w:lineRule="exact"/>
        <w:rPr>
          <w:rFonts w:ascii="Arial" w:cs="Arial" w:eastAsia="Arial" w:hAnsi="Arial"/>
          <w:sz w:val="17"/>
          <w:szCs w:val="17"/>
          <w:color w:val="auto"/>
        </w:rPr>
      </w:pPr>
    </w:p>
    <w:p>
      <w:pPr>
        <w:ind w:left="940" w:right="120" w:hanging="432"/>
        <w:spacing w:after="0" w:line="267" w:lineRule="auto"/>
        <w:tabs>
          <w:tab w:leader="none" w:pos="9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Announced 399 preorders as of June 30, 2022. Preorders are fully refundable, non-binding, paid deposits for the FF 91 Futurist Alliance Edition and/or the FF 91 Futurist vehicles available initially for sale to customers in the U.S. and China. FF 91 Futurist Alliance Edition preorders require a $5,000 deposit for customers in the U.S. and an CNY 50,000 deposit for customers in China. FF 91 Futurist preorders require a $1,500 deposit for customers in the U.S. and an CNY 20,000 deposit for customers in China.</w:t>
      </w:r>
    </w:p>
    <w:p>
      <w:pPr>
        <w:spacing w:after="0" w:line="125" w:lineRule="exact"/>
        <w:rPr>
          <w:rFonts w:ascii="Arial" w:cs="Arial" w:eastAsia="Arial" w:hAnsi="Arial"/>
          <w:sz w:val="17"/>
          <w:szCs w:val="17"/>
          <w:color w:val="auto"/>
        </w:rPr>
      </w:pPr>
    </w:p>
    <w:p>
      <w:pPr>
        <w:ind w:left="940" w:right="180" w:hanging="432"/>
        <w:spacing w:after="0" w:line="289" w:lineRule="auto"/>
        <w:tabs>
          <w:tab w:leader="none" w:pos="9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Marked Production Milestone #5 at FF’s Hanford, California manufacturing facility, with the start of installation of all mechanical, electrical and plumbing systems to support equipment installation.</w:t>
      </w:r>
    </w:p>
    <w:p>
      <w:pPr>
        <w:spacing w:after="0" w:line="105" w:lineRule="exact"/>
        <w:rPr>
          <w:rFonts w:ascii="Arial" w:cs="Arial" w:eastAsia="Arial" w:hAnsi="Arial"/>
          <w:sz w:val="17"/>
          <w:szCs w:val="17"/>
          <w:color w:val="auto"/>
        </w:rPr>
      </w:pPr>
    </w:p>
    <w:p>
      <w:pPr>
        <w:ind w:left="940" w:right="40" w:hanging="432"/>
        <w:spacing w:after="0" w:line="322" w:lineRule="auto"/>
        <w:tabs>
          <w:tab w:leader="none" w:pos="928" w:val="left"/>
        </w:tabs>
        <w:numPr>
          <w:ilvl w:val="0"/>
          <w:numId w:val="18"/>
        </w:numPr>
        <w:rPr>
          <w:rFonts w:ascii="Arial" w:cs="Arial" w:eastAsia="Arial" w:hAnsi="Arial"/>
          <w:sz w:val="16"/>
          <w:szCs w:val="16"/>
          <w:color w:val="auto"/>
        </w:rPr>
      </w:pPr>
      <w:r>
        <w:rPr>
          <w:rFonts w:ascii="Arial" w:cs="Arial" w:eastAsia="Arial" w:hAnsi="Arial"/>
          <w:sz w:val="16"/>
          <w:szCs w:val="16"/>
          <w:color w:val="auto"/>
        </w:rPr>
        <w:t>Signed a sourcing agreement for battery packs for the FF 91 with a leading global battery supplier and innovator in lithium-ion technology. The FF 91 battery pack will feature state-of-the-art technology designed to deliver superior power, energy, and charging speeds.</w:t>
      </w:r>
    </w:p>
    <w:p>
      <w:pPr>
        <w:spacing w:after="0" w:line="82" w:lineRule="exact"/>
        <w:rPr>
          <w:rFonts w:ascii="Arial" w:cs="Arial" w:eastAsia="Arial" w:hAnsi="Arial"/>
          <w:sz w:val="16"/>
          <w:szCs w:val="16"/>
          <w:color w:val="auto"/>
        </w:rPr>
      </w:pPr>
    </w:p>
    <w:p>
      <w:pPr>
        <w:ind w:left="940" w:right="380" w:hanging="432"/>
        <w:spacing w:after="0" w:line="289" w:lineRule="auto"/>
        <w:tabs>
          <w:tab w:leader="none" w:pos="928"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Announced its Flagship brand experience center, to be located in Beverly Hills, California where visitors can experience the brand’s advanced technology, distinctive luxury, and futuristic design.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4" w:name="page35"/>
    <w:bookmarkEnd w:id="34"/>
    <w:p>
      <w:pPr>
        <w:ind w:left="940" w:right="60" w:hanging="432"/>
        <w:spacing w:after="0" w:line="289" w:lineRule="auto"/>
        <w:tabs>
          <w:tab w:leader="none" w:pos="928"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Completed additional investigative and remedial work in connection with the previously disclosed Special Committee Investigation. See </w:t>
      </w:r>
      <w:r>
        <w:rPr>
          <w:rFonts w:ascii="Arial" w:cs="Arial" w:eastAsia="Arial" w:hAnsi="Arial"/>
          <w:sz w:val="17"/>
          <w:szCs w:val="17"/>
          <w:i w:val="1"/>
          <w:iCs w:val="1"/>
          <w:color w:val="auto"/>
        </w:rPr>
        <w:t>“Special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Committee Investigation” </w:t>
      </w:r>
      <w:r>
        <w:rPr>
          <w:rFonts w:ascii="Arial" w:cs="Arial" w:eastAsia="Arial" w:hAnsi="Arial"/>
          <w:sz w:val="17"/>
          <w:szCs w:val="17"/>
          <w:color w:val="auto"/>
        </w:rPr>
        <w:t>below for more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above milestones, other recent developments include:</w:t>
      </w:r>
    </w:p>
    <w:p>
      <w:pPr>
        <w:spacing w:after="0" w:line="171" w:lineRule="exact"/>
        <w:rPr>
          <w:sz w:val="20"/>
          <w:szCs w:val="20"/>
          <w:color w:val="auto"/>
        </w:rPr>
      </w:pPr>
    </w:p>
    <w:p>
      <w:pPr>
        <w:ind w:left="940" w:right="60" w:hanging="432"/>
        <w:spacing w:after="0" w:line="279" w:lineRule="auto"/>
        <w:tabs>
          <w:tab w:leader="none" w:pos="9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received various communications from FF Global (through its subsidiary FF Top) regarding its demand for certain governance changes, purportedly in exercise of its rights under the Shareholder Agreement between FF and FF Top. FF Global has asserted a right to remove Brian Krolicki from the Board. On June 22, 2022, Matthias Aydt, a current member of the Board and executive of the Company and then a member of the management committee of FF Global, after a discussion with management of FF Global, relayed to Mr. Krolicki that FF Global would pay Mr. Krolicki up to $700,000, offset by the amount of any severance payments made by the Company, if Mr. Krolicki resigned from the Board. This offer was rejected by Mr. Krolicki. The Company is evaluating whether to take additional action in connection with this matter. The Company disagrees that FF Global has the right under the Shareholder Agreement to remove Mr. Krolicki at this time, but has agreed to hold a special stockholder meeting to consider Mr. Krolicki’s removal. On August 8, 2022, the Company filed a preliminary proxy statement with the SEC in connection with such special stockholder meeting.</w:t>
      </w:r>
    </w:p>
    <w:p>
      <w:pPr>
        <w:spacing w:after="0" w:line="118" w:lineRule="exact"/>
        <w:rPr>
          <w:rFonts w:ascii="Arial" w:cs="Arial" w:eastAsia="Arial" w:hAnsi="Arial"/>
          <w:sz w:val="16"/>
          <w:szCs w:val="16"/>
          <w:color w:val="auto"/>
        </w:rPr>
      </w:pPr>
    </w:p>
    <w:p>
      <w:pPr>
        <w:ind w:left="940" w:right="140" w:hanging="432"/>
        <w:spacing w:after="0" w:line="265" w:lineRule="auto"/>
        <w:tabs>
          <w:tab w:leader="none" w:pos="9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On August 14, 2022, the Company entered into a definitive Securities Purchase Agreement with FF Simplicity Ventures LLC, an entity affiliated with ATW Partners LLC, for $52 million of committed near-term convertible senior secured notes financing and the potential for an additional $248 million of incremental senior secured convertible notes financing to be funded within 90 days after the initial closing. See Note 15, </w:t>
      </w:r>
      <w:r>
        <w:rPr>
          <w:rFonts w:ascii="Arial" w:cs="Arial" w:eastAsia="Arial" w:hAnsi="Arial"/>
          <w:sz w:val="17"/>
          <w:szCs w:val="17"/>
          <w:i w:val="1"/>
          <w:iCs w:val="1"/>
          <w:color w:val="auto"/>
        </w:rPr>
        <w:t xml:space="preserve">Subsequent Events – New ATW Financing </w:t>
      </w:r>
      <w:r>
        <w:rPr>
          <w:rFonts w:ascii="Arial" w:cs="Arial" w:eastAsia="Arial" w:hAnsi="Arial"/>
          <w:sz w:val="17"/>
          <w:szCs w:val="17"/>
          <w:color w:val="auto"/>
        </w:rPr>
        <w:t>in FF’s unaudited Condensed Consolidated Financial Statements included above and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Form 8-K filed with the SEC on August 15, 2022 for additional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Committee Investigation</w:t>
      </w:r>
    </w:p>
    <w:p>
      <w:pPr>
        <w:spacing w:after="0" w:line="171" w:lineRule="exact"/>
        <w:rPr>
          <w:sz w:val="20"/>
          <w:szCs w:val="20"/>
          <w:color w:val="auto"/>
        </w:rPr>
      </w:pPr>
    </w:p>
    <w:p>
      <w:pPr>
        <w:ind w:right="20" w:firstLine="629"/>
        <w:spacing w:after="0" w:line="280" w:lineRule="auto"/>
        <w:rPr>
          <w:sz w:val="20"/>
          <w:szCs w:val="20"/>
          <w:color w:val="auto"/>
        </w:rPr>
      </w:pPr>
      <w:r>
        <w:rPr>
          <w:rFonts w:ascii="Arial" w:cs="Arial" w:eastAsia="Arial" w:hAnsi="Arial"/>
          <w:sz w:val="16"/>
          <w:szCs w:val="16"/>
          <w:color w:val="auto"/>
        </w:rPr>
        <w:t>As previously disclosed, on November 15, 2021, the Company’s Board of Directors (the “Board”) established a special committee of independent directors (“Special Committee”) to investigate allegations of inaccurate Company disclosures, including those made in an October 2021 short seller report and whistleblower allegations, which resulted in the Company being unable to timely file its third quarter 2021 Quarterly Report on Form 10-Q, Annual Report on Form 10-K for the year ended December 31, 2021, first quarter 2022 Quarterly Report on Form 10-Q and Form S-1/A (the “Special Committee Investigation”). The Special Committee engaged outside independent legal counsel and a forensic accounting firm to assist with its review. On February 1, 2022, the Company announced that the Special Committee completed its review. On April 14, 2022, the Company announced the completion of additional investigative work based on the Special Committee’s findings which were performed under the direction of the Executive Chairperson, reporting to the Audit Committee. In connection with the Special Committee’s review and subsequent investigative work, the following findings were made:</w:t>
      </w:r>
    </w:p>
    <w:p>
      <w:pPr>
        <w:spacing w:after="0" w:line="117" w:lineRule="exact"/>
        <w:rPr>
          <w:sz w:val="20"/>
          <w:szCs w:val="20"/>
          <w:color w:val="auto"/>
        </w:rPr>
      </w:pPr>
    </w:p>
    <w:p>
      <w:pPr>
        <w:ind w:left="940" w:right="100" w:hanging="432"/>
        <w:spacing w:after="0" w:line="273" w:lineRule="auto"/>
        <w:tabs>
          <w:tab w:leader="none" w:pos="9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connection with the Business Combination, statements made by certain Company employees to certain investors describing the role of Yueting (“YT”) Jia, the Company’s founder and former CEO, within the Company were inaccurate and his involvement in the management of the Company post-Business Combination was more significant than what had been represented to certain investors.</w:t>
      </w:r>
    </w:p>
    <w:p>
      <w:pPr>
        <w:spacing w:after="0" w:line="118" w:lineRule="exact"/>
        <w:rPr>
          <w:rFonts w:ascii="Arial" w:cs="Arial" w:eastAsia="Arial" w:hAnsi="Arial"/>
          <w:sz w:val="17"/>
          <w:szCs w:val="17"/>
          <w:color w:val="auto"/>
        </w:rPr>
      </w:pPr>
    </w:p>
    <w:p>
      <w:pPr>
        <w:ind w:left="940" w:right="60" w:hanging="432"/>
        <w:spacing w:after="0" w:line="273" w:lineRule="auto"/>
        <w:tabs>
          <w:tab w:leader="none" w:pos="9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Company’s statements leading up to the Business Combination that it had received more than 14,000 reservations for the FF 91 vehicle were potentially misleading because only several hundred of those reservations were paid, while the others (totaling 14,000) were unpaid indications of interest.</w:t>
      </w:r>
    </w:p>
    <w:p>
      <w:pPr>
        <w:spacing w:after="0" w:line="118" w:lineRule="exact"/>
        <w:rPr>
          <w:rFonts w:ascii="Arial" w:cs="Arial" w:eastAsia="Arial" w:hAnsi="Arial"/>
          <w:sz w:val="17"/>
          <w:szCs w:val="17"/>
          <w:color w:val="auto"/>
        </w:rPr>
      </w:pPr>
    </w:p>
    <w:p>
      <w:pPr>
        <w:ind w:left="940" w:hanging="432"/>
        <w:spacing w:after="0" w:line="289" w:lineRule="auto"/>
        <w:tabs>
          <w:tab w:leader="none" w:pos="9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Consistent with the Company’s previous public disclosures regarding identified material weaknesses in its internal control over financial reporting, the Company’s internal control over financial reporting requires an upgrade in personnel and systems.</w:t>
      </w:r>
    </w:p>
    <w:p>
      <w:pPr>
        <w:spacing w:after="0" w:line="105" w:lineRule="exact"/>
        <w:rPr>
          <w:rFonts w:ascii="Arial" w:cs="Arial" w:eastAsia="Arial" w:hAnsi="Arial"/>
          <w:sz w:val="17"/>
          <w:szCs w:val="17"/>
          <w:color w:val="auto"/>
        </w:rPr>
      </w:pPr>
    </w:p>
    <w:p>
      <w:pPr>
        <w:ind w:left="940" w:hanging="432"/>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Company’s corporate culture failed to sufficiently prioritize compliance.</w:t>
      </w:r>
    </w:p>
    <w:p>
      <w:pPr>
        <w:spacing w:after="0" w:line="171" w:lineRule="exact"/>
        <w:rPr>
          <w:rFonts w:ascii="Arial" w:cs="Arial" w:eastAsia="Arial" w:hAnsi="Arial"/>
          <w:sz w:val="17"/>
          <w:szCs w:val="17"/>
          <w:color w:val="auto"/>
        </w:rPr>
      </w:pPr>
    </w:p>
    <w:p>
      <w:pPr>
        <w:ind w:left="940" w:right="40" w:hanging="432"/>
        <w:spacing w:after="0" w:line="289" w:lineRule="auto"/>
        <w:tabs>
          <w:tab w:leader="none" w:pos="9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Jia’s role as an intermediary in leasing certain properties which were subsequently leased to the Company was not disclosed in the Company’s corporate housing disclosures.</w:t>
      </w:r>
    </w:p>
    <w:p>
      <w:pPr>
        <w:spacing w:after="0" w:line="105" w:lineRule="exact"/>
        <w:rPr>
          <w:rFonts w:ascii="Arial" w:cs="Arial" w:eastAsia="Arial" w:hAnsi="Arial"/>
          <w:sz w:val="17"/>
          <w:szCs w:val="17"/>
          <w:color w:val="auto"/>
        </w:rPr>
      </w:pPr>
    </w:p>
    <w:p>
      <w:pPr>
        <w:ind w:left="940" w:hanging="432"/>
        <w:spacing w:after="0" w:line="289" w:lineRule="auto"/>
        <w:tabs>
          <w:tab w:leader="none" w:pos="92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preparing the Company’s related party transaction disclosures, the Company failed to investigate and identify the sources of loans received from individuals and entities associated with Company employees.</w:t>
      </w:r>
    </w:p>
    <w:p>
      <w:pPr>
        <w:spacing w:after="0" w:line="106" w:lineRule="exact"/>
        <w:rPr>
          <w:sz w:val="20"/>
          <w:szCs w:val="20"/>
          <w:color w:val="auto"/>
        </w:rPr>
      </w:pPr>
    </w:p>
    <w:p>
      <w:pPr>
        <w:ind w:right="280" w:firstLine="629"/>
        <w:spacing w:after="0" w:line="273" w:lineRule="auto"/>
        <w:rPr>
          <w:sz w:val="20"/>
          <w:szCs w:val="20"/>
          <w:color w:val="auto"/>
        </w:rPr>
      </w:pPr>
      <w:r>
        <w:rPr>
          <w:rFonts w:ascii="Arial" w:cs="Arial" w:eastAsia="Arial" w:hAnsi="Arial"/>
          <w:sz w:val="17"/>
          <w:szCs w:val="17"/>
          <w:color w:val="auto"/>
        </w:rPr>
        <w:t>In addition, the investigation found that certain individuals failed to fully disclose to individuals involved in the preparation of the Company’s SEC filings their relationships with certain related parties and affiliated entities in connection with, and following, the Business Combination, and failed to fully disclose relevant information,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4" w:right="379" w:bottom="1440" w:gutter="0" w:footer="0" w:header="0"/>
        </w:sectPr>
      </w:pPr>
    </w:p>
    <w:bookmarkStart w:id="35" w:name="page36"/>
    <w:bookmarkEnd w:id="35"/>
    <w:p>
      <w:pPr>
        <w:ind w:right="1600"/>
        <w:spacing w:after="0" w:line="289" w:lineRule="auto"/>
        <w:rPr>
          <w:sz w:val="20"/>
          <w:szCs w:val="20"/>
          <w:color w:val="auto"/>
        </w:rPr>
      </w:pPr>
      <w:r>
        <w:rPr>
          <w:rFonts w:ascii="Arial" w:cs="Arial" w:eastAsia="Arial" w:hAnsi="Arial"/>
          <w:sz w:val="17"/>
          <w:szCs w:val="17"/>
          <w:color w:val="auto"/>
        </w:rPr>
        <w:t>information in connection with related parties and corporate governance to the Company’s independent registered public accounting firm PricewaterhouseCoopers LLP.</w:t>
      </w:r>
    </w:p>
    <w:p>
      <w:pPr>
        <w:spacing w:after="0" w:line="106" w:lineRule="exact"/>
        <w:rPr>
          <w:sz w:val="20"/>
          <w:szCs w:val="20"/>
          <w:color w:val="auto"/>
        </w:rPr>
      </w:pPr>
    </w:p>
    <w:p>
      <w:pPr>
        <w:ind w:firstLine="629"/>
        <w:spacing w:after="0" w:line="253" w:lineRule="auto"/>
        <w:rPr>
          <w:sz w:val="20"/>
          <w:szCs w:val="20"/>
          <w:color w:val="auto"/>
        </w:rPr>
      </w:pPr>
      <w:r>
        <w:rPr>
          <w:rFonts w:ascii="Arial" w:cs="Arial" w:eastAsia="Arial" w:hAnsi="Arial"/>
          <w:sz w:val="17"/>
          <w:szCs w:val="17"/>
          <w:color w:val="auto"/>
        </w:rPr>
        <w:t>The investigation also found that certain individuals failed to cooperate and withheld potentially relevant information in connection with the Special Committee Investigation. Among such individuals were non-executive officers or members of the management team of FF, and remedial action was taken with respect to such individuals based on the extent of non-cooperation and/or withholding of information. The failure to cooperate with the investigation was taken into consideration in connection with the remedial actions outlined below with respect to Jerry Wang, and withholding of information also affected the remedial action taken with respect to Matthias Aydt.</w:t>
      </w:r>
    </w:p>
    <w:p>
      <w:pPr>
        <w:spacing w:after="0" w:line="12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Based on the results of the investigation, the Special Committee concluded that, except as described above, other substantive allegations of inaccurate</w:t>
      </w:r>
    </w:p>
    <w:p>
      <w:pPr>
        <w:spacing w:after="0" w:line="49" w:lineRule="exact"/>
        <w:rPr>
          <w:sz w:val="20"/>
          <w:szCs w:val="20"/>
          <w:color w:val="auto"/>
        </w:rPr>
      </w:pPr>
    </w:p>
    <w:p>
      <w:pPr>
        <w:ind w:right="20" w:firstLine="5"/>
        <w:spacing w:after="0" w:line="249" w:lineRule="auto"/>
        <w:tabs>
          <w:tab w:leader="none" w:pos="238" w:val="left"/>
        </w:tabs>
        <w:numPr>
          <w:ilvl w:val="0"/>
          <w:numId w:val="22"/>
        </w:numPr>
        <w:rPr>
          <w:rFonts w:ascii="Arial" w:cs="Arial" w:eastAsia="Arial" w:hAnsi="Arial"/>
          <w:sz w:val="17"/>
          <w:szCs w:val="17"/>
          <w:color w:val="auto"/>
        </w:rPr>
      </w:pPr>
      <w:r>
        <w:rPr>
          <w:rFonts w:ascii="Arial" w:cs="Arial" w:eastAsia="Arial" w:hAnsi="Arial"/>
          <w:sz w:val="17"/>
          <w:szCs w:val="17"/>
          <w:color w:val="auto"/>
        </w:rPr>
        <w:t>disclosures that it evaluated, were not supported by the evidence reviewed. Although the investigation did not change any of the above findings with respect to the substantive allegations of inaccurate FF disclosures, the investigation did confirm the need for remedial actions to help ensure enhanced focus on compliance and disclosure within FF.</w:t>
      </w:r>
    </w:p>
    <w:p>
      <w:pPr>
        <w:spacing w:after="0" w:line="126" w:lineRule="exact"/>
        <w:rPr>
          <w:sz w:val="20"/>
          <w:szCs w:val="20"/>
          <w:color w:val="auto"/>
        </w:rPr>
      </w:pPr>
    </w:p>
    <w:p>
      <w:pPr>
        <w:ind w:right="300" w:firstLine="629"/>
        <w:spacing w:after="0" w:line="273" w:lineRule="auto"/>
        <w:rPr>
          <w:sz w:val="20"/>
          <w:szCs w:val="20"/>
          <w:color w:val="auto"/>
        </w:rPr>
      </w:pPr>
      <w:r>
        <w:rPr>
          <w:rFonts w:ascii="Arial" w:cs="Arial" w:eastAsia="Arial" w:hAnsi="Arial"/>
          <w:sz w:val="17"/>
          <w:szCs w:val="17"/>
          <w:color w:val="auto"/>
        </w:rPr>
        <w:t>Based on the results of the Special Committee Investigation and subsequent investigative work described above, the Board approved the following remedial actions:</w:t>
      </w:r>
    </w:p>
    <w:p>
      <w:pPr>
        <w:spacing w:after="0" w:line="105" w:lineRule="exact"/>
        <w:rPr>
          <w:sz w:val="20"/>
          <w:szCs w:val="20"/>
          <w:color w:val="auto"/>
        </w:rPr>
      </w:pPr>
    </w:p>
    <w:p>
      <w:pPr>
        <w:ind w:left="940" w:hanging="432"/>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certain remedial actions designed to enhance oversight and corporate governance of the Company, namely the following:</w:t>
      </w:r>
    </w:p>
    <w:p>
      <w:pPr>
        <w:spacing w:after="0" w:line="171" w:lineRule="exact"/>
        <w:rPr>
          <w:rFonts w:ascii="Arial" w:cs="Arial" w:eastAsia="Arial" w:hAnsi="Arial"/>
          <w:sz w:val="17"/>
          <w:szCs w:val="17"/>
          <w:color w:val="auto"/>
        </w:rPr>
      </w:pPr>
    </w:p>
    <w:p>
      <w:pPr>
        <w:ind w:left="940" w:hanging="432"/>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appointment of Susan Swenson, a member of the Board, to the newly created position of Executive Chairperson of FF.</w:t>
      </w:r>
    </w:p>
    <w:p>
      <w:pPr>
        <w:spacing w:after="0" w:line="171" w:lineRule="exact"/>
        <w:rPr>
          <w:rFonts w:ascii="Arial" w:cs="Arial" w:eastAsia="Arial" w:hAnsi="Arial"/>
          <w:sz w:val="17"/>
          <w:szCs w:val="17"/>
          <w:color w:val="auto"/>
        </w:rPr>
      </w:pPr>
    </w:p>
    <w:p>
      <w:pPr>
        <w:ind w:left="940" w:hanging="432"/>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Carsten Breitfeld, FF’s Chief Executive Officer, reporting directly to Ms. Swenson and receiving a 25% annual base salary reduction;</w:t>
      </w:r>
    </w:p>
    <w:p>
      <w:pPr>
        <w:spacing w:after="0" w:line="171" w:lineRule="exact"/>
        <w:rPr>
          <w:rFonts w:ascii="Arial" w:cs="Arial" w:eastAsia="Arial" w:hAnsi="Arial"/>
          <w:sz w:val="17"/>
          <w:szCs w:val="17"/>
          <w:color w:val="auto"/>
        </w:rPr>
      </w:pPr>
    </w:p>
    <w:p>
      <w:pPr>
        <w:ind w:left="940" w:right="260" w:hanging="432"/>
        <w:spacing w:after="0" w:line="289" w:lineRule="auto"/>
        <w:tabs>
          <w:tab w:leader="none" w:pos="928"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removal of Mr. Jia as an executive officer, although continuing in his position as Chief Product &amp; User Ecosystem Officer of the Company. Certain dual-reporting arrangements were eliminated with respect to Mr. Jia, and he is required to report directly to Ms. Swenson, a non-independent director nominated by FF Top. Mr. Jia also received a 25% annual base salary reduction, and his role was limited from a policy-making position to focusing on (a) Product and Mobility Ecosystem and (b) Internet, Artificial Intelligence, and Advanced R&amp;D technology;</w:t>
      </w:r>
    </w:p>
    <w:p>
      <w:pPr>
        <w:spacing w:after="0" w:line="109" w:lineRule="exact"/>
        <w:rPr>
          <w:rFonts w:ascii="Arial" w:cs="Arial" w:eastAsia="Arial" w:hAnsi="Arial"/>
          <w:sz w:val="16"/>
          <w:szCs w:val="16"/>
          <w:color w:val="auto"/>
        </w:rPr>
      </w:pPr>
    </w:p>
    <w:p>
      <w:pPr>
        <w:ind w:left="940" w:right="60" w:hanging="432"/>
        <w:spacing w:after="0" w:line="289" w:lineRule="auto"/>
        <w:tabs>
          <w:tab w:leader="none" w:pos="9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Matthias Aydt, Senior Vice President, Business Development and Product Definition and a director of the Company, being placed on probation as an executive officer for a six-month period, during which period he will remain as a non-independent member of the Board;</w:t>
      </w:r>
    </w:p>
    <w:p>
      <w:pPr>
        <w:spacing w:after="0" w:line="105" w:lineRule="exact"/>
        <w:rPr>
          <w:rFonts w:ascii="Arial" w:cs="Arial" w:eastAsia="Arial" w:hAnsi="Arial"/>
          <w:sz w:val="17"/>
          <w:szCs w:val="17"/>
          <w:color w:val="auto"/>
        </w:rPr>
      </w:pPr>
    </w:p>
    <w:p>
      <w:pPr>
        <w:ind w:left="940" w:hanging="432"/>
        <w:spacing w:after="0" w:line="314" w:lineRule="auto"/>
        <w:tabs>
          <w:tab w:leader="none" w:pos="928"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appointment of Jordan Vogel as Lead Independent Director; certain changes to the composition of Board committees, including Brian Krolicki stepping down from his role as Chairman of the Board and Chair of the Nominating and Corporate Governance Committee and becoming a member of the Audit and Compensation Committees of the Board; Jordan Vogel stepping down from the Nominating and Corporate Governance Committee; and Scott Vogel becoming the Chair of the Audit Committee and the Nominating and Corporate Governance Committee of the Board;</w:t>
      </w:r>
    </w:p>
    <w:p>
      <w:pPr>
        <w:spacing w:after="0" w:line="92" w:lineRule="exact"/>
        <w:rPr>
          <w:rFonts w:ascii="Arial" w:cs="Arial" w:eastAsia="Arial" w:hAnsi="Arial"/>
          <w:sz w:val="15"/>
          <w:szCs w:val="15"/>
          <w:color w:val="auto"/>
        </w:rPr>
      </w:pPr>
    </w:p>
    <w:p>
      <w:pPr>
        <w:ind w:left="940" w:right="180" w:hanging="432"/>
        <w:spacing w:after="0" w:line="289" w:lineRule="auto"/>
        <w:tabs>
          <w:tab w:leader="none" w:pos="9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suspension without pay of Jiawei (“Jerry”) Wang, the Company’s former Vice President, Global Capital Markets, who subsequently notified the Board of his decision to resign from FF on April 10, 2022;</w:t>
      </w:r>
    </w:p>
    <w:p>
      <w:pPr>
        <w:spacing w:after="0" w:line="105" w:lineRule="exact"/>
        <w:rPr>
          <w:rFonts w:ascii="Arial" w:cs="Arial" w:eastAsia="Arial" w:hAnsi="Arial"/>
          <w:sz w:val="17"/>
          <w:szCs w:val="17"/>
          <w:color w:val="auto"/>
        </w:rPr>
      </w:pPr>
    </w:p>
    <w:p>
      <w:pPr>
        <w:ind w:left="940" w:right="140" w:hanging="432"/>
        <w:spacing w:after="0" w:line="273" w:lineRule="auto"/>
        <w:tabs>
          <w:tab w:leader="none" w:pos="9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assessment and enhancement of FF’s policies and procedures regarding financial accounting and reporting and the upgrading of FF’s internal control over financial accounting and reporting, including by hiring additional financial reporting and accounting support, in each case at the direction of the Audit Committee;</w:t>
      </w:r>
    </w:p>
    <w:p>
      <w:pPr>
        <w:spacing w:after="0" w:line="118" w:lineRule="exact"/>
        <w:rPr>
          <w:rFonts w:ascii="Arial" w:cs="Arial" w:eastAsia="Arial" w:hAnsi="Arial"/>
          <w:sz w:val="17"/>
          <w:szCs w:val="17"/>
          <w:color w:val="auto"/>
        </w:rPr>
      </w:pPr>
    </w:p>
    <w:p>
      <w:pPr>
        <w:ind w:left="940" w:right="120" w:hanging="432"/>
        <w:spacing w:after="0" w:line="273" w:lineRule="auto"/>
        <w:tabs>
          <w:tab w:leader="none" w:pos="9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implementation of enhanced controls around FF’s contracting and related party transactions, including regular attestations by FF’s employees with authority to bind FF to contracts and related party transactions, for purposes of enabling FF to make complete and accurate disclosures regarding related party transactions;</w:t>
      </w:r>
    </w:p>
    <w:p>
      <w:pPr>
        <w:spacing w:after="0" w:line="118" w:lineRule="exact"/>
        <w:rPr>
          <w:rFonts w:ascii="Arial" w:cs="Arial" w:eastAsia="Arial" w:hAnsi="Arial"/>
          <w:sz w:val="17"/>
          <w:szCs w:val="17"/>
          <w:color w:val="auto"/>
        </w:rPr>
      </w:pPr>
    </w:p>
    <w:p>
      <w:pPr>
        <w:ind w:left="940" w:right="340" w:hanging="432"/>
        <w:spacing w:after="0" w:line="289" w:lineRule="auto"/>
        <w:tabs>
          <w:tab w:leader="none" w:pos="92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hiring of a Chief Compliance Officer, who reports on a dotted line to the Chair of the Audit Committee, and assessing and enhancing FF’s compliance policies and procedures;</w:t>
      </w:r>
    </w:p>
    <w:p>
      <w:pPr>
        <w:spacing w:after="0" w:line="105" w:lineRule="exact"/>
        <w:rPr>
          <w:rFonts w:ascii="Arial" w:cs="Arial" w:eastAsia="Arial" w:hAnsi="Arial"/>
          <w:sz w:val="17"/>
          <w:szCs w:val="17"/>
          <w:color w:val="auto"/>
        </w:rPr>
      </w:pPr>
    </w:p>
    <w:p>
      <w:pPr>
        <w:ind w:left="940" w:hanging="432"/>
        <w:spacing w:after="0"/>
        <w:tabs>
          <w:tab w:leader="none" w:pos="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implementation of a comprehensive training program for all directors and officers regarding, among other things, internal FF policies;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14" w:right="399" w:bottom="1440" w:gutter="0" w:footer="0" w:header="0"/>
        </w:sectPr>
      </w:pPr>
    </w:p>
    <w:bookmarkStart w:id="36" w:name="page37"/>
    <w:bookmarkEnd w:id="36"/>
    <w:p>
      <w:pPr>
        <w:ind w:left="940" w:hanging="432"/>
        <w:spacing w:after="0"/>
        <w:tabs>
          <w:tab w:leader="none" w:pos="9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separation of Jarret Johnson, FF’s Vice President, General Counsel and Secretary; and</w:t>
      </w:r>
    </w:p>
    <w:p>
      <w:pPr>
        <w:spacing w:after="0" w:line="171" w:lineRule="exact"/>
        <w:rPr>
          <w:rFonts w:ascii="Arial" w:cs="Arial" w:eastAsia="Arial" w:hAnsi="Arial"/>
          <w:sz w:val="17"/>
          <w:szCs w:val="17"/>
          <w:color w:val="auto"/>
        </w:rPr>
      </w:pPr>
    </w:p>
    <w:p>
      <w:pPr>
        <w:ind w:left="940" w:hanging="432"/>
        <w:spacing w:after="0"/>
        <w:tabs>
          <w:tab w:leader="none" w:pos="9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certain other disciplinary actions and terminations of employment with respect to other FF employees (none of whom is an executive officer).</w:t>
      </w:r>
    </w:p>
    <w:p>
      <w:pPr>
        <w:spacing w:after="0" w:line="183" w:lineRule="exact"/>
        <w:rPr>
          <w:sz w:val="20"/>
          <w:szCs w:val="20"/>
          <w:color w:val="auto"/>
        </w:rPr>
      </w:pPr>
    </w:p>
    <w:p>
      <w:pPr>
        <w:ind w:right="440" w:firstLine="440"/>
        <w:spacing w:after="0" w:line="322" w:lineRule="auto"/>
        <w:rPr>
          <w:sz w:val="20"/>
          <w:szCs w:val="20"/>
          <w:color w:val="auto"/>
        </w:rPr>
      </w:pPr>
      <w:r>
        <w:rPr>
          <w:rFonts w:ascii="Arial" w:cs="Arial" w:eastAsia="Arial" w:hAnsi="Arial"/>
          <w:sz w:val="16"/>
          <w:szCs w:val="16"/>
          <w:color w:val="auto"/>
        </w:rPr>
        <w:t>As of the date hereof, FF is continuing to implement the remedial actions approved by the Board. However, no assurance can be provided that such remedial measures will be implemented in a timely manner or will be successful to prevent inaccurate disclosures in the future.</w:t>
      </w:r>
    </w:p>
    <w:p>
      <w:pPr>
        <w:spacing w:after="0" w:line="83" w:lineRule="exact"/>
        <w:rPr>
          <w:sz w:val="20"/>
          <w:szCs w:val="20"/>
          <w:color w:val="auto"/>
        </w:rPr>
      </w:pPr>
    </w:p>
    <w:p>
      <w:pPr>
        <w:ind w:right="140" w:firstLine="440"/>
        <w:spacing w:after="0" w:line="279" w:lineRule="auto"/>
        <w:rPr>
          <w:sz w:val="20"/>
          <w:szCs w:val="20"/>
          <w:color w:val="auto"/>
        </w:rPr>
      </w:pPr>
      <w:r>
        <w:rPr>
          <w:rFonts w:ascii="Arial" w:cs="Arial" w:eastAsia="Arial" w:hAnsi="Arial"/>
          <w:sz w:val="16"/>
          <w:szCs w:val="16"/>
          <w:color w:val="auto"/>
        </w:rPr>
        <w:t>Subsequent to the Company announcing the completion of the Special Committee investigation on February 1, 2022, the Company, certain members of the management team and employees of the Company received a notice of preservation and subpoena from the staff of the SEC stating that the SEC had commenced a formal investigation relating to the matters that were the subject of the Special Committee investigation. The Company, which had previously voluntarily contacted the SEC in connection with the Special Committee investigation in October 2021, is cooperating fully with the SEC’s investigation. The outcome of such an investigation is difficult to predict. FF has incurred, and may continue to incur, significant expenses related to legal and other professional services in connection with the SEC investigation. At this stage, FF is unable to assess whether any material loss or adverse effect is reasonably possible as a result of the SEC’s investigation or estimate the range of any potential loss. In addition, in June 2022, FF received a preliminary request for information from the U.S. Department of Justice in connection with the matters that were the subject of the Special Committee investigation, and FF is in the process of responding to, and intends to fully cooperate with, such request.</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South Korea Contract Manufacturing</w:t>
      </w:r>
    </w:p>
    <w:p>
      <w:pPr>
        <w:spacing w:after="0" w:line="171" w:lineRule="exact"/>
        <w:rPr>
          <w:sz w:val="20"/>
          <w:szCs w:val="20"/>
          <w:color w:val="auto"/>
        </w:rPr>
      </w:pPr>
    </w:p>
    <w:p>
      <w:pPr>
        <w:ind w:right="80" w:firstLine="440"/>
        <w:spacing w:after="0" w:line="263" w:lineRule="auto"/>
        <w:rPr>
          <w:sz w:val="20"/>
          <w:szCs w:val="20"/>
          <w:color w:val="auto"/>
        </w:rPr>
      </w:pPr>
      <w:r>
        <w:rPr>
          <w:rFonts w:ascii="Arial" w:cs="Arial" w:eastAsia="Arial" w:hAnsi="Arial"/>
          <w:sz w:val="17"/>
          <w:szCs w:val="17"/>
          <w:color w:val="auto"/>
        </w:rPr>
        <w:t>In February 2022, the Company entered into a definitive contract manufacturing and supply agreement with Myoung Shin Co., Ltd. (“Myoung Shin”), a South Korea-based automotive manufacturer and parts supplier, to manufacture the Company’s second vehicle, the FF 81. The agreement has an initial term of nine years from the start of production of the FF 81, which is scheduled as early as 2024. Pursuant to the agreement, Myoung Shin shall maintain sufficient manufacturing capabilities and capacity to supply FF 81 vehicles to the Company in accordance with the Company’s forecasts and purchase orders. The Company and Myoung Shin will each manufacture and supply certain FF 81 parts that Myoung Shin will use in the manufacture and assembly of FF 81 vehicles.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Discussions and ATW Financing</w:t>
      </w:r>
    </w:p>
    <w:p>
      <w:pPr>
        <w:spacing w:after="0" w:line="158" w:lineRule="exact"/>
        <w:rPr>
          <w:sz w:val="20"/>
          <w:szCs w:val="20"/>
          <w:color w:val="auto"/>
        </w:rPr>
      </w:pPr>
    </w:p>
    <w:p>
      <w:pPr>
        <w:ind w:firstLine="440"/>
        <w:spacing w:after="0" w:line="261" w:lineRule="auto"/>
        <w:rPr>
          <w:sz w:val="20"/>
          <w:szCs w:val="20"/>
          <w:color w:val="auto"/>
        </w:rPr>
      </w:pPr>
      <w:r>
        <w:rPr>
          <w:rFonts w:ascii="Arial" w:cs="Arial" w:eastAsia="Arial" w:hAnsi="Arial"/>
          <w:sz w:val="17"/>
          <w:szCs w:val="17"/>
          <w:color w:val="auto"/>
        </w:rPr>
        <w:t>The Company’s business plan contemplates that it will begin deliveries of the FF 91 in the third or fourth quarter of 2022, with testing, validation, and certification also completed in the third or fourth quarter of 2022. In order to fund its ongoing operations and business plan, including to launch the FF 91, FF is seeking to raise additional capital from various fundraising efforts currently underway. Although the Company has taken steps to preserve its current cash position, including reducing spending, extending payment cycles and other similar measures, it projects that it will require additional funds by early September 2022 in order to continue operations, and will also need to raise additional financing during the remainder of 2022 and beyond 2022 to support the ramp-up of production of the FF 91 to generate revenues to put the Company on a path to cash flow break-even. Incremental capital needs beyond 2022 to fund development of the Company’s remaining product portfolio will be highly dependent on the market success and profitability of the FF 91 and the Company’s ability to accurately estimate and control costs.</w:t>
      </w:r>
    </w:p>
    <w:p>
      <w:pPr>
        <w:spacing w:after="0" w:line="133" w:lineRule="exact"/>
        <w:rPr>
          <w:sz w:val="20"/>
          <w:szCs w:val="20"/>
          <w:color w:val="auto"/>
        </w:rPr>
      </w:pPr>
    </w:p>
    <w:p>
      <w:pPr>
        <w:ind w:right="160" w:firstLine="440"/>
        <w:spacing w:after="0" w:line="265" w:lineRule="auto"/>
        <w:rPr>
          <w:sz w:val="20"/>
          <w:szCs w:val="20"/>
          <w:color w:val="auto"/>
        </w:rPr>
      </w:pPr>
      <w:r>
        <w:rPr>
          <w:rFonts w:ascii="Arial" w:cs="Arial" w:eastAsia="Arial" w:hAnsi="Arial"/>
          <w:sz w:val="17"/>
          <w:szCs w:val="17"/>
          <w:color w:val="auto"/>
        </w:rPr>
        <w:t xml:space="preserve">On August 14, 2022, the Company entered into a definitive Securities Purchase Agreement (the “SPA”) with FF Simplicity Ventures LLC, an entity affiliated with ATW Partners LLC, for $52 million of committed near-term convertible senior secured notes financing and the potential for an additional $248 million of incremental senior secured convertible notes financing to be funded within 90 days after the initial closing. See Note 15, </w:t>
      </w:r>
      <w:r>
        <w:rPr>
          <w:rFonts w:ascii="Arial" w:cs="Arial" w:eastAsia="Arial" w:hAnsi="Arial"/>
          <w:sz w:val="17"/>
          <w:szCs w:val="17"/>
          <w:i w:val="1"/>
          <w:iCs w:val="1"/>
          <w:color w:val="auto"/>
        </w:rPr>
        <w:t>Subsequent Events – New</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ATW Financing </w:t>
      </w:r>
      <w:r>
        <w:rPr>
          <w:rFonts w:ascii="Arial" w:cs="Arial" w:eastAsia="Arial" w:hAnsi="Arial"/>
          <w:sz w:val="17"/>
          <w:szCs w:val="17"/>
          <w:color w:val="auto"/>
        </w:rPr>
        <w:t>in FF’s unaudited Condensed Consolidated Financial Statements included above and the Company’s Form 8-K filed with the SEC on August</w:t>
      </w:r>
      <w:r>
        <w:rPr>
          <w:rFonts w:ascii="Arial" w:cs="Arial" w:eastAsia="Arial" w:hAnsi="Arial"/>
          <w:sz w:val="17"/>
          <w:szCs w:val="17"/>
          <w:i w:val="1"/>
          <w:iCs w:val="1"/>
          <w:color w:val="auto"/>
        </w:rPr>
        <w:t xml:space="preserve"> </w:t>
      </w:r>
      <w:r>
        <w:rPr>
          <w:rFonts w:ascii="Arial" w:cs="Arial" w:eastAsia="Arial" w:hAnsi="Arial"/>
          <w:sz w:val="17"/>
          <w:szCs w:val="17"/>
          <w:color w:val="auto"/>
        </w:rPr>
        <w:t>15, 2022 for additional information.</w:t>
      </w:r>
    </w:p>
    <w:p>
      <w:pPr>
        <w:spacing w:after="0" w:line="126" w:lineRule="exact"/>
        <w:rPr>
          <w:sz w:val="20"/>
          <w:szCs w:val="20"/>
          <w:color w:val="auto"/>
        </w:rPr>
      </w:pPr>
    </w:p>
    <w:p>
      <w:pPr>
        <w:ind w:right="40" w:firstLine="445"/>
        <w:spacing w:after="0" w:line="281" w:lineRule="auto"/>
        <w:tabs>
          <w:tab w:leader="none" w:pos="678" w:val="left"/>
        </w:tabs>
        <w:numPr>
          <w:ilvl w:val="0"/>
          <w:numId w:val="25"/>
        </w:numPr>
        <w:rPr>
          <w:rFonts w:ascii="Arial" w:cs="Arial" w:eastAsia="Arial" w:hAnsi="Arial"/>
          <w:sz w:val="16"/>
          <w:szCs w:val="16"/>
          <w:color w:val="auto"/>
        </w:rPr>
      </w:pPr>
      <w:r>
        <w:rPr>
          <w:rFonts w:ascii="Arial" w:cs="Arial" w:eastAsia="Arial" w:hAnsi="Arial"/>
          <w:sz w:val="16"/>
          <w:szCs w:val="16"/>
          <w:color w:val="auto"/>
        </w:rPr>
        <w:t>is actively engaged in confidential discussions and negotiations with entities affiliated with FF Top and other potential investors with respect to purchasing incremental convertible senior secured notes on the same terms as FF Simplicity Ventures LLC under the SPA. There can be no assurance that FF will be able to successfully obtain additional incremental convertible senior secured note purchasers under the SPA or other debt or equity financing in a timely manner or on acceptable terms, if at all. In particular, the Company is currently conducting due diligence on potential financing sources. This process has been time consuming and may result in the Company not being able to consummate any financing from these or other financing sources on a timely basis or at all. If we are unable to raise sufficient additional funds in the near term, we may be required to delay our launch plans for the FF 91, reduce headcount, liquidate our assets, file for bankruptcy, reorganize, merge with another entity, and/or cease operations.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14" w:right="399" w:bottom="1440" w:gutter="0" w:footer="0" w:header="0"/>
        </w:sectPr>
      </w:pPr>
    </w:p>
    <w:bookmarkStart w:id="37" w:name="page38"/>
    <w:bookmarkEnd w:id="37"/>
    <w:p>
      <w:pPr>
        <w:ind w:right="80" w:firstLine="440"/>
        <w:spacing w:after="0" w:line="261" w:lineRule="auto"/>
        <w:rPr>
          <w:sz w:val="20"/>
          <w:szCs w:val="20"/>
          <w:color w:val="auto"/>
        </w:rPr>
      </w:pPr>
      <w:r>
        <w:rPr>
          <w:rFonts w:ascii="Arial" w:cs="Arial" w:eastAsia="Arial" w:hAnsi="Arial"/>
          <w:sz w:val="17"/>
          <w:szCs w:val="17"/>
          <w:color w:val="auto"/>
        </w:rPr>
        <w:t>FF’s cash needs after the launch of the FF 91 will depend on the extent to which FF’s actual costs vary from FF’s estimates and FF’s ability to control these costs and raise additional funds. Any challenges in supplier engagements, delays in ramping capacity or labor at the Hanford facility or for sales and service engagements, rising prices of materials, or ongoing global supply chain disruptions may further increase the need for additional capital to launch the FF 91 series. In particular, recently, some suppliers have threatened to terminate their relationship with the Company because of late payments or requested accelerated payments and other terms and conditions as a result of our past payment history and concerns about the Company’s financial condition, leading to less favorable payment terms than the Company had anticipated, and delaying or putting at risk certain deliveries. The Company is in active negotiations with these suppliers to minimize these risks. Apart from the FF 91 series, substantial additional capital will be required to fund operations, research, development, and design efforts for future vehicles.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FF’s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Factors Affecting Operating Results (in thousands)</w:t>
      </w:r>
    </w:p>
    <w:p>
      <w:pPr>
        <w:spacing w:after="0" w:line="177" w:lineRule="exact"/>
        <w:rPr>
          <w:sz w:val="20"/>
          <w:szCs w:val="20"/>
          <w:color w:val="auto"/>
        </w:rPr>
      </w:pPr>
    </w:p>
    <w:p>
      <w:pPr>
        <w:ind w:right="280" w:firstLine="440"/>
        <w:spacing w:after="0" w:line="289" w:lineRule="auto"/>
        <w:rPr>
          <w:sz w:val="20"/>
          <w:szCs w:val="20"/>
          <w:color w:val="auto"/>
        </w:rPr>
      </w:pPr>
      <w:r>
        <w:rPr>
          <w:rFonts w:ascii="Arial" w:cs="Arial" w:eastAsia="Arial" w:hAnsi="Arial"/>
          <w:sz w:val="17"/>
          <w:szCs w:val="17"/>
          <w:color w:val="auto"/>
        </w:rPr>
        <w:t>FF’s performance and future success depend on several factors that present significant opportunities but also pose risks and challenges including those discussed below and in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in the Form 10-K, as updated by Part II, Item 1A of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Faraday Future Vehicle Launch</w:t>
      </w:r>
    </w:p>
    <w:p>
      <w:pPr>
        <w:spacing w:after="0" w:line="171" w:lineRule="exact"/>
        <w:rPr>
          <w:sz w:val="20"/>
          <w:szCs w:val="20"/>
          <w:color w:val="auto"/>
        </w:rPr>
      </w:pPr>
    </w:p>
    <w:p>
      <w:pPr>
        <w:ind w:right="200" w:firstLine="445"/>
        <w:spacing w:after="0" w:line="273" w:lineRule="auto"/>
        <w:tabs>
          <w:tab w:leader="none" w:pos="678"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expects to derive revenue from the sale of the FF 91, which FF anticipates to begin delivering to customers in the third or fourth quarter of 2022. FF plans to manufacture the FF 91 in its own manufacturing facility in Hanford, California. The FF 81, FF 71, and SLMD electric vehicle models are in various stages of development and are planned to be released after the FF 91.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Production and Operations</w:t>
      </w:r>
    </w:p>
    <w:p>
      <w:pPr>
        <w:spacing w:after="0" w:line="171" w:lineRule="exact"/>
        <w:rPr>
          <w:sz w:val="20"/>
          <w:szCs w:val="20"/>
          <w:color w:val="auto"/>
        </w:rPr>
      </w:pPr>
    </w:p>
    <w:p>
      <w:pPr>
        <w:ind w:right="280" w:firstLine="445"/>
        <w:spacing w:after="0" w:line="263" w:lineRule="auto"/>
        <w:tabs>
          <w:tab w:leader="none" w:pos="678"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expects to continue to incur significant operating costs that will impact its future profitability, including research and development expenses as it introduces new models and improves existing models; capital expenditures for the expansion of its manufacturing capacities; additional operating costs and expenses for production ramp-up; raw material procurement costs; general and administrative expenses as it scales its operations; interest expense from debt financing activities; and selling and distribution expenses as it builds its brand and markets its vehicles. FF may incur significant costs in connection with its services once it delivers the FF 91, including servicing and warranty costs. FF’s ability to become profitable in the future will depend on its ability to successfully market its vehicles and control its costs.</w:t>
      </w:r>
    </w:p>
    <w:p>
      <w:pPr>
        <w:spacing w:after="0" w:line="129" w:lineRule="exact"/>
        <w:rPr>
          <w:sz w:val="20"/>
          <w:szCs w:val="20"/>
          <w:color w:val="auto"/>
        </w:rPr>
      </w:pPr>
    </w:p>
    <w:p>
      <w:pPr>
        <w:ind w:firstLine="440"/>
        <w:spacing w:after="0" w:line="280" w:lineRule="auto"/>
        <w:rPr>
          <w:sz w:val="20"/>
          <w:szCs w:val="20"/>
          <w:color w:val="auto"/>
        </w:rPr>
      </w:pPr>
      <w:r>
        <w:rPr>
          <w:rFonts w:ascii="Arial" w:cs="Arial" w:eastAsia="Arial" w:hAnsi="Arial"/>
          <w:sz w:val="16"/>
          <w:szCs w:val="16"/>
          <w:color w:val="auto"/>
        </w:rPr>
        <w:t xml:space="preserve">To date, FF has not yet sold any electric vehicles. As a result, FF will require substantial additional capital to develop products and fund operations for the foreseeable future. Until FF can generate sufficient revenue from product sales, FF will fund its ongoing operations through a combination of various funding and financing alternatives, including equipment leasing and construction financing of the Hanford, California manufacturing facility, secured syndicated debt financing, convertible notes, working capital loans, and equity offerings, among other options. The particular funding mechanisms, terms, timing, and amounts are dependent on the Company’s assessment of opportunities available in the marketplace and the circumstances of the business at the relevant time. Any delays in the successful completion of its Hanford, California manufacturing facility will impact FF’s ability to generate revenue. For additional discussion of the substantial doubt about FF’s ability to continue as a going concern, see Note 2,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in the notes to the unaudited Condensed Consolidated Financial Statements and for further details on liquidity, please see the “Liquidity and Capital Resources” section below.</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177" w:lineRule="exact"/>
        <w:rPr>
          <w:sz w:val="20"/>
          <w:szCs w:val="20"/>
          <w:color w:val="auto"/>
        </w:rPr>
      </w:pPr>
    </w:p>
    <w:p>
      <w:pPr>
        <w:ind w:right="460" w:firstLine="445"/>
        <w:spacing w:after="0" w:line="289" w:lineRule="auto"/>
        <w:tabs>
          <w:tab w:leader="none" w:pos="678" w:val="left"/>
        </w:tabs>
        <w:numPr>
          <w:ilvl w:val="0"/>
          <w:numId w:val="28"/>
        </w:numPr>
        <w:rPr>
          <w:rFonts w:ascii="Arial" w:cs="Arial" w:eastAsia="Arial" w:hAnsi="Arial"/>
          <w:sz w:val="17"/>
          <w:szCs w:val="17"/>
          <w:color w:val="auto"/>
        </w:rPr>
      </w:pPr>
      <w:r>
        <w:rPr>
          <w:rFonts w:ascii="Arial" w:cs="Arial" w:eastAsia="Arial" w:hAnsi="Arial"/>
          <w:sz w:val="17"/>
          <w:szCs w:val="17"/>
          <w:color w:val="auto"/>
        </w:rPr>
        <w:t>is a development stage company and has not generated any revenue to date. FF’s anticipated introduction of the FF 91, its first vehicle launch, is expected to generate the majority of FF’s future revenue while other vehicles are in development.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Expenses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w:t>
      </w:r>
    </w:p>
    <w:p>
      <w:pPr>
        <w:spacing w:after="0" w:line="171" w:lineRule="exact"/>
        <w:rPr>
          <w:sz w:val="20"/>
          <w:szCs w:val="20"/>
          <w:color w:val="auto"/>
        </w:rPr>
      </w:pPr>
    </w:p>
    <w:p>
      <w:pPr>
        <w:ind w:right="180" w:firstLine="440"/>
        <w:spacing w:after="0" w:line="267" w:lineRule="auto"/>
        <w:rPr>
          <w:sz w:val="20"/>
          <w:szCs w:val="20"/>
          <w:color w:val="auto"/>
        </w:rPr>
      </w:pPr>
      <w:r>
        <w:rPr>
          <w:rFonts w:ascii="Arial" w:cs="Arial" w:eastAsia="Arial" w:hAnsi="Arial"/>
          <w:sz w:val="17"/>
          <w:szCs w:val="17"/>
          <w:color w:val="auto"/>
        </w:rPr>
        <w:t>Research and development activities represent a significant part of FF’s business. FF’s research and development efforts focus on the design and development of FF’s electric vehicles and continuing to prepare its prototype electric vehicles to exceed industry standards for compliance, innovation, and performance. Research and development expenses consist of personnel-related costs (including salaries, bonuses, benefits, and stock-based compensation) for FF’s employees focused on research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38" w:name="page39"/>
    <w:bookmarkEnd w:id="38"/>
    <w:p>
      <w:pPr>
        <w:ind w:right="220"/>
        <w:spacing w:after="0" w:line="273" w:lineRule="auto"/>
        <w:rPr>
          <w:sz w:val="20"/>
          <w:szCs w:val="20"/>
          <w:color w:val="auto"/>
        </w:rPr>
      </w:pPr>
      <w:r>
        <w:rPr>
          <w:rFonts w:ascii="Arial" w:cs="Arial" w:eastAsia="Arial" w:hAnsi="Arial"/>
          <w:sz w:val="17"/>
          <w:szCs w:val="17"/>
          <w:color w:val="auto"/>
        </w:rPr>
        <w:t>development activities, other related costs, depreciation, and an allocation of overhead. FF expects research and development expenses to increase as FF continues to develop its vehicles. FF anticipates an increase in activities in the U.S. and China, where FF’s research and development operations are primarily located.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171" w:lineRule="exact"/>
        <w:rPr>
          <w:sz w:val="20"/>
          <w:szCs w:val="20"/>
          <w:color w:val="auto"/>
        </w:rPr>
      </w:pPr>
    </w:p>
    <w:p>
      <w:pPr>
        <w:ind w:right="140" w:firstLine="440"/>
        <w:spacing w:after="0" w:line="267" w:lineRule="auto"/>
        <w:rPr>
          <w:sz w:val="20"/>
          <w:szCs w:val="20"/>
          <w:color w:val="auto"/>
        </w:rPr>
      </w:pPr>
      <w:r>
        <w:rPr>
          <w:rFonts w:ascii="Arial" w:cs="Arial" w:eastAsia="Arial" w:hAnsi="Arial"/>
          <w:sz w:val="17"/>
          <w:szCs w:val="17"/>
          <w:color w:val="auto"/>
        </w:rPr>
        <w:t>Sales and marketing expenses consist primarily of personnel-related costs (including salaries, bonuses, benefits, and stock-based compensation) for FF’s employees focused on sales and marketing, costs associated with sales and marketing activities, and an allocation of overhead. Marketing activities are those related to introducing FF’s brand and its electric vehicle prototypes to the market. FF expects selling and marketing expenses to continue to increase as FF brings its electric vehicles to market and seeks to generate sales.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71" w:lineRule="exact"/>
        <w:rPr>
          <w:sz w:val="20"/>
          <w:szCs w:val="20"/>
          <w:color w:val="auto"/>
        </w:rPr>
      </w:pPr>
    </w:p>
    <w:p>
      <w:pPr>
        <w:ind w:right="20" w:firstLine="440"/>
        <w:spacing w:after="0" w:line="263" w:lineRule="auto"/>
        <w:rPr>
          <w:sz w:val="20"/>
          <w:szCs w:val="20"/>
          <w:color w:val="auto"/>
        </w:rPr>
      </w:pPr>
      <w:r>
        <w:rPr>
          <w:rFonts w:ascii="Arial" w:cs="Arial" w:eastAsia="Arial" w:hAnsi="Arial"/>
          <w:sz w:val="17"/>
          <w:szCs w:val="17"/>
          <w:color w:val="auto"/>
        </w:rPr>
        <w:t>General and administrative expenses consist primarily of personnel-related costs, (including salaries, bonuses, benefits, and stock-based compensation) for employees associated with administrative services such as legal, human resources, information technology, accounting and finance, other related costs, and legal loss contingency expenses, which are FF’s estimates of future legal settlements. These expenses also include certain third-party consulting services, certain facilities costs, and any corporate overhead costs not allocated to other expense categories. FF expects its general and administrative expenses to increase as FF continues to grow its business. FF also anticipates that it will incur additional costs for employees and third-party consulting services now that it operates as a public company.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Measurements</w:t>
      </w:r>
    </w:p>
    <w:p>
      <w:pPr>
        <w:spacing w:after="0" w:line="17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Change in fair value measurements consists of the losses and gains as a result of fair value measurements of certain financial instruments which FF records at fair value. Changes in fair value measurement of related party notes payable and notes payable have decreased following the Business Combination as the majority of the liabilities converted to equity or were paid in cash.</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Related Party Interest Expense</w:t>
      </w:r>
    </w:p>
    <w:p>
      <w:pPr>
        <w:spacing w:after="0" w:line="171" w:lineRule="exact"/>
        <w:rPr>
          <w:sz w:val="20"/>
          <w:szCs w:val="20"/>
          <w:color w:val="auto"/>
        </w:rPr>
      </w:pPr>
    </w:p>
    <w:p>
      <w:pPr>
        <w:ind w:right="200" w:firstLine="440"/>
        <w:spacing w:after="0" w:line="322" w:lineRule="auto"/>
        <w:rPr>
          <w:sz w:val="20"/>
          <w:szCs w:val="20"/>
          <w:color w:val="auto"/>
        </w:rPr>
      </w:pPr>
      <w:r>
        <w:rPr>
          <w:rFonts w:ascii="Arial" w:cs="Arial" w:eastAsia="Arial" w:hAnsi="Arial"/>
          <w:sz w:val="16"/>
          <w:szCs w:val="16"/>
          <w:color w:val="auto"/>
        </w:rPr>
        <w:t>Related party interest expense consists of interest expense on notes payable with related parties. Related party interest expense has decreased relative to prior periods, as the majority of related party notes payable converted to equity upon completion of the Business Combination.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71"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Interest expense primarily consists of interest on outstanding notes payable, capital leases, certain supplier payables, and vendor payables in trust. Interest expense decreased as the majority of notes payable and vendor payables in trust were either settled in cash or converted to equity upon completion of the Business Combination.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net</w:t>
      </w:r>
    </w:p>
    <w:p>
      <w:pPr>
        <w:spacing w:after="0" w:line="171" w:lineRule="exact"/>
        <w:rPr>
          <w:sz w:val="20"/>
          <w:szCs w:val="20"/>
          <w:color w:val="auto"/>
        </w:rPr>
      </w:pPr>
    </w:p>
    <w:p>
      <w:pPr>
        <w:ind w:right="220" w:firstLine="440"/>
        <w:spacing w:after="0" w:line="273" w:lineRule="auto"/>
        <w:rPr>
          <w:sz w:val="20"/>
          <w:szCs w:val="20"/>
          <w:color w:val="auto"/>
        </w:rPr>
      </w:pPr>
      <w:r>
        <w:rPr>
          <w:rFonts w:ascii="Arial" w:cs="Arial" w:eastAsia="Arial" w:hAnsi="Arial"/>
          <w:sz w:val="17"/>
          <w:szCs w:val="17"/>
          <w:color w:val="auto"/>
        </w:rPr>
        <w:t>Other expense, net consists of foreign currency transaction gains and losses and other expenses such as bank fees and late charges. Foreign currency transaction gains and losses are generated by revaluation of debt and the settlements of invoices denominated in currencies other than the functional currency. FF expects other expense to fluctuate as FF continues to transact internationally.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 (Unaudited)</w:t>
      </w:r>
    </w:p>
    <w:p>
      <w:pPr>
        <w:spacing w:after="0" w:line="177" w:lineRule="exact"/>
        <w:rPr>
          <w:sz w:val="20"/>
          <w:szCs w:val="20"/>
          <w:color w:val="auto"/>
        </w:rPr>
      </w:pPr>
    </w:p>
    <w:p>
      <w:pPr>
        <w:jc w:val="both"/>
        <w:ind w:right="200" w:firstLine="445"/>
        <w:spacing w:after="0" w:line="359" w:lineRule="auto"/>
        <w:tabs>
          <w:tab w:leader="none" w:pos="678" w:val="left"/>
        </w:tabs>
        <w:numPr>
          <w:ilvl w:val="0"/>
          <w:numId w:val="29"/>
        </w:numPr>
        <w:rPr>
          <w:rFonts w:ascii="Arial" w:cs="Arial" w:eastAsia="Arial" w:hAnsi="Arial"/>
          <w:sz w:val="15"/>
          <w:szCs w:val="15"/>
          <w:color w:val="auto"/>
        </w:rPr>
      </w:pPr>
      <w:r>
        <w:rPr>
          <w:rFonts w:ascii="Arial" w:cs="Arial" w:eastAsia="Arial" w:hAnsi="Arial"/>
          <w:sz w:val="15"/>
          <w:szCs w:val="15"/>
          <w:color w:val="auto"/>
        </w:rPr>
        <w:t>has not generated any revenue from the design, development, manufacturing, engineering, sale, or distribution of its electric vehicles. Please refer to the section “</w:t>
      </w:r>
      <w:r>
        <w:rPr>
          <w:rFonts w:ascii="Arial" w:cs="Arial" w:eastAsia="Arial" w:hAnsi="Arial"/>
          <w:sz w:val="15"/>
          <w:szCs w:val="15"/>
          <w:i w:val="1"/>
          <w:iCs w:val="1"/>
          <w:color w:val="auto"/>
        </w:rPr>
        <w:t>Risk Factors</w:t>
      </w:r>
      <w:r>
        <w:rPr>
          <w:rFonts w:ascii="Arial" w:cs="Arial" w:eastAsia="Arial" w:hAnsi="Arial"/>
          <w:sz w:val="15"/>
          <w:szCs w:val="15"/>
          <w:color w:val="auto"/>
        </w:rPr>
        <w:t>” in the Form 10-K, as updated by Part II, Item 1A of this Report. for a full discussion on the risks and uncertainties related to costs.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Comparison of the Three Months Ended June 30, 2022 and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4"/>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8,673</w:t>
            </w:r>
          </w:p>
        </w:tc>
        <w:tc>
          <w:tcPr>
            <w:tcW w:w="0" w:type="dxa"/>
            <w:vAlign w:val="bottom"/>
          </w:tcPr>
          <w:p>
            <w:pPr>
              <w:spacing w:after="0"/>
              <w:rPr>
                <w:sz w:val="1"/>
                <w:szCs w:val="1"/>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2,585</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33,253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16,430</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Total operating expenses</w:t>
            </w: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137,466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27,688</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(137,466)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(27,688)</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measurements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(10,730)</w:t>
            </w:r>
          </w:p>
        </w:tc>
        <w:tc>
          <w:tcPr>
            <w:tcW w:w="0" w:type="dxa"/>
            <w:vAlign w:val="bottom"/>
          </w:tcPr>
          <w:p>
            <w:pPr>
              <w:spacing w:after="0"/>
              <w:rPr>
                <w:sz w:val="1"/>
                <w:szCs w:val="1"/>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(8,390)</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Related party interest expense</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(4,415)</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net</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(1,552)</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(52,775)</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provision</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loss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(141,694)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(52,775)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i w:val="1"/>
                <w:iCs w:val="1"/>
                <w:color w:val="auto"/>
              </w:rPr>
              <w:t>Research and Development</w:t>
            </w: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52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24"/>
                <w:szCs w:val="24"/>
                <w:color w:val="auto"/>
              </w:rPr>
            </w:pPr>
          </w:p>
        </w:tc>
        <w:tc>
          <w:tcPr>
            <w:tcW w:w="1640" w:type="dxa"/>
            <w:vAlign w:val="bottom"/>
            <w:gridSpan w:val="3"/>
          </w:tcPr>
          <w:p>
            <w:pPr>
              <w:jc w:val="right"/>
              <w:ind w:right="93"/>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Amount</w:t>
            </w: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89,342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increase in research and development expense for the three months ended June 30, 2022 was primarily due to the increase in engineering, design, and</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testing (“ED&amp;T”) services of $57,398 as the Company re-engaged suppliers and made significant purchases for ED&amp;T services to progress the development of</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FF 91; an increase in personnel and compensation related expenses of $16,523, increase in stock-based compensation expense of $2,830, and employee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benefits expense of $1,729 due to increased headcount; an increase in rent related expense of $2,600 and an increase in information technology expense of</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$3,318 due to an increase in business activities and headcount, and amortization of prepaid hosting costs incurred for the three months ended June 30, 2022 with</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auto"/>
        </w:rPr>
        <w:t>no such charges occurring in the same period in 2021; an increase of $3,733 in professional service expense, and an increase in travel related expense of $853</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due to an increase in business activities.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174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03"/>
        </w:trPr>
        <w:tc>
          <w:tcPr>
            <w:tcW w:w="5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Arial" w:cs="Arial" w:eastAsia="Arial" w:hAnsi="Arial"/>
                <w:sz w:val="16"/>
                <w:szCs w:val="16"/>
                <w:b w:val="1"/>
                <w:bCs w:val="1"/>
                <w:color w:val="auto"/>
              </w:rPr>
              <w:t>%</w:t>
            </w:r>
          </w:p>
        </w:tc>
      </w:tr>
      <w:tr>
        <w:trPr>
          <w:trHeight w:val="21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3,613</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139.8 %</w:t>
            </w:r>
          </w:p>
        </w:tc>
      </w:tr>
    </w:tbl>
    <w:p>
      <w:pPr>
        <w:spacing w:after="0" w:line="223" w:lineRule="exact"/>
        <w:rPr>
          <w:sz w:val="20"/>
          <w:szCs w:val="20"/>
          <w:color w:val="auto"/>
        </w:rPr>
      </w:pPr>
    </w:p>
    <w:p>
      <w:pPr>
        <w:ind w:right="240" w:firstLine="440"/>
        <w:spacing w:after="0" w:line="289" w:lineRule="auto"/>
        <w:rPr>
          <w:sz w:val="20"/>
          <w:szCs w:val="20"/>
          <w:color w:val="auto"/>
        </w:rPr>
      </w:pPr>
      <w:r>
        <w:rPr>
          <w:rFonts w:ascii="Arial" w:cs="Arial" w:eastAsia="Arial" w:hAnsi="Arial"/>
          <w:sz w:val="16"/>
          <w:szCs w:val="16"/>
          <w:color w:val="auto"/>
        </w:rPr>
        <w:t>The increase in sales and marketing expense for the three months ended June 30, 2022 was primarily due to an increase in personnel and compensation related expenses of $2,425, increase in stock-based compensation related expenses of $163, increase in employee benefits related expenses of $126 all due to increase in headcount; an increase in marketing related expenses of $198 due to an increase in marketing efforts; an increase in rent and related expenses of $371; and an increase in information technology expense of $144 due to increase in business activities and headcount.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302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174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03"/>
        </w:trPr>
        <w:tc>
          <w:tcPr>
            <w:tcW w:w="516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Arial" w:cs="Arial" w:eastAsia="Arial" w:hAnsi="Arial"/>
                <w:sz w:val="16"/>
                <w:szCs w:val="16"/>
                <w:b w:val="1"/>
                <w:bCs w:val="1"/>
                <w:color w:val="auto"/>
              </w:rPr>
              <w:t>%</w:t>
            </w:r>
          </w:p>
        </w:tc>
      </w:tr>
      <w:tr>
        <w:trPr>
          <w:trHeight w:val="21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33,253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16,823</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102.4 %</w:t>
            </w:r>
          </w:p>
        </w:tc>
      </w:tr>
    </w:tbl>
    <w:p>
      <w:pPr>
        <w:spacing w:after="0" w:line="236" w:lineRule="exact"/>
        <w:rPr>
          <w:sz w:val="20"/>
          <w:szCs w:val="20"/>
          <w:color w:val="auto"/>
        </w:rPr>
      </w:pPr>
    </w:p>
    <w:p>
      <w:pPr>
        <w:ind w:right="260" w:firstLine="440"/>
        <w:spacing w:after="0" w:line="289" w:lineRule="auto"/>
        <w:rPr>
          <w:sz w:val="20"/>
          <w:szCs w:val="20"/>
          <w:color w:val="auto"/>
        </w:rPr>
      </w:pPr>
      <w:r>
        <w:rPr>
          <w:rFonts w:ascii="Arial" w:cs="Arial" w:eastAsia="Arial" w:hAnsi="Arial"/>
          <w:sz w:val="17"/>
          <w:szCs w:val="17"/>
          <w:color w:val="auto"/>
        </w:rPr>
        <w:t>The increase in general and administrative expense for the three months ended June 30, 2022 was primarily due to the increase in professional services primarily related to the Special Committee Investigation, financing efforts and governance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sectPr>
      </w:pPr>
    </w:p>
    <w:bookmarkStart w:id="40" w:name="page41"/>
    <w:bookmarkEnd w:id="40"/>
    <w:p>
      <w:pPr>
        <w:ind w:right="100"/>
        <w:spacing w:after="0" w:line="273" w:lineRule="auto"/>
        <w:rPr>
          <w:sz w:val="20"/>
          <w:szCs w:val="20"/>
          <w:color w:val="auto"/>
        </w:rPr>
      </w:pPr>
      <w:r>
        <w:rPr>
          <w:rFonts w:ascii="Arial" w:cs="Arial" w:eastAsia="Arial" w:hAnsi="Arial"/>
          <w:sz w:val="17"/>
          <w:szCs w:val="17"/>
          <w:color w:val="auto"/>
        </w:rPr>
        <w:t>matters in the amount of $12,310; increase in personnel and compensation related expenses of $5,811; and increase in insurance related expenses of $1,965 due to an increase in headcount, partially offset by a decrease in legal related accruals of $2,909; and a decrease in allocated depreciation and amortization related expenses of $1,618.</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Measurements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300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174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03"/>
        </w:trPr>
        <w:tc>
          <w:tcPr>
            <w:tcW w:w="51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Arial" w:cs="Arial" w:eastAsia="Arial" w:hAnsi="Arial"/>
                <w:sz w:val="16"/>
                <w:szCs w:val="16"/>
                <w:b w:val="1"/>
                <w:bCs w:val="1"/>
                <w:color w:val="auto"/>
              </w:rPr>
              <w:t>%</w:t>
            </w:r>
          </w:p>
        </w:tc>
      </w:tr>
      <w:tr>
        <w:trPr>
          <w:trHeight w:val="21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fair value measurements</w:t>
            </w: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5,158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15,888</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148.1 %</w:t>
            </w:r>
          </w:p>
        </w:tc>
      </w:tr>
    </w:tbl>
    <w:p>
      <w:pPr>
        <w:spacing w:after="0" w:line="23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The change in the change in fair value measurements for the three months ended June 30, 2022, as compared to the same period in 2021, primarily related to the remeasurement of notes payable issued during the second quarter of 2021, which contained significant original issue discounts and favorable conversion features, resulting in a charge to fair value measurement expense during the second quarter of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174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03"/>
        </w:trPr>
        <w:tc>
          <w:tcPr>
            <w:tcW w:w="5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Arial" w:cs="Arial" w:eastAsia="Arial" w:hAnsi="Arial"/>
                <w:sz w:val="16"/>
                <w:szCs w:val="16"/>
                <w:b w:val="1"/>
                <w:bCs w:val="1"/>
                <w:color w:val="auto"/>
              </w:rPr>
              <w:t>%</w:t>
            </w:r>
          </w:p>
        </w:tc>
      </w:tr>
      <w:tr>
        <w:trPr>
          <w:trHeight w:val="21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7,262</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86.6 %</w:t>
            </w:r>
          </w:p>
        </w:tc>
      </w:tr>
    </w:tbl>
    <w:p>
      <w:pPr>
        <w:spacing w:after="0" w:line="223"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The decrease in interest expense for the three months ended June 30, 2022, was due to the Company’s settlement of $85,202 principal of notes payable upon Closing of the Business Combination, repayment of $85,000 principal amount of notes payable in the three months ended March 31, 2022 and certain debt issuance costs and warrant valuations charged to interest expense in the three months ended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Related Party Interest Expense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174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03"/>
        </w:trPr>
        <w:tc>
          <w:tcPr>
            <w:tcW w:w="5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Arial" w:cs="Arial" w:eastAsia="Arial" w:hAnsi="Arial"/>
                <w:sz w:val="16"/>
                <w:szCs w:val="16"/>
                <w:b w:val="1"/>
                <w:bCs w:val="1"/>
                <w:color w:val="auto"/>
              </w:rPr>
              <w:t>%</w:t>
            </w:r>
          </w:p>
        </w:tc>
      </w:tr>
      <w:tr>
        <w:trPr>
          <w:trHeight w:val="21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Related party interest expense</w:t>
            </w: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3,102</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70.3 %</w:t>
            </w:r>
          </w:p>
        </w:tc>
      </w:tr>
    </w:tbl>
    <w:p>
      <w:pPr>
        <w:spacing w:after="0" w:line="236" w:lineRule="exact"/>
        <w:rPr>
          <w:sz w:val="20"/>
          <w:szCs w:val="20"/>
          <w:color w:val="auto"/>
        </w:rPr>
      </w:pPr>
    </w:p>
    <w:p>
      <w:pPr>
        <w:jc w:val="both"/>
        <w:ind w:right="120" w:firstLine="440"/>
        <w:spacing w:after="0" w:line="273" w:lineRule="auto"/>
        <w:rPr>
          <w:sz w:val="20"/>
          <w:szCs w:val="20"/>
          <w:color w:val="auto"/>
        </w:rPr>
      </w:pPr>
      <w:r>
        <w:rPr>
          <w:rFonts w:ascii="Arial" w:cs="Arial" w:eastAsia="Arial" w:hAnsi="Arial"/>
          <w:sz w:val="17"/>
          <w:szCs w:val="17"/>
          <w:color w:val="auto"/>
        </w:rPr>
        <w:t>The decrease in related party interest expense for the three months ended June 30, 2022 as compared to the same period in 2021 was primarily due to the related parties notes payable principal balance outstanding decreasing period over period, $12,962 as of June 30, 2022 and $298,667 as of June 30, 2021 which resulted in less interest expense being incurred.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174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03"/>
        </w:trPr>
        <w:tc>
          <w:tcPr>
            <w:tcW w:w="5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Arial" w:cs="Arial" w:eastAsia="Arial" w:hAnsi="Arial"/>
                <w:sz w:val="16"/>
                <w:szCs w:val="16"/>
                <w:b w:val="1"/>
                <w:bCs w:val="1"/>
                <w:color w:val="auto"/>
              </w:rPr>
              <w:t>%</w:t>
            </w:r>
          </w:p>
        </w:tc>
      </w:tr>
      <w:tr>
        <w:trPr>
          <w:trHeight w:val="21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(5,384)</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(346.9)%</w:t>
            </w:r>
          </w:p>
        </w:tc>
      </w:tr>
    </w:tbl>
    <w:p>
      <w:pPr>
        <w:spacing w:after="0" w:line="236" w:lineRule="exact"/>
        <w:rPr>
          <w:sz w:val="20"/>
          <w:szCs w:val="20"/>
          <w:color w:val="auto"/>
        </w:rPr>
      </w:pPr>
    </w:p>
    <w:p>
      <w:pPr>
        <w:jc w:val="both"/>
        <w:ind w:right="40" w:firstLine="440"/>
        <w:spacing w:after="0" w:line="273" w:lineRule="auto"/>
        <w:rPr>
          <w:sz w:val="20"/>
          <w:szCs w:val="20"/>
          <w:color w:val="auto"/>
        </w:rPr>
      </w:pPr>
      <w:r>
        <w:rPr>
          <w:rFonts w:ascii="Arial" w:cs="Arial" w:eastAsia="Arial" w:hAnsi="Arial"/>
          <w:sz w:val="17"/>
          <w:szCs w:val="17"/>
          <w:color w:val="auto"/>
        </w:rPr>
        <w:t>The increase in other expense, net for the three months ended June 30, 2022 as compared to the same period in 2021 was primarily due to $4,634 increase in foreign exchange loss primarily related to deposits held in other currencies than the U.S. Dollar that are remeasured at the end of each period and $300 due to bank and franchise charges.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color w:val="auto"/>
        </w:rPr>
        <w:t>Comparison of the Six Months Ended June 30, 2022 and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4"/>
          </w:tcPr>
          <w:p>
            <w:pPr>
              <w:ind w:left="30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2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5"/>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Statements of Operations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212,950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15,394</w:t>
            </w:r>
          </w:p>
        </w:tc>
        <w:tc>
          <w:tcPr>
            <w:tcW w:w="0" w:type="dxa"/>
            <w:vAlign w:val="bottom"/>
          </w:tcPr>
          <w:p>
            <w:pPr>
              <w:spacing w:after="0"/>
              <w:rPr>
                <w:sz w:val="1"/>
                <w:szCs w:val="1"/>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12,384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4,267</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61,133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27,423</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286,467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47,084</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(286,467)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(47,084)</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measurements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(37,647)</w:t>
            </w:r>
          </w:p>
        </w:tc>
        <w:tc>
          <w:tcPr>
            <w:tcW w:w="0" w:type="dxa"/>
            <w:vAlign w:val="bottom"/>
          </w:tcPr>
          <w:p>
            <w:pPr>
              <w:spacing w:after="0"/>
              <w:rPr>
                <w:sz w:val="1"/>
                <w:szCs w:val="1"/>
                <w:color w:val="auto"/>
              </w:rPr>
            </w:pPr>
          </w:p>
        </w:tc>
      </w:tr>
      <w:tr>
        <w:trPr>
          <w:trHeight w:val="222"/>
        </w:trPr>
        <w:tc>
          <w:tcPr>
            <w:tcW w:w="526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(4,874)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(27,564)</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Related party 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(14,167)</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net</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(294,783)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(128,297)</w:t>
            </w:r>
          </w:p>
        </w:tc>
        <w:tc>
          <w:tcPr>
            <w:tcW w:w="0" w:type="dxa"/>
            <w:vAlign w:val="bottom"/>
          </w:tcPr>
          <w:p>
            <w:pPr>
              <w:spacing w:after="0"/>
              <w:rPr>
                <w:sz w:val="1"/>
                <w:szCs w:val="1"/>
                <w:color w:val="auto"/>
              </w:rPr>
            </w:pPr>
          </w:p>
        </w:tc>
      </w:tr>
      <w:tr>
        <w:trPr>
          <w:trHeight w:val="222"/>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provision</w:t>
            </w: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41"/>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(294,792)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(128,300)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i w:val="1"/>
                <w:iCs w:val="1"/>
                <w:color w:val="auto"/>
              </w:rPr>
              <w:t>Research and Development</w:t>
            </w: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5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gridSpan w:val="5"/>
          </w:tcPr>
          <w:p>
            <w:pPr>
              <w:ind w:left="24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24"/>
                <w:szCs w:val="24"/>
                <w:color w:val="auto"/>
              </w:rPr>
            </w:pPr>
          </w:p>
        </w:tc>
        <w:tc>
          <w:tcPr>
            <w:tcW w:w="1640" w:type="dxa"/>
            <w:vAlign w:val="bottom"/>
            <w:gridSpan w:val="3"/>
          </w:tcPr>
          <w:p>
            <w:pPr>
              <w:ind w:left="960"/>
              <w:spacing w:after="0"/>
              <w:rPr>
                <w:sz w:val="20"/>
                <w:szCs w:val="20"/>
                <w:color w:val="auto"/>
              </w:rPr>
            </w:pPr>
            <w:r>
              <w:rPr>
                <w:rFonts w:ascii="Arial" w:cs="Arial" w:eastAsia="Arial" w:hAnsi="Arial"/>
                <w:sz w:val="16"/>
                <w:szCs w:val="16"/>
                <w:b w:val="1"/>
                <w:bCs w:val="1"/>
                <w:color w:val="auto"/>
              </w:rPr>
              <w:t>Change</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Amount</w:t>
            </w:r>
          </w:p>
        </w:tc>
        <w:tc>
          <w:tcPr>
            <w:tcW w:w="3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554"/>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212,950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197,556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right="20" w:firstLine="440"/>
        <w:spacing w:after="0" w:line="263" w:lineRule="auto"/>
        <w:rPr>
          <w:sz w:val="20"/>
          <w:szCs w:val="20"/>
          <w:color w:val="auto"/>
        </w:rPr>
      </w:pPr>
      <w:r>
        <w:rPr>
          <w:rFonts w:ascii="Arial" w:cs="Arial" w:eastAsia="Arial" w:hAnsi="Arial"/>
          <w:sz w:val="17"/>
          <w:szCs w:val="17"/>
          <w:color w:val="auto"/>
        </w:rPr>
        <w:t>The increase in research and development expense for the six months ended June 30, 2022 was primarily due to the increase in ED&amp;T services of $139,963 and professional services related expense of $3,861 as the Company re-engaged suppliers and made significant purchases of ED&amp;T services to progress the development of the FF 91; the increase in personnel and compensation related expenses, stock-based compensation expenses, and employee benefits expenses of $33,587, $3,709 and $3,624, respectively, due to increased headcount; an increase in information technology related expense of $6,335 due to increases in business activities and headcount and amortization of prepaid hosting costs incurred for the six months ended June 30, 2022 with no such charges occurring in the same period in 2021.</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gridSpan w:val="5"/>
          </w:tcPr>
          <w:p>
            <w:pPr>
              <w:ind w:left="22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18"/>
                <w:szCs w:val="18"/>
                <w:color w:val="auto"/>
              </w:rPr>
            </w:pPr>
          </w:p>
        </w:tc>
        <w:tc>
          <w:tcPr>
            <w:tcW w:w="174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03"/>
        </w:trPr>
        <w:tc>
          <w:tcPr>
            <w:tcW w:w="5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ind w:left="2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Arial" w:cs="Arial" w:eastAsia="Arial" w:hAnsi="Arial"/>
                <w:sz w:val="16"/>
                <w:szCs w:val="16"/>
                <w:b w:val="1"/>
                <w:bCs w:val="1"/>
                <w:color w:val="auto"/>
              </w:rPr>
              <w:t>%</w:t>
            </w:r>
          </w:p>
        </w:tc>
      </w:tr>
      <w:tr>
        <w:trPr>
          <w:trHeight w:val="21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2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8,117</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190.2 %</w:t>
            </w:r>
          </w:p>
        </w:tc>
      </w:tr>
    </w:tbl>
    <w:p>
      <w:pPr>
        <w:spacing w:after="0" w:line="223" w:lineRule="exact"/>
        <w:rPr>
          <w:sz w:val="20"/>
          <w:szCs w:val="20"/>
          <w:color w:val="auto"/>
        </w:rPr>
      </w:pPr>
    </w:p>
    <w:p>
      <w:pPr>
        <w:ind w:right="380" w:firstLine="440"/>
        <w:spacing w:after="0" w:line="325" w:lineRule="auto"/>
        <w:rPr>
          <w:sz w:val="20"/>
          <w:szCs w:val="20"/>
          <w:color w:val="auto"/>
        </w:rPr>
      </w:pPr>
      <w:r>
        <w:rPr>
          <w:rFonts w:ascii="Arial" w:cs="Arial" w:eastAsia="Arial" w:hAnsi="Arial"/>
          <w:sz w:val="15"/>
          <w:szCs w:val="15"/>
          <w:color w:val="auto"/>
        </w:rPr>
        <w:t>The increase in sales and marketing expense for the six months ended June 30, 2022 was primarily due to an increase in personnel and compensation related expenses of $5,909, stock-based compensation expense of $315 and employee benefits of $374, due to an increase in headcount; an increase in marketing expenses of $801 due to an increase in marketing efforts and an increase in rent relates expense of $546 due to increase in business activity.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3020" w:type="dxa"/>
            <w:vAlign w:val="bottom"/>
            <w:gridSpan w:val="6"/>
          </w:tcPr>
          <w:p>
            <w:pPr>
              <w:ind w:left="54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18"/>
                <w:szCs w:val="18"/>
                <w:color w:val="auto"/>
              </w:rPr>
            </w:pPr>
          </w:p>
        </w:tc>
        <w:tc>
          <w:tcPr>
            <w:tcW w:w="174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03"/>
        </w:trPr>
        <w:tc>
          <w:tcPr>
            <w:tcW w:w="5160" w:type="dxa"/>
            <w:vAlign w:val="bottom"/>
          </w:tcPr>
          <w:p>
            <w:pPr>
              <w:spacing w:after="0"/>
              <w:rPr>
                <w:sz w:val="17"/>
                <w:szCs w:val="17"/>
                <w:color w:val="auto"/>
              </w:rPr>
            </w:pPr>
          </w:p>
        </w:tc>
        <w:tc>
          <w:tcPr>
            <w:tcW w:w="880" w:type="dxa"/>
            <w:vAlign w:val="bottom"/>
            <w:tcBorders>
              <w:top w:val="single" w:sz="8" w:color="auto"/>
            </w:tcBorders>
          </w:tcPr>
          <w:p>
            <w:pPr>
              <w:ind w:left="560"/>
              <w:spacing w:after="0"/>
              <w:rPr>
                <w:sz w:val="20"/>
                <w:szCs w:val="20"/>
                <w:color w:val="auto"/>
              </w:rPr>
            </w:pPr>
            <w:r>
              <w:rPr>
                <w:rFonts w:ascii="Arial" w:cs="Arial" w:eastAsia="Arial" w:hAnsi="Arial"/>
                <w:sz w:val="16"/>
                <w:szCs w:val="16"/>
                <w:b w:val="1"/>
                <w:bCs w:val="1"/>
                <w:color w:val="auto"/>
                <w:w w:val="84"/>
              </w:rPr>
              <w:t>2022</w:t>
            </w: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Arial" w:cs="Arial" w:eastAsia="Arial" w:hAnsi="Arial"/>
                <w:sz w:val="16"/>
                <w:szCs w:val="16"/>
                <w:b w:val="1"/>
                <w:bCs w:val="1"/>
                <w:color w:val="auto"/>
              </w:rPr>
              <w:t>%</w:t>
            </w:r>
          </w:p>
        </w:tc>
      </w:tr>
      <w:tr>
        <w:trPr>
          <w:trHeight w:val="21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61,133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27,423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33,710</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122.9 %</w:t>
            </w:r>
          </w:p>
        </w:tc>
      </w:tr>
    </w:tbl>
    <w:p>
      <w:pPr>
        <w:spacing w:after="0" w:line="236"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The increase in general and administrative expense for the six months ended June 30, 2022 was primarily due to an increase in professional service expenses related to the Special Committee Investigation in the amount of $27,172, partially offset by a decrease in legal related accruals of $2,909; an increase in personnel and compensation related expenses of $7,851</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sectPr>
      </w:pPr>
    </w:p>
    <w:bookmarkStart w:id="42" w:name="page43"/>
    <w:bookmarkEnd w:id="42"/>
    <w:p>
      <w:pPr>
        <w:ind w:right="100"/>
        <w:spacing w:after="0" w:line="289" w:lineRule="auto"/>
        <w:rPr>
          <w:sz w:val="20"/>
          <w:szCs w:val="20"/>
          <w:color w:val="auto"/>
        </w:rPr>
      </w:pPr>
      <w:r>
        <w:rPr>
          <w:rFonts w:ascii="Arial" w:cs="Arial" w:eastAsia="Arial" w:hAnsi="Arial"/>
          <w:sz w:val="17"/>
          <w:szCs w:val="17"/>
          <w:color w:val="auto"/>
        </w:rPr>
        <w:t>due to headcount changes and an increase in information technology related expenses of $609 due to increase in business activity; partially offset by a decrease in allocated depreciation and amortization related expenses of 1,663 due change in headcount and business activities.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Fair Value Measurements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3000" w:type="dxa"/>
            <w:vAlign w:val="bottom"/>
            <w:gridSpan w:val="6"/>
          </w:tcPr>
          <w:p>
            <w:pPr>
              <w:ind w:left="54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18"/>
                <w:szCs w:val="18"/>
                <w:color w:val="auto"/>
              </w:rPr>
            </w:pPr>
          </w:p>
        </w:tc>
        <w:tc>
          <w:tcPr>
            <w:tcW w:w="174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03"/>
        </w:trPr>
        <w:tc>
          <w:tcPr>
            <w:tcW w:w="5180" w:type="dxa"/>
            <w:vAlign w:val="bottom"/>
          </w:tcPr>
          <w:p>
            <w:pPr>
              <w:spacing w:after="0"/>
              <w:rPr>
                <w:sz w:val="17"/>
                <w:szCs w:val="17"/>
                <w:color w:val="auto"/>
              </w:rPr>
            </w:pPr>
          </w:p>
        </w:tc>
        <w:tc>
          <w:tcPr>
            <w:tcW w:w="900" w:type="dxa"/>
            <w:vAlign w:val="bottom"/>
            <w:tcBorders>
              <w:top w:val="single" w:sz="8" w:color="auto"/>
            </w:tcBorders>
          </w:tcPr>
          <w:p>
            <w:pPr>
              <w:ind w:left="540"/>
              <w:spacing w:after="0"/>
              <w:rPr>
                <w:sz w:val="20"/>
                <w:szCs w:val="20"/>
                <w:color w:val="auto"/>
              </w:rPr>
            </w:pPr>
            <w:r>
              <w:rPr>
                <w:rFonts w:ascii="Arial" w:cs="Arial" w:eastAsia="Arial" w:hAnsi="Arial"/>
                <w:sz w:val="16"/>
                <w:szCs w:val="16"/>
                <w:b w:val="1"/>
                <w:bCs w:val="1"/>
                <w:color w:val="auto"/>
                <w:w w:val="95"/>
              </w:rPr>
              <w:t>2022</w:t>
            </w: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Arial" w:cs="Arial" w:eastAsia="Arial" w:hAnsi="Arial"/>
                <w:sz w:val="16"/>
                <w:szCs w:val="16"/>
                <w:b w:val="1"/>
                <w:bCs w:val="1"/>
                <w:color w:val="auto"/>
              </w:rPr>
              <w:t>%</w:t>
            </w:r>
          </w:p>
        </w:tc>
      </w:tr>
      <w:tr>
        <w:trPr>
          <w:trHeight w:val="219"/>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fair value measurements</w:t>
            </w: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7"/>
                <w:szCs w:val="17"/>
                <w:color w:val="auto"/>
                <w:w w:val="8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6,344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43,991</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116.9 %</w:t>
            </w:r>
          </w:p>
        </w:tc>
      </w:tr>
    </w:tbl>
    <w:p>
      <w:pPr>
        <w:spacing w:after="0" w:line="236" w:lineRule="exact"/>
        <w:rPr>
          <w:sz w:val="20"/>
          <w:szCs w:val="20"/>
          <w:color w:val="auto"/>
        </w:rPr>
      </w:pPr>
    </w:p>
    <w:p>
      <w:pPr>
        <w:ind w:right="180" w:firstLine="440"/>
        <w:spacing w:after="0" w:line="273" w:lineRule="auto"/>
        <w:rPr>
          <w:sz w:val="20"/>
          <w:szCs w:val="20"/>
          <w:color w:val="auto"/>
        </w:rPr>
      </w:pPr>
      <w:r>
        <w:rPr>
          <w:rFonts w:ascii="Arial" w:cs="Arial" w:eastAsia="Arial" w:hAnsi="Arial"/>
          <w:sz w:val="17"/>
          <w:szCs w:val="17"/>
          <w:color w:val="auto"/>
        </w:rPr>
        <w:t>The change in the change in fair value measurements for the six months ended June 30, 2022, as compared to the same period in 2021, primarily related to the remeasurement of notes payable issued during the first quarter of 2021, which contained significant original issue discounts and favorable conversion features, resulting in a charge to fair value measurement expense during the six months ended June 30, 2021.</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3020" w:type="dxa"/>
            <w:vAlign w:val="bottom"/>
            <w:gridSpan w:val="6"/>
          </w:tcPr>
          <w:p>
            <w:pPr>
              <w:ind w:left="54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18"/>
                <w:szCs w:val="18"/>
                <w:color w:val="auto"/>
              </w:rPr>
            </w:pPr>
          </w:p>
        </w:tc>
        <w:tc>
          <w:tcPr>
            <w:tcW w:w="174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03"/>
        </w:trPr>
        <w:tc>
          <w:tcPr>
            <w:tcW w:w="5160" w:type="dxa"/>
            <w:vAlign w:val="bottom"/>
          </w:tcPr>
          <w:p>
            <w:pPr>
              <w:spacing w:after="0"/>
              <w:rPr>
                <w:sz w:val="17"/>
                <w:szCs w:val="17"/>
                <w:color w:val="auto"/>
              </w:rPr>
            </w:pPr>
          </w:p>
        </w:tc>
        <w:tc>
          <w:tcPr>
            <w:tcW w:w="880" w:type="dxa"/>
            <w:vAlign w:val="bottom"/>
            <w:tcBorders>
              <w:top w:val="single" w:sz="8" w:color="auto"/>
            </w:tcBorders>
          </w:tcPr>
          <w:p>
            <w:pPr>
              <w:ind w:left="560"/>
              <w:spacing w:after="0"/>
              <w:rPr>
                <w:sz w:val="20"/>
                <w:szCs w:val="20"/>
                <w:color w:val="auto"/>
              </w:rPr>
            </w:pPr>
            <w:r>
              <w:rPr>
                <w:rFonts w:ascii="Arial" w:cs="Arial" w:eastAsia="Arial" w:hAnsi="Arial"/>
                <w:sz w:val="16"/>
                <w:szCs w:val="16"/>
                <w:b w:val="1"/>
                <w:bCs w:val="1"/>
                <w:color w:val="auto"/>
                <w:w w:val="84"/>
              </w:rPr>
              <w:t>2022</w:t>
            </w: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Arial" w:cs="Arial" w:eastAsia="Arial" w:hAnsi="Arial"/>
                <w:sz w:val="16"/>
                <w:szCs w:val="16"/>
                <w:b w:val="1"/>
                <w:bCs w:val="1"/>
                <w:color w:val="auto"/>
              </w:rPr>
              <w:t>%</w:t>
            </w:r>
          </w:p>
        </w:tc>
      </w:tr>
      <w:tr>
        <w:trPr>
          <w:trHeight w:val="21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(4,874)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22,690</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82.3 %</w:t>
            </w:r>
          </w:p>
        </w:tc>
      </w:tr>
    </w:tbl>
    <w:p>
      <w:pPr>
        <w:spacing w:after="0" w:line="223" w:lineRule="exact"/>
        <w:rPr>
          <w:sz w:val="20"/>
          <w:szCs w:val="20"/>
          <w:color w:val="auto"/>
        </w:rPr>
      </w:pPr>
    </w:p>
    <w:p>
      <w:pPr>
        <w:jc w:val="both"/>
        <w:ind w:right="20" w:firstLine="440"/>
        <w:spacing w:after="0" w:line="273" w:lineRule="auto"/>
        <w:rPr>
          <w:sz w:val="20"/>
          <w:szCs w:val="20"/>
          <w:color w:val="auto"/>
        </w:rPr>
      </w:pPr>
      <w:r>
        <w:rPr>
          <w:rFonts w:ascii="Arial" w:cs="Arial" w:eastAsia="Arial" w:hAnsi="Arial"/>
          <w:sz w:val="17"/>
          <w:szCs w:val="17"/>
          <w:color w:val="auto"/>
        </w:rPr>
        <w:t>The decrease in interest expense for the six months ended June 30, 2022, was due to the Company’s settlement of $85,202 principal of notes payable upon Closing of the Business Combination, repayment of $85,000 principal amount of notes payable in the six months ended June 30, 2022 and certain debt issuance costs and warrant valuations charged to interest expense in the six months ended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Related Party Interest Expense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3020" w:type="dxa"/>
            <w:vAlign w:val="bottom"/>
            <w:gridSpan w:val="6"/>
          </w:tcPr>
          <w:p>
            <w:pPr>
              <w:ind w:left="54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18"/>
                <w:szCs w:val="18"/>
                <w:color w:val="auto"/>
              </w:rPr>
            </w:pPr>
          </w:p>
        </w:tc>
        <w:tc>
          <w:tcPr>
            <w:tcW w:w="1740" w:type="dxa"/>
            <w:vAlign w:val="bottom"/>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060" w:type="dxa"/>
            <w:vAlign w:val="bottom"/>
          </w:tcPr>
          <w:p>
            <w:pPr>
              <w:spacing w:after="0"/>
              <w:rPr>
                <w:sz w:val="18"/>
                <w:szCs w:val="18"/>
                <w:color w:val="auto"/>
              </w:rPr>
            </w:pPr>
          </w:p>
        </w:tc>
      </w:tr>
      <w:tr>
        <w:trPr>
          <w:trHeight w:val="203"/>
        </w:trPr>
        <w:tc>
          <w:tcPr>
            <w:tcW w:w="5160" w:type="dxa"/>
            <w:vAlign w:val="bottom"/>
          </w:tcPr>
          <w:p>
            <w:pPr>
              <w:spacing w:after="0"/>
              <w:rPr>
                <w:sz w:val="17"/>
                <w:szCs w:val="17"/>
                <w:color w:val="auto"/>
              </w:rPr>
            </w:pPr>
          </w:p>
        </w:tc>
        <w:tc>
          <w:tcPr>
            <w:tcW w:w="880" w:type="dxa"/>
            <w:vAlign w:val="bottom"/>
            <w:tcBorders>
              <w:top w:val="single" w:sz="8" w:color="auto"/>
            </w:tcBorders>
          </w:tcPr>
          <w:p>
            <w:pPr>
              <w:ind w:left="560"/>
              <w:spacing w:after="0"/>
              <w:rPr>
                <w:sz w:val="20"/>
                <w:szCs w:val="20"/>
                <w:color w:val="auto"/>
              </w:rPr>
            </w:pPr>
            <w:r>
              <w:rPr>
                <w:rFonts w:ascii="Arial" w:cs="Arial" w:eastAsia="Arial" w:hAnsi="Arial"/>
                <w:sz w:val="16"/>
                <w:szCs w:val="16"/>
                <w:b w:val="1"/>
                <w:bCs w:val="1"/>
                <w:color w:val="auto"/>
                <w:w w:val="84"/>
              </w:rPr>
              <w:t>2022</w:t>
            </w: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7"/>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60" w:type="dxa"/>
            <w:vAlign w:val="bottom"/>
            <w:tcBorders>
              <w:top w:val="single" w:sz="8" w:color="auto"/>
            </w:tcBorders>
          </w:tcPr>
          <w:p>
            <w:pPr>
              <w:jc w:val="right"/>
              <w:ind w:right="617"/>
              <w:spacing w:after="0"/>
              <w:rPr>
                <w:sz w:val="20"/>
                <w:szCs w:val="20"/>
                <w:color w:val="auto"/>
              </w:rPr>
            </w:pPr>
            <w:r>
              <w:rPr>
                <w:rFonts w:ascii="Arial" w:cs="Arial" w:eastAsia="Arial" w:hAnsi="Arial"/>
                <w:sz w:val="16"/>
                <w:szCs w:val="16"/>
                <w:b w:val="1"/>
                <w:bCs w:val="1"/>
                <w:color w:val="auto"/>
              </w:rPr>
              <w:t>%</w:t>
            </w:r>
          </w:p>
        </w:tc>
      </w:tr>
      <w:tr>
        <w:trPr>
          <w:trHeight w:val="21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Related party interest expense</w:t>
            </w: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(1,935)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12,232</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86.3 %</w:t>
            </w:r>
          </w:p>
        </w:tc>
      </w:tr>
    </w:tbl>
    <w:p>
      <w:pPr>
        <w:spacing w:after="0" w:line="236"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The decrease in related party interest expense for the six months ended June 30, 2022 as compared to the same period in 2021 was primarily due to the related parties notes payable principal balance outstanding decreasing period over period, $12,962 as of June 30, 2022 and $298,667 as of June 30, 2021 which resulted in less interest expense being incurred.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Expense, Net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8"/>
                <w:szCs w:val="18"/>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ind w:left="1020"/>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spacing w:after="0"/>
              <w:rPr>
                <w:sz w:val="18"/>
                <w:szCs w:val="18"/>
                <w:color w:val="auto"/>
              </w:rPr>
            </w:pPr>
          </w:p>
        </w:tc>
      </w:tr>
      <w:tr>
        <w:trPr>
          <w:trHeight w:val="203"/>
        </w:trPr>
        <w:tc>
          <w:tcPr>
            <w:tcW w:w="5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w:t>
            </w:r>
          </w:p>
        </w:tc>
        <w:tc>
          <w:tcPr>
            <w:tcW w:w="1060" w:type="dxa"/>
            <w:vAlign w:val="bottom"/>
          </w:tcPr>
          <w:p>
            <w:pPr>
              <w:jc w:val="right"/>
              <w:ind w:right="617"/>
              <w:spacing w:after="0"/>
              <w:rPr>
                <w:sz w:val="20"/>
                <w:szCs w:val="20"/>
                <w:color w:val="auto"/>
              </w:rPr>
            </w:pPr>
            <w:r>
              <w:rPr>
                <w:rFonts w:ascii="Arial" w:cs="Arial" w:eastAsia="Arial" w:hAnsi="Arial"/>
                <w:sz w:val="16"/>
                <w:szCs w:val="16"/>
                <w:b w:val="1"/>
                <w:bCs w:val="1"/>
                <w:color w:val="auto"/>
              </w:rPr>
              <w:t>%</w:t>
            </w:r>
          </w:p>
        </w:tc>
      </w:tr>
      <w:tr>
        <w:trPr>
          <w:trHeight w:val="21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expense, net</w:t>
            </w:r>
          </w:p>
        </w:tc>
        <w:tc>
          <w:tcPr>
            <w:tcW w:w="880" w:type="dxa"/>
            <w:vAlign w:val="bottom"/>
            <w:tcBorders>
              <w:top w:val="single" w:sz="8" w:color="auto"/>
            </w:tcBorders>
            <w:shd w:val="clear" w:color="auto" w:fill="CCEEFF"/>
          </w:tcPr>
          <w:p>
            <w:pPr>
              <w:jc w:val="right"/>
              <w:ind w:right="679"/>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(7,851)</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7"/>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(1,835)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(327.8)%</w:t>
            </w:r>
          </w:p>
        </w:tc>
      </w:tr>
    </w:tbl>
    <w:p>
      <w:pPr>
        <w:spacing w:after="0" w:line="236" w:lineRule="exact"/>
        <w:rPr>
          <w:sz w:val="20"/>
          <w:szCs w:val="20"/>
          <w:color w:val="auto"/>
        </w:rPr>
      </w:pPr>
    </w:p>
    <w:p>
      <w:pPr>
        <w:ind w:right="540" w:firstLine="440"/>
        <w:spacing w:after="0" w:line="359" w:lineRule="auto"/>
        <w:rPr>
          <w:sz w:val="20"/>
          <w:szCs w:val="20"/>
          <w:color w:val="auto"/>
        </w:rPr>
      </w:pPr>
      <w:r>
        <w:rPr>
          <w:rFonts w:ascii="Arial" w:cs="Arial" w:eastAsia="Arial" w:hAnsi="Arial"/>
          <w:sz w:val="15"/>
          <w:szCs w:val="15"/>
          <w:color w:val="auto"/>
        </w:rPr>
        <w:t>The increase in other expense, net for the six months ended June 30, 2022 as compared to the same period in 2021 was primarily due to increase in foreign exchange loss primarily related to deposits held in other currencies than the U.S. Dollar that are remeasured at the end of each period.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 (</w:t>
      </w:r>
      <w:r>
        <w:rPr>
          <w:rFonts w:ascii="Arial" w:cs="Arial" w:eastAsia="Arial" w:hAnsi="Arial"/>
          <w:sz w:val="17"/>
          <w:szCs w:val="17"/>
          <w:b w:val="1"/>
          <w:bCs w:val="1"/>
          <w:i w:val="1"/>
          <w:iCs w:val="1"/>
          <w:color w:val="auto"/>
        </w:rPr>
        <w:t>in thousands</w:t>
      </w:r>
      <w:r>
        <w:rPr>
          <w:rFonts w:ascii="Arial" w:cs="Arial" w:eastAsia="Arial" w:hAnsi="Arial"/>
          <w:sz w:val="17"/>
          <w:szCs w:val="17"/>
          <w:b w:val="1"/>
          <w:bCs w:val="1"/>
          <w:color w:val="auto"/>
        </w:rPr>
        <w:t>)</w:t>
      </w:r>
    </w:p>
    <w:p>
      <w:pPr>
        <w:spacing w:after="0" w:line="17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7"/>
          <w:szCs w:val="17"/>
          <w:color w:val="auto"/>
        </w:rPr>
        <w:t>As described in the “Overview” section of this MD&amp;A, the COVID-19 pandemic impacted FF’s ability to raise funds and may have a material adverse impact on future periods as FF prepares to bring its vehicles to market, including its cash flows from financing activities, which fund its operations. The extent of COVID-19’s impact on FF’s liquidity will depend upon, among other things, the duration and severity of the outbreak or subsequent outbreaks and related government responses, such as required physical distancing, restrictions on business operations and travel, the pace of recovery of economic activity and the impact to consumers, all of which are uncertain and difficult to predict. Refer to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in the Form 10-K for a full discussion of the risks associated with the COVID-19 pandemic.</w:t>
      </w:r>
    </w:p>
    <w:p>
      <w:pPr>
        <w:spacing w:after="0" w:line="129" w:lineRule="exact"/>
        <w:rPr>
          <w:sz w:val="20"/>
          <w:szCs w:val="20"/>
          <w:color w:val="auto"/>
        </w:rPr>
      </w:pPr>
    </w:p>
    <w:p>
      <w:pPr>
        <w:ind w:right="220" w:firstLine="440"/>
        <w:spacing w:after="0" w:line="289" w:lineRule="auto"/>
        <w:rPr>
          <w:sz w:val="20"/>
          <w:szCs w:val="20"/>
          <w:color w:val="auto"/>
        </w:rPr>
      </w:pPr>
      <w:r>
        <w:rPr>
          <w:rFonts w:ascii="Arial" w:cs="Arial" w:eastAsia="Arial" w:hAnsi="Arial"/>
          <w:sz w:val="17"/>
          <w:szCs w:val="17"/>
          <w:color w:val="auto"/>
        </w:rPr>
        <w:t>As of June 30, 2022, the Company’s principal source of liquidity was cash totaling $120,585, which was held for working capital and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3" w:name="page44"/>
    <w:bookmarkEnd w:id="43"/>
    <w:p>
      <w:pPr>
        <w:ind w:firstLine="440"/>
        <w:spacing w:after="0" w:line="280" w:lineRule="auto"/>
        <w:rPr>
          <w:sz w:val="20"/>
          <w:szCs w:val="20"/>
          <w:color w:val="auto"/>
        </w:rPr>
      </w:pPr>
      <w:r>
        <w:rPr>
          <w:rFonts w:ascii="Arial" w:cs="Arial" w:eastAsia="Arial" w:hAnsi="Arial"/>
          <w:sz w:val="16"/>
          <w:szCs w:val="16"/>
          <w:color w:val="auto"/>
        </w:rPr>
        <w:t>The Company’s business plan contemplates that it will begin deliveries of the FF 91 in the third or fourth quarter of 2022, with testing, validation, and certification also completed in the third or fourth quarter of 2022. In order to fund its ongoing operations and business plan, including to launch the FF 91, FF is seeking to raise additional capital from various fundraising efforts currently underway to supplement its cash on hand of $120,585 as of June 30, 2022. Although the Company has taken steps to preserve its current cash position, including reducing spending, extending payment cycles and other similar measures, it projects that it will require additional funds by early September 2022 in order to continue operations, and will also need to raise additional financing during the remainder of 2022 and beyond 2022 to support the ramp-up of production of the FF 91 to generate revenues to put the Company on a path to cash flow break-even. Incremental capital needs beyond 2022 to fund development of the Company’s remaining product portfolio will be highly dependent on the market success and profitability of the FF 91 and the Company’s ability to accurately estimate and control costs.</w:t>
      </w:r>
    </w:p>
    <w:p>
      <w:pPr>
        <w:spacing w:after="0" w:line="11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Since its formation, the Company has devoted substantial effort and capital resources to strategic planning, engineering, design, and development of its electric vehicle platform, development of initial electric vehicle models, and capital raising. Since inception, the Company has incurred cumulative losses from operations, negative cash flows from operating activities, and has an accumulated deficit of $3,219,308 as of June 30, 2022. After the closing of the Business Combination and the PIPE Financing on July 21, 2021, the Company received gross proceeds aggregating $990,983 which it used to settle certain liabilities and the remainder of which management has used to finance the ongoing operations of the business.</w:t>
      </w:r>
    </w:p>
    <w:p>
      <w:pPr>
        <w:spacing w:after="0" w:line="113" w:lineRule="exact"/>
        <w:rPr>
          <w:sz w:val="20"/>
          <w:szCs w:val="20"/>
          <w:color w:val="auto"/>
        </w:rPr>
      </w:pPr>
    </w:p>
    <w:p>
      <w:pPr>
        <w:ind w:firstLine="440"/>
        <w:spacing w:after="0" w:line="325" w:lineRule="auto"/>
        <w:rPr>
          <w:sz w:val="20"/>
          <w:szCs w:val="20"/>
          <w:color w:val="auto"/>
        </w:rPr>
      </w:pPr>
      <w:r>
        <w:rPr>
          <w:rFonts w:ascii="Arial" w:cs="Arial" w:eastAsia="Arial" w:hAnsi="Arial"/>
          <w:sz w:val="15"/>
          <w:szCs w:val="15"/>
          <w:color w:val="auto"/>
        </w:rPr>
        <w:t xml:space="preserve">The Company has funded its operations and capital needs primarily through the net proceeds received from capital contributions, the issuance of related party notes payable and notes payable (see Note 8, </w:t>
      </w:r>
      <w:r>
        <w:rPr>
          <w:rFonts w:ascii="Arial" w:cs="Arial" w:eastAsia="Arial" w:hAnsi="Arial"/>
          <w:sz w:val="15"/>
          <w:szCs w:val="15"/>
          <w:i w:val="1"/>
          <w:iCs w:val="1"/>
          <w:color w:val="auto"/>
        </w:rPr>
        <w:t>Related Party Notes Payable</w:t>
      </w:r>
      <w:r>
        <w:rPr>
          <w:rFonts w:ascii="Arial" w:cs="Arial" w:eastAsia="Arial" w:hAnsi="Arial"/>
          <w:sz w:val="15"/>
          <w:szCs w:val="15"/>
          <w:color w:val="auto"/>
        </w:rPr>
        <w:t xml:space="preserve"> and Note 9, </w:t>
      </w:r>
      <w:r>
        <w:rPr>
          <w:rFonts w:ascii="Arial" w:cs="Arial" w:eastAsia="Arial" w:hAnsi="Arial"/>
          <w:sz w:val="15"/>
          <w:szCs w:val="15"/>
          <w:i w:val="1"/>
          <w:iCs w:val="1"/>
          <w:color w:val="auto"/>
        </w:rPr>
        <w:t>Notes Payable</w:t>
      </w:r>
      <w:r>
        <w:rPr>
          <w:rFonts w:ascii="Arial" w:cs="Arial" w:eastAsia="Arial" w:hAnsi="Arial"/>
          <w:sz w:val="15"/>
          <w:szCs w:val="15"/>
          <w:color w:val="auto"/>
        </w:rPr>
        <w:t xml:space="preserve">), the sale of Preferred and Common Stock (see Note 12, </w:t>
      </w:r>
      <w:r>
        <w:rPr>
          <w:rFonts w:ascii="Arial" w:cs="Arial" w:eastAsia="Arial" w:hAnsi="Arial"/>
          <w:sz w:val="15"/>
          <w:szCs w:val="15"/>
          <w:i w:val="1"/>
          <w:iCs w:val="1"/>
          <w:color w:val="auto"/>
        </w:rPr>
        <w:t>Stockholders' Equity</w:t>
      </w:r>
      <w:r>
        <w:rPr>
          <w:rFonts w:ascii="Arial" w:cs="Arial" w:eastAsia="Arial" w:hAnsi="Arial"/>
          <w:sz w:val="15"/>
          <w:szCs w:val="15"/>
          <w:color w:val="auto"/>
        </w:rPr>
        <w:t xml:space="preserve">) and the net proceeds received from the Business Combination and the PIPE Financing (see Note 3, </w:t>
      </w:r>
      <w:r>
        <w:rPr>
          <w:rFonts w:ascii="Arial" w:cs="Arial" w:eastAsia="Arial" w:hAnsi="Arial"/>
          <w:sz w:val="15"/>
          <w:szCs w:val="15"/>
          <w:i w:val="1"/>
          <w:iCs w:val="1"/>
          <w:color w:val="auto"/>
        </w:rPr>
        <w:t>Business Combination</w:t>
      </w:r>
      <w:r>
        <w:rPr>
          <w:rFonts w:ascii="Arial" w:cs="Arial" w:eastAsia="Arial" w:hAnsi="Arial"/>
          <w:sz w:val="15"/>
          <w:szCs w:val="15"/>
          <w:color w:val="auto"/>
        </w:rPr>
        <w:t>).</w:t>
      </w:r>
    </w:p>
    <w:p>
      <w:pPr>
        <w:spacing w:after="0" w:line="85" w:lineRule="exact"/>
        <w:rPr>
          <w:sz w:val="20"/>
          <w:szCs w:val="20"/>
          <w:color w:val="auto"/>
        </w:rPr>
      </w:pPr>
    </w:p>
    <w:p>
      <w:pPr>
        <w:ind w:right="20" w:firstLine="440"/>
        <w:spacing w:after="0" w:line="260" w:lineRule="auto"/>
        <w:rPr>
          <w:sz w:val="20"/>
          <w:szCs w:val="20"/>
          <w:color w:val="auto"/>
        </w:rPr>
      </w:pPr>
      <w:r>
        <w:rPr>
          <w:rFonts w:ascii="Arial" w:cs="Arial" w:eastAsia="Arial" w:hAnsi="Arial"/>
          <w:sz w:val="17"/>
          <w:szCs w:val="17"/>
          <w:color w:val="auto"/>
        </w:rPr>
        <w:t xml:space="preserve">The Company’s ongoing liquidity needs will depend on the extent to which the Company’s actual costs vary from the Company’s estimates and the Company’s ability to control these costs, as well as the Company’s ability to raise additional funds. The timely achievement of the Company’s operating plan as well as its ability to maintain an adequate level of liquidity are subject to various risks associated with the Company’s ability to continue to successfully close additional sources of funding, control and effectively manage its costs, as well as factors outside of the Company’s control, including those related to global supply chain disruptions, the rising prices of materials, potential impact of the COVID-19 pandemic, and general macroeconomic conditions. Refer to the </w:t>
      </w:r>
      <w:r>
        <w:rPr>
          <w:rFonts w:ascii="Arial" w:cs="Arial" w:eastAsia="Arial" w:hAnsi="Arial"/>
          <w:sz w:val="17"/>
          <w:szCs w:val="17"/>
          <w:i w:val="1"/>
          <w:iCs w:val="1"/>
          <w:color w:val="auto"/>
        </w:rPr>
        <w:t>“Risk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Factors” section in Part I, Item 1A of the Company’s Annual Report on Form 10-K, as updated by Part II, Item 1A </w:t>
      </w:r>
      <w:r>
        <w:rPr>
          <w:rFonts w:ascii="Arial" w:cs="Arial" w:eastAsia="Arial" w:hAnsi="Arial"/>
          <w:sz w:val="17"/>
          <w:szCs w:val="17"/>
          <w:color w:val="auto"/>
        </w:rPr>
        <w:t>of this Quarterly Report on Form 10-Q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quarter ended June 30, 2022 (this “Report”) for a full discussion of the risks. The Company’s forecasts and projections of working capital reflect significant judgment and estimates for which there are inherent risks and uncertainties. The Company expects to continue to generate significant operating losses for the foreseeable future. The plans are dependent on the Company being able to continue to raise significant amounts of capital through the issuance of additional notes payable and equity securities.</w:t>
      </w:r>
    </w:p>
    <w:p>
      <w:pPr>
        <w:spacing w:after="0" w:line="135" w:lineRule="exact"/>
        <w:rPr>
          <w:sz w:val="20"/>
          <w:szCs w:val="20"/>
          <w:color w:val="auto"/>
        </w:rPr>
      </w:pPr>
    </w:p>
    <w:p>
      <w:pPr>
        <w:ind w:right="120" w:firstLine="440"/>
        <w:spacing w:after="0" w:line="265" w:lineRule="auto"/>
        <w:rPr>
          <w:sz w:val="20"/>
          <w:szCs w:val="20"/>
          <w:color w:val="auto"/>
        </w:rPr>
      </w:pPr>
      <w:r>
        <w:rPr>
          <w:rFonts w:ascii="Arial" w:cs="Arial" w:eastAsia="Arial" w:hAnsi="Arial"/>
          <w:sz w:val="17"/>
          <w:szCs w:val="17"/>
          <w:color w:val="auto"/>
        </w:rPr>
        <w:t>The Company has evaluated whether there are certain conditions and events, when considered in the aggregate, that raise substantial doubt about the Company’s ability to continue as a going concern within one year after the date that the unaudited Condensed Consolidated Financial Statements were issued. Based on its recurring losses from operations since inception and continued cash outflows from operating activities, the Company has concluded that there is substantial doubt about its ability to continue as a going concern for a period of one year from the date that these unaudited Condensed Consolidated Financial Statements were issued.</w:t>
      </w:r>
    </w:p>
    <w:p>
      <w:pPr>
        <w:spacing w:after="0" w:line="126" w:lineRule="exact"/>
        <w:rPr>
          <w:sz w:val="20"/>
          <w:szCs w:val="20"/>
          <w:color w:val="auto"/>
        </w:rPr>
      </w:pPr>
    </w:p>
    <w:p>
      <w:pPr>
        <w:ind w:right="20" w:firstLine="440"/>
        <w:spacing w:after="0" w:line="308" w:lineRule="auto"/>
        <w:rPr>
          <w:sz w:val="20"/>
          <w:szCs w:val="20"/>
          <w:color w:val="auto"/>
        </w:rPr>
      </w:pPr>
      <w:r>
        <w:rPr>
          <w:rFonts w:ascii="Arial" w:cs="Arial" w:eastAsia="Arial" w:hAnsi="Arial"/>
          <w:sz w:val="15"/>
          <w:szCs w:val="15"/>
          <w:color w:val="auto"/>
        </w:rPr>
        <w:t>There can be no assurance that the Company will be successful in achieving its strategic plans, that the Company’s future funding raises will be sufficient to support its ongoing operations, or that any additional financing will be available in a timely manner or on acceptable terms, if at all. If events or circumstances occur such that the Company does not meet its strategic plans, the Company will be required to reduce discretionary spending, alter or scale back vehicle development programs, be unable to develop new or enhanced production methods, or be unable to fund capital expenditures. Any such events would have a material adverse effect on the Company’s financial position, results of operations, cash flows, and ability to achieve its intended business objectives.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Related Party Notes Payable and Notes Payable Facilities</w:t>
      </w:r>
    </w:p>
    <w:p>
      <w:pPr>
        <w:spacing w:after="0" w:line="17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The Company has been significantly funded by notes payable from related parties and third-parties. The related parties include employees as well as affiliates of employees and affiliates and other companies controlled or previously controlled by the Company’s founder and Chief Product and User Ecosystem Officer.</w:t>
      </w:r>
    </w:p>
    <w:p>
      <w:pPr>
        <w:spacing w:after="0" w:line="119"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The following tables summarize the outstanding related party notes payable and notes payable as well as the related schedules of maturities of the related party notes payable and notes payable. See Note 8, </w:t>
      </w:r>
      <w:r>
        <w:rPr>
          <w:rFonts w:ascii="Arial" w:cs="Arial" w:eastAsia="Arial" w:hAnsi="Arial"/>
          <w:sz w:val="17"/>
          <w:szCs w:val="17"/>
          <w:i w:val="1"/>
          <w:iCs w:val="1"/>
          <w:color w:val="auto"/>
        </w:rPr>
        <w:t>Related Party Notes Payable</w:t>
      </w:r>
      <w:r>
        <w:rPr>
          <w:rFonts w:ascii="Arial" w:cs="Arial" w:eastAsia="Arial" w:hAnsi="Arial"/>
          <w:sz w:val="17"/>
          <w:szCs w:val="17"/>
          <w:color w:val="auto"/>
        </w:rPr>
        <w:t xml:space="preserve"> and Note 9, </w:t>
      </w:r>
      <w:r>
        <w:rPr>
          <w:rFonts w:ascii="Arial" w:cs="Arial" w:eastAsia="Arial" w:hAnsi="Arial"/>
          <w:sz w:val="17"/>
          <w:szCs w:val="17"/>
          <w:i w:val="1"/>
          <w:iCs w:val="1"/>
          <w:color w:val="auto"/>
        </w:rPr>
        <w:t>Notes Payable</w:t>
      </w:r>
      <w:r>
        <w:rPr>
          <w:rFonts w:ascii="Arial" w:cs="Arial" w:eastAsia="Arial" w:hAnsi="Arial"/>
          <w:sz w:val="17"/>
          <w:szCs w:val="17"/>
          <w:color w:val="auto"/>
        </w:rPr>
        <w:t xml:space="preserve"> in FF’s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4" w:right="379" w:bottom="1440" w:gutter="0" w:footer="0" w:header="0"/>
        </w:sectPr>
      </w:pPr>
    </w:p>
    <w:bookmarkStart w:id="44" w:name="page45"/>
    <w:bookmarkEnd w:id="44"/>
    <w:p>
      <w:pPr>
        <w:ind w:left="440"/>
        <w:spacing w:after="0"/>
        <w:rPr>
          <w:sz w:val="20"/>
          <w:szCs w:val="20"/>
          <w:color w:val="auto"/>
        </w:rPr>
      </w:pPr>
      <w:r>
        <w:rPr>
          <w:rFonts w:ascii="Arial" w:cs="Arial" w:eastAsia="Arial" w:hAnsi="Arial"/>
          <w:sz w:val="17"/>
          <w:szCs w:val="17"/>
          <w:color w:val="auto"/>
        </w:rPr>
        <w:t>Related party notes payable consists of the following as of June 30, 2022: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gridSpan w:val="4"/>
            <w:vMerge w:val="restart"/>
          </w:tcPr>
          <w:p>
            <w:pPr>
              <w:jc w:val="center"/>
              <w:spacing w:after="0" w:line="155" w:lineRule="exact"/>
              <w:rPr>
                <w:sz w:val="20"/>
                <w:szCs w:val="20"/>
                <w:color w:val="auto"/>
              </w:rPr>
            </w:pPr>
            <w:r>
              <w:rPr>
                <w:rFonts w:ascii="Arial" w:cs="Arial" w:eastAsia="Arial" w:hAnsi="Arial"/>
                <w:sz w:val="14"/>
                <w:szCs w:val="14"/>
                <w:b w:val="1"/>
                <w:bCs w:val="1"/>
                <w:color w:val="auto"/>
                <w:w w:val="89"/>
              </w:rPr>
              <w:t>Interest Expense</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restart"/>
          </w:tcPr>
          <w:p>
            <w:pPr>
              <w:jc w:val="center"/>
              <w:spacing w:after="0" w:line="155" w:lineRule="exact"/>
              <w:rPr>
                <w:sz w:val="20"/>
                <w:szCs w:val="20"/>
                <w:color w:val="auto"/>
              </w:rPr>
            </w:pPr>
            <w:r>
              <w:rPr>
                <w:rFonts w:ascii="Arial" w:cs="Arial" w:eastAsia="Arial" w:hAnsi="Arial"/>
                <w:sz w:val="14"/>
                <w:szCs w:val="14"/>
                <w:b w:val="1"/>
                <w:bCs w:val="1"/>
                <w:color w:val="auto"/>
                <w:w w:val="87"/>
              </w:rPr>
              <w:t>Interest Expense</w:t>
            </w:r>
          </w:p>
        </w:tc>
        <w:tc>
          <w:tcPr>
            <w:tcW w:w="0" w:type="dxa"/>
            <w:vAlign w:val="bottom"/>
          </w:tcPr>
          <w:p>
            <w:pPr>
              <w:spacing w:after="0"/>
              <w:rPr>
                <w:sz w:val="1"/>
                <w:szCs w:val="1"/>
                <w:color w:val="auto"/>
              </w:rPr>
            </w:pPr>
          </w:p>
        </w:tc>
      </w:tr>
      <w:tr>
        <w:trPr>
          <w:trHeight w:val="111"/>
        </w:trPr>
        <w:tc>
          <w:tcPr>
            <w:tcW w:w="4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3"/>
            <w:vMerge w:val="restart"/>
          </w:tcPr>
          <w:p>
            <w:pPr>
              <w:jc w:val="center"/>
              <w:ind w:left="167"/>
              <w:spacing w:after="0"/>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left="90"/>
              <w:spacing w:after="0"/>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88"/>
              </w:rPr>
              <w:t>Balance as of June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120"/>
              <w:spacing w:after="0" w:line="144" w:lineRule="exact"/>
              <w:rPr>
                <w:sz w:val="20"/>
                <w:szCs w:val="20"/>
                <w:color w:val="auto"/>
              </w:rPr>
            </w:pPr>
            <w:r>
              <w:rPr>
                <w:rFonts w:ascii="Arial" w:cs="Arial" w:eastAsia="Arial" w:hAnsi="Arial"/>
                <w:sz w:val="14"/>
                <w:szCs w:val="14"/>
                <w:b w:val="1"/>
                <w:bCs w:val="1"/>
                <w:color w:val="auto"/>
                <w:w w:val="93"/>
              </w:rPr>
              <w:t>for the Three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0"/>
              </w:rPr>
              <w:t>for the Six Months</w:t>
            </w:r>
          </w:p>
        </w:tc>
        <w:tc>
          <w:tcPr>
            <w:tcW w:w="0" w:type="dxa"/>
            <w:vAlign w:val="bottom"/>
          </w:tcPr>
          <w:p>
            <w:pPr>
              <w:spacing w:after="0"/>
              <w:rPr>
                <w:sz w:val="1"/>
                <w:szCs w:val="1"/>
                <w:color w:val="auto"/>
              </w:rPr>
            </w:pPr>
          </w:p>
        </w:tc>
      </w:tr>
      <w:tr>
        <w:trPr>
          <w:trHeight w:val="144"/>
        </w:trPr>
        <w:tc>
          <w:tcPr>
            <w:tcW w:w="4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Note Name</w:t>
            </w:r>
          </w:p>
        </w:tc>
        <w:tc>
          <w:tcPr>
            <w:tcW w:w="100" w:type="dxa"/>
            <w:vAlign w:val="bottom"/>
            <w:vMerge w:val="restart"/>
          </w:tcPr>
          <w:p>
            <w:pPr>
              <w:spacing w:after="0"/>
              <w:rPr>
                <w:sz w:val="12"/>
                <w:szCs w:val="12"/>
                <w:color w:val="auto"/>
              </w:rPr>
            </w:pPr>
          </w:p>
        </w:tc>
        <w:tc>
          <w:tcPr>
            <w:tcW w:w="1280" w:type="dxa"/>
            <w:vAlign w:val="bottom"/>
            <w:gridSpan w:val="3"/>
          </w:tcPr>
          <w:p>
            <w:pPr>
              <w:jc w:val="center"/>
              <w:ind w:left="147"/>
              <w:spacing w:after="0" w:line="144" w:lineRule="exact"/>
              <w:rPr>
                <w:sz w:val="20"/>
                <w:szCs w:val="20"/>
                <w:color w:val="auto"/>
              </w:rPr>
            </w:pPr>
            <w:r>
              <w:rPr>
                <w:rFonts w:ascii="Arial" w:cs="Arial" w:eastAsia="Arial" w:hAnsi="Arial"/>
                <w:sz w:val="14"/>
                <w:szCs w:val="14"/>
                <w:b w:val="1"/>
                <w:bCs w:val="1"/>
                <w:color w:val="auto"/>
                <w:w w:val="99"/>
              </w:rPr>
              <w:t>Maturity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3"/>
          </w:tcPr>
          <w:p>
            <w:pPr>
              <w:jc w:val="center"/>
              <w:ind w:left="110"/>
              <w:spacing w:after="0" w:line="144" w:lineRule="exact"/>
              <w:rPr>
                <w:sz w:val="20"/>
                <w:szCs w:val="20"/>
                <w:color w:val="auto"/>
              </w:rPr>
            </w:pPr>
            <w:r>
              <w:rPr>
                <w:rFonts w:ascii="Arial" w:cs="Arial" w:eastAsia="Arial" w:hAnsi="Arial"/>
                <w:sz w:val="14"/>
                <w:szCs w:val="14"/>
                <w:b w:val="1"/>
                <w:bCs w:val="1"/>
                <w:color w:val="auto"/>
                <w:w w:val="90"/>
              </w:rPr>
              <w:t>Interest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120"/>
              <w:spacing w:after="0" w:line="144" w:lineRule="exact"/>
              <w:rPr>
                <w:sz w:val="20"/>
                <w:szCs w:val="20"/>
                <w:color w:val="auto"/>
              </w:rPr>
            </w:pPr>
            <w:r>
              <w:rPr>
                <w:rFonts w:ascii="Arial" w:cs="Arial" w:eastAsia="Arial" w:hAnsi="Arial"/>
                <w:sz w:val="14"/>
                <w:szCs w:val="14"/>
                <w:b w:val="1"/>
                <w:bCs w:val="1"/>
                <w:color w:val="auto"/>
                <w:w w:val="91"/>
              </w:rPr>
              <w:t>Months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8"/>
              <w:spacing w:after="0" w:line="144" w:lineRule="exact"/>
              <w:rPr>
                <w:sz w:val="20"/>
                <w:szCs w:val="20"/>
                <w:color w:val="auto"/>
              </w:rPr>
            </w:pPr>
            <w:r>
              <w:rPr>
                <w:rFonts w:ascii="Arial" w:cs="Arial" w:eastAsia="Arial" w:hAnsi="Arial"/>
                <w:sz w:val="14"/>
                <w:szCs w:val="14"/>
                <w:b w:val="1"/>
                <w:bCs w:val="1"/>
                <w:color w:val="auto"/>
                <w:w w:val="89"/>
              </w:rPr>
              <w:t>Ended June 30,</w:t>
            </w:r>
          </w:p>
        </w:tc>
        <w:tc>
          <w:tcPr>
            <w:tcW w:w="0" w:type="dxa"/>
            <w:vAlign w:val="bottom"/>
          </w:tcPr>
          <w:p>
            <w:pPr>
              <w:spacing w:after="0"/>
              <w:rPr>
                <w:sz w:val="1"/>
                <w:szCs w:val="1"/>
                <w:color w:val="auto"/>
              </w:rPr>
            </w:pPr>
          </w:p>
        </w:tc>
      </w:tr>
      <w:tr>
        <w:trPr>
          <w:trHeight w:val="190"/>
        </w:trPr>
        <w:tc>
          <w:tcPr>
            <w:tcW w:w="4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gridSpan w:val="3"/>
          </w:tcPr>
          <w:p>
            <w:pPr>
              <w:jc w:val="center"/>
              <w:ind w:left="167"/>
              <w:spacing w:after="0"/>
              <w:rPr>
                <w:sz w:val="20"/>
                <w:szCs w:val="20"/>
                <w:color w:val="auto"/>
              </w:rPr>
            </w:pPr>
            <w:r>
              <w:rPr>
                <w:rFonts w:ascii="Arial" w:cs="Arial" w:eastAsia="Arial" w:hAnsi="Arial"/>
                <w:sz w:val="14"/>
                <w:szCs w:val="14"/>
                <w:b w:val="1"/>
                <w:bCs w:val="1"/>
                <w:color w:val="auto"/>
                <w:w w:val="92"/>
              </w:rPr>
              <w:t>Date</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3"/>
          </w:tcPr>
          <w:p>
            <w:pPr>
              <w:jc w:val="center"/>
              <w:ind w:left="110"/>
              <w:spacing w:after="0"/>
              <w:rPr>
                <w:sz w:val="20"/>
                <w:szCs w:val="20"/>
                <w:color w:val="auto"/>
              </w:rPr>
            </w:pPr>
            <w:r>
              <w:rPr>
                <w:rFonts w:ascii="Arial" w:cs="Arial" w:eastAsia="Arial" w:hAnsi="Arial"/>
                <w:sz w:val="14"/>
                <w:szCs w:val="14"/>
                <w:b w:val="1"/>
                <w:bCs w:val="1"/>
                <w:color w:val="auto"/>
                <w:w w:val="89"/>
              </w:rPr>
              <w:t>Rates</w:t>
            </w: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30, 2022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7"/>
              </w:rPr>
              <w:t>June 30, 2022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Related party notes – China</w:t>
            </w:r>
          </w:p>
        </w:tc>
        <w:tc>
          <w:tcPr>
            <w:tcW w:w="1280" w:type="dxa"/>
            <w:vAlign w:val="bottom"/>
            <w:gridSpan w:val="3"/>
            <w:shd w:val="clear" w:color="auto" w:fill="CCEEFF"/>
          </w:tcPr>
          <w:p>
            <w:pPr>
              <w:jc w:val="center"/>
              <w:ind w:left="167"/>
              <w:spacing w:after="0"/>
              <w:rPr>
                <w:sz w:val="20"/>
                <w:szCs w:val="20"/>
                <w:color w:val="auto"/>
              </w:rPr>
            </w:pPr>
            <w:r>
              <w:rPr>
                <w:rFonts w:ascii="Arial" w:cs="Arial" w:eastAsia="Arial" w:hAnsi="Arial"/>
                <w:sz w:val="16"/>
                <w:szCs w:val="16"/>
                <w:color w:val="auto"/>
                <w:w w:val="89"/>
              </w:rPr>
              <w:t>Due on Demand</w:t>
            </w:r>
          </w:p>
        </w:tc>
        <w:tc>
          <w:tcPr>
            <w:tcW w:w="13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18.00%</w:t>
            </w: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8,940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1,935</w:t>
            </w:r>
          </w:p>
        </w:tc>
        <w:tc>
          <w:tcPr>
            <w:tcW w:w="0" w:type="dxa"/>
            <w:vAlign w:val="bottom"/>
          </w:tcPr>
          <w:p>
            <w:pPr>
              <w:spacing w:after="0"/>
              <w:rPr>
                <w:sz w:val="1"/>
                <w:szCs w:val="1"/>
                <w:color w:val="auto"/>
              </w:rPr>
            </w:pPr>
          </w:p>
        </w:tc>
      </w:tr>
      <w:tr>
        <w:trPr>
          <w:trHeight w:val="262"/>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Related party notes – China various other</w:t>
            </w:r>
          </w:p>
        </w:tc>
        <w:tc>
          <w:tcPr>
            <w:tcW w:w="1280" w:type="dxa"/>
            <w:vAlign w:val="bottom"/>
            <w:tcBorders>
              <w:bottom w:val="single" w:sz="8" w:color="CCEEFF"/>
            </w:tcBorders>
            <w:gridSpan w:val="3"/>
          </w:tcPr>
          <w:p>
            <w:pPr>
              <w:jc w:val="center"/>
              <w:ind w:left="167"/>
              <w:spacing w:after="0"/>
              <w:rPr>
                <w:sz w:val="20"/>
                <w:szCs w:val="20"/>
                <w:color w:val="auto"/>
              </w:rPr>
            </w:pPr>
            <w:r>
              <w:rPr>
                <w:rFonts w:ascii="Arial" w:cs="Arial" w:eastAsia="Arial" w:hAnsi="Arial"/>
                <w:sz w:val="16"/>
                <w:szCs w:val="16"/>
                <w:color w:val="auto"/>
                <w:w w:val="89"/>
              </w:rPr>
              <w:t>Due on Demand</w:t>
            </w:r>
          </w:p>
        </w:tc>
        <w:tc>
          <w:tcPr>
            <w:tcW w:w="1220" w:type="dxa"/>
            <w:vAlign w:val="bottom"/>
            <w:tcBorders>
              <w:bottom w:val="single" w:sz="8" w:color="CCEEFF"/>
            </w:tcBorders>
            <w:gridSpan w:val="3"/>
          </w:tcPr>
          <w:p>
            <w:pPr>
              <w:jc w:val="right"/>
              <w:spacing w:after="0"/>
              <w:rPr>
                <w:sz w:val="20"/>
                <w:szCs w:val="20"/>
                <w:color w:val="auto"/>
              </w:rPr>
            </w:pPr>
            <w:r>
              <w:rPr>
                <w:rFonts w:ascii="Arial" w:cs="Arial" w:eastAsia="Arial" w:hAnsi="Arial"/>
                <w:sz w:val="17"/>
                <w:szCs w:val="17"/>
                <w:color w:val="auto"/>
              </w:rPr>
              <w:t>0.00%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4,022</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4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2"/>
              </w:rPr>
              <w:t>12,962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1,313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1,935</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i w:val="1"/>
                <w:iCs w:val="1"/>
                <w:color w:val="auto"/>
                <w:w w:val="94"/>
              </w:rPr>
              <w:t>Schedule of Principal Maturities of Related Party Notes Payable</w:t>
            </w: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54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100" w:type="dxa"/>
            <w:vAlign w:val="bottom"/>
            <w:gridSpan w:val="13"/>
          </w:tcPr>
          <w:p>
            <w:pPr>
              <w:ind w:left="440"/>
              <w:spacing w:after="0"/>
              <w:rPr>
                <w:sz w:val="20"/>
                <w:szCs w:val="20"/>
                <w:color w:val="auto"/>
              </w:rPr>
            </w:pPr>
            <w:r>
              <w:rPr>
                <w:rFonts w:ascii="Arial" w:cs="Arial" w:eastAsia="Arial" w:hAnsi="Arial"/>
                <w:sz w:val="17"/>
                <w:szCs w:val="17"/>
                <w:color w:val="auto"/>
                <w:w w:val="93"/>
              </w:rPr>
              <w:t>The future scheduled principal maturities of related party notes payable as of June 30, 2022 were as follows: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5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Due on demand</w:t>
            </w: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12,962</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gridSpan w:val="10"/>
            <w:vMerge w:val="restart"/>
          </w:tcPr>
          <w:p>
            <w:pPr>
              <w:ind w:left="440"/>
              <w:spacing w:after="0"/>
              <w:rPr>
                <w:sz w:val="20"/>
                <w:szCs w:val="20"/>
                <w:color w:val="auto"/>
              </w:rPr>
            </w:pPr>
            <w:r>
              <w:rPr>
                <w:rFonts w:ascii="Arial" w:cs="Arial" w:eastAsia="Arial" w:hAnsi="Arial"/>
                <w:sz w:val="17"/>
                <w:szCs w:val="17"/>
                <w:color w:val="auto"/>
              </w:rPr>
              <w:t>Related party notes payable consists of the following as of December 31, 2021:</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260" w:type="dxa"/>
            <w:vAlign w:val="bottom"/>
            <w:gridSpan w:val="10"/>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9"/>
          </w:tcPr>
          <w:p>
            <w:pPr>
              <w:jc w:val="right"/>
              <w:ind w:right="100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5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Note Name</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gridSpan w:val="5"/>
          </w:tcPr>
          <w:p>
            <w:pPr>
              <w:jc w:val="center"/>
              <w:ind w:right="520"/>
              <w:spacing w:after="0" w:line="124"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0"/>
                <w:szCs w:val="10"/>
                <w:color w:val="auto"/>
              </w:rPr>
            </w:pPr>
          </w:p>
        </w:tc>
        <w:tc>
          <w:tcPr>
            <w:tcW w:w="1260" w:type="dxa"/>
            <w:vAlign w:val="bottom"/>
            <w:gridSpan w:val="5"/>
          </w:tcPr>
          <w:p>
            <w:pPr>
              <w:jc w:val="right"/>
              <w:ind w:right="540"/>
              <w:spacing w:after="0" w:line="124" w:lineRule="exact"/>
              <w:rPr>
                <w:sz w:val="20"/>
                <w:szCs w:val="20"/>
                <w:color w:val="auto"/>
              </w:rPr>
            </w:pPr>
            <w:r>
              <w:rPr>
                <w:rFonts w:ascii="Arial" w:cs="Arial" w:eastAsia="Arial" w:hAnsi="Arial"/>
                <w:sz w:val="14"/>
                <w:szCs w:val="14"/>
                <w:b w:val="1"/>
                <w:bCs w:val="1"/>
                <w:color w:val="auto"/>
                <w:w w:val="89"/>
              </w:rPr>
              <w:t>Contractual</w:t>
            </w:r>
          </w:p>
        </w:tc>
        <w:tc>
          <w:tcPr>
            <w:tcW w:w="1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Unpaid Balance</w:t>
            </w:r>
          </w:p>
        </w:tc>
        <w:tc>
          <w:tcPr>
            <w:tcW w:w="10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ind w:right="178"/>
              <w:spacing w:after="0" w:line="124" w:lineRule="exact"/>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90"/>
        </w:trPr>
        <w:tc>
          <w:tcPr>
            <w:tcW w:w="4540" w:type="dxa"/>
            <w:vAlign w:val="bottom"/>
            <w:tcBorders>
              <w:bottom w:val="single" w:sz="8" w:color="auto"/>
            </w:tcBorders>
            <w:gridSpan w:val="2"/>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right="250"/>
              <w:spacing w:after="0"/>
              <w:rPr>
                <w:sz w:val="20"/>
                <w:szCs w:val="20"/>
                <w:color w:val="auto"/>
              </w:rPr>
            </w:pPr>
            <w:r>
              <w:rPr>
                <w:rFonts w:ascii="Arial" w:cs="Arial" w:eastAsia="Arial" w:hAnsi="Arial"/>
                <w:sz w:val="14"/>
                <w:szCs w:val="14"/>
                <w:b w:val="1"/>
                <w:bCs w:val="1"/>
                <w:color w:val="auto"/>
                <w:w w:val="96"/>
              </w:rPr>
              <w:t>Maturity Date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w w:val="99"/>
              </w:rPr>
              <w:t>Interest Rates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Value at 12/31/21</w:t>
            </w:r>
          </w:p>
        </w:tc>
        <w:tc>
          <w:tcPr>
            <w:tcW w:w="0" w:type="dxa"/>
            <w:vAlign w:val="bottom"/>
          </w:tcPr>
          <w:p>
            <w:pPr>
              <w:spacing w:after="0"/>
              <w:rPr>
                <w:sz w:val="1"/>
                <w:szCs w:val="1"/>
                <w:color w:val="auto"/>
              </w:rPr>
            </w:pPr>
          </w:p>
        </w:tc>
      </w:tr>
      <w:tr>
        <w:trPr>
          <w:trHeight w:val="223"/>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Related party notes - China</w:t>
            </w: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gridSpan w:val="6"/>
            <w:shd w:val="clear" w:color="auto" w:fill="CCEEFF"/>
          </w:tcPr>
          <w:p>
            <w:pPr>
              <w:jc w:val="center"/>
              <w:ind w:right="220"/>
              <w:spacing w:after="0"/>
              <w:rPr>
                <w:sz w:val="20"/>
                <w:szCs w:val="20"/>
                <w:color w:val="auto"/>
              </w:rPr>
            </w:pPr>
            <w:r>
              <w:rPr>
                <w:rFonts w:ascii="Arial" w:cs="Arial" w:eastAsia="Arial" w:hAnsi="Arial"/>
                <w:sz w:val="16"/>
                <w:szCs w:val="16"/>
                <w:color w:val="auto"/>
                <w:w w:val="87"/>
              </w:rPr>
              <w:t>Due on Demand</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18.00%</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9,411</w:t>
            </w:r>
          </w:p>
        </w:tc>
        <w:tc>
          <w:tcPr>
            <w:tcW w:w="0" w:type="dxa"/>
            <w:vAlign w:val="bottom"/>
          </w:tcPr>
          <w:p>
            <w:pPr>
              <w:spacing w:after="0"/>
              <w:rPr>
                <w:sz w:val="1"/>
                <w:szCs w:val="1"/>
                <w:color w:val="auto"/>
              </w:rPr>
            </w:pPr>
          </w:p>
        </w:tc>
      </w:tr>
      <w:tr>
        <w:trPr>
          <w:trHeight w:val="222"/>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Related party notes - China various other</w:t>
            </w: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gridSpan w:val="6"/>
          </w:tcPr>
          <w:p>
            <w:pPr>
              <w:jc w:val="center"/>
              <w:ind w:right="220"/>
              <w:spacing w:after="0"/>
              <w:rPr>
                <w:sz w:val="20"/>
                <w:szCs w:val="20"/>
                <w:color w:val="auto"/>
              </w:rPr>
            </w:pPr>
            <w:r>
              <w:rPr>
                <w:rFonts w:ascii="Arial" w:cs="Arial" w:eastAsia="Arial" w:hAnsi="Arial"/>
                <w:sz w:val="16"/>
                <w:szCs w:val="16"/>
                <w:color w:val="auto"/>
                <w:w w:val="87"/>
              </w:rPr>
              <w:t>Due on Demand</w:t>
            </w:r>
          </w:p>
        </w:tc>
        <w:tc>
          <w:tcPr>
            <w:tcW w:w="840" w:type="dxa"/>
            <w:vAlign w:val="bottom"/>
            <w:tcBorders>
              <w:bottom w:val="single" w:sz="8" w:color="CCEEFF"/>
            </w:tcBorders>
            <w:gridSpan w:val="3"/>
          </w:tcPr>
          <w:p>
            <w:pPr>
              <w:jc w:val="right"/>
              <w:ind w:right="10"/>
              <w:spacing w:after="0"/>
              <w:rPr>
                <w:sz w:val="20"/>
                <w:szCs w:val="20"/>
                <w:color w:val="auto"/>
              </w:rPr>
            </w:pPr>
            <w:r>
              <w:rPr>
                <w:rFonts w:ascii="Arial" w:cs="Arial" w:eastAsia="Arial" w:hAnsi="Arial"/>
                <w:sz w:val="17"/>
                <w:szCs w:val="17"/>
                <w:color w:val="auto"/>
              </w:rPr>
              <w:t>0.00%</w:t>
            </w:r>
          </w:p>
        </w:tc>
        <w:tc>
          <w:tcPr>
            <w:tcW w:w="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4,244</w:t>
            </w:r>
          </w:p>
        </w:tc>
        <w:tc>
          <w:tcPr>
            <w:tcW w:w="0" w:type="dxa"/>
            <w:vAlign w:val="bottom"/>
          </w:tcPr>
          <w:p>
            <w:pPr>
              <w:spacing w:after="0"/>
              <w:rPr>
                <w:sz w:val="1"/>
                <w:szCs w:val="1"/>
                <w:color w:val="auto"/>
              </w:rPr>
            </w:pPr>
          </w:p>
        </w:tc>
      </w:tr>
      <w:tr>
        <w:trPr>
          <w:trHeight w:val="236"/>
        </w:trPr>
        <w:tc>
          <w:tcPr>
            <w:tcW w:w="45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related party notes payable</w:t>
            </w: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13,655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13,655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entered into notes payable agreements with third parties, which consists of the following as of June 30, 2022:</w:t>
      </w:r>
    </w:p>
    <w:p>
      <w:pPr>
        <w:spacing w:after="0" w:line="187"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June 30, 2022</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6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180"/>
              <w:spacing w:after="0" w:line="131" w:lineRule="exact"/>
              <w:rPr>
                <w:sz w:val="20"/>
                <w:szCs w:val="20"/>
                <w:color w:val="auto"/>
              </w:rPr>
            </w:pPr>
            <w:r>
              <w:rPr>
                <w:rFonts w:ascii="Arial" w:cs="Arial" w:eastAsia="Arial" w:hAnsi="Arial"/>
                <w:sz w:val="12"/>
                <w:szCs w:val="12"/>
                <w:b w:val="1"/>
                <w:bCs w:val="1"/>
                <w:color w:val="auto"/>
                <w:w w:val="90"/>
              </w:rPr>
              <w:t>Original issue</w:t>
            </w: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00"/>
              <w:spacing w:after="0" w:line="126" w:lineRule="exact"/>
              <w:rPr>
                <w:sz w:val="20"/>
                <w:szCs w:val="20"/>
                <w:color w:val="auto"/>
              </w:rPr>
            </w:pPr>
            <w:r>
              <w:rPr>
                <w:rFonts w:ascii="Arial" w:cs="Arial" w:eastAsia="Arial" w:hAnsi="Arial"/>
                <w:sz w:val="12"/>
                <w:szCs w:val="12"/>
                <w:b w:val="1"/>
                <w:bCs w:val="1"/>
                <w:color w:val="auto"/>
                <w:w w:val="88"/>
              </w:rPr>
              <w:t>discount and</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60" w:type="dxa"/>
            <w:vAlign w:val="bottom"/>
          </w:tcPr>
          <w:p>
            <w:pPr>
              <w:spacing w:after="0"/>
              <w:rPr>
                <w:sz w:val="10"/>
                <w:szCs w:val="10"/>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Contractual</w:t>
            </w:r>
          </w:p>
        </w:tc>
        <w:tc>
          <w:tcPr>
            <w:tcW w:w="1060" w:type="dxa"/>
            <w:vAlign w:val="bottom"/>
            <w:gridSpan w:val="2"/>
          </w:tcPr>
          <w:p>
            <w:pPr>
              <w:jc w:val="center"/>
              <w:ind w:right="100"/>
              <w:spacing w:after="0" w:line="123" w:lineRule="exact"/>
              <w:rPr>
                <w:sz w:val="20"/>
                <w:szCs w:val="20"/>
                <w:color w:val="auto"/>
              </w:rPr>
            </w:pPr>
            <w:r>
              <w:rPr>
                <w:rFonts w:ascii="Arial" w:cs="Arial" w:eastAsia="Arial" w:hAnsi="Arial"/>
                <w:sz w:val="12"/>
                <w:szCs w:val="12"/>
                <w:b w:val="1"/>
                <w:bCs w:val="1"/>
                <w:color w:val="auto"/>
                <w:w w:val="95"/>
              </w:rPr>
              <w:t>Contractual</w:t>
            </w:r>
          </w:p>
        </w:tc>
        <w:tc>
          <w:tcPr>
            <w:tcW w:w="10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Unpaid Principal</w:t>
            </w:r>
          </w:p>
        </w:tc>
        <w:tc>
          <w:tcPr>
            <w:tcW w:w="120" w:type="dxa"/>
            <w:vAlign w:val="bottom"/>
          </w:tcPr>
          <w:p>
            <w:pPr>
              <w:spacing w:after="0"/>
              <w:rPr>
                <w:sz w:val="10"/>
                <w:szCs w:val="10"/>
                <w:color w:val="auto"/>
              </w:rPr>
            </w:pPr>
          </w:p>
        </w:tc>
        <w:tc>
          <w:tcPr>
            <w:tcW w:w="98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94"/>
              </w:rPr>
              <w:t>Fair Value</w:t>
            </w:r>
          </w:p>
        </w:tc>
        <w:tc>
          <w:tcPr>
            <w:tcW w:w="120" w:type="dxa"/>
            <w:vAlign w:val="bottom"/>
          </w:tcPr>
          <w:p>
            <w:pPr>
              <w:spacing w:after="0"/>
              <w:rPr>
                <w:sz w:val="10"/>
                <w:szCs w:val="10"/>
                <w:color w:val="auto"/>
              </w:rPr>
            </w:pPr>
          </w:p>
        </w:tc>
        <w:tc>
          <w:tcPr>
            <w:tcW w:w="940" w:type="dxa"/>
            <w:vAlign w:val="bottom"/>
            <w:gridSpan w:val="2"/>
          </w:tcPr>
          <w:p>
            <w:pPr>
              <w:jc w:val="center"/>
              <w:ind w:right="200"/>
              <w:spacing w:after="0" w:line="123" w:lineRule="exact"/>
              <w:rPr>
                <w:sz w:val="20"/>
                <w:szCs w:val="20"/>
                <w:color w:val="auto"/>
              </w:rPr>
            </w:pPr>
            <w:r>
              <w:rPr>
                <w:rFonts w:ascii="Arial" w:cs="Arial" w:eastAsia="Arial" w:hAnsi="Arial"/>
                <w:sz w:val="12"/>
                <w:szCs w:val="12"/>
                <w:b w:val="1"/>
                <w:bCs w:val="1"/>
                <w:color w:val="auto"/>
                <w:w w:val="86"/>
              </w:rPr>
              <w:t>proceeds</w:t>
            </w:r>
          </w:p>
        </w:tc>
        <w:tc>
          <w:tcPr>
            <w:tcW w:w="180" w:type="dxa"/>
            <w:vAlign w:val="bottom"/>
          </w:tcPr>
          <w:p>
            <w:pPr>
              <w:spacing w:after="0"/>
              <w:rPr>
                <w:sz w:val="10"/>
                <w:szCs w:val="10"/>
                <w:color w:val="auto"/>
              </w:rPr>
            </w:pPr>
          </w:p>
        </w:tc>
        <w:tc>
          <w:tcPr>
            <w:tcW w:w="960" w:type="dxa"/>
            <w:vAlign w:val="bottom"/>
            <w:gridSpan w:val="2"/>
          </w:tcPr>
          <w:p>
            <w:pPr>
              <w:jc w:val="center"/>
              <w:ind w:right="340"/>
              <w:spacing w:after="0" w:line="123" w:lineRule="exact"/>
              <w:rPr>
                <w:sz w:val="20"/>
                <w:szCs w:val="20"/>
                <w:color w:val="auto"/>
              </w:rPr>
            </w:pPr>
            <w:r>
              <w:rPr>
                <w:rFonts w:ascii="Arial" w:cs="Arial" w:eastAsia="Arial" w:hAnsi="Arial"/>
                <w:sz w:val="12"/>
                <w:szCs w:val="12"/>
                <w:b w:val="1"/>
                <w:bCs w:val="1"/>
                <w:color w:val="auto"/>
                <w:w w:val="92"/>
              </w:rPr>
              <w:t>Net</w:t>
            </w:r>
          </w:p>
        </w:tc>
        <w:tc>
          <w:tcPr>
            <w:tcW w:w="1260" w:type="dxa"/>
            <w:vAlign w:val="bottom"/>
            <w:gridSpan w:val="4"/>
          </w:tcPr>
          <w:p>
            <w:pPr>
              <w:jc w:val="center"/>
              <w:ind w:right="80"/>
              <w:spacing w:after="0" w:line="123" w:lineRule="exact"/>
              <w:rPr>
                <w:sz w:val="20"/>
                <w:szCs w:val="20"/>
                <w:color w:val="auto"/>
              </w:rPr>
            </w:pPr>
            <w:r>
              <w:rPr>
                <w:rFonts w:ascii="Arial" w:cs="Arial" w:eastAsia="Arial" w:hAnsi="Arial"/>
                <w:sz w:val="12"/>
                <w:szCs w:val="12"/>
                <w:b w:val="1"/>
                <w:bCs w:val="1"/>
                <w:color w:val="auto"/>
                <w:w w:val="91"/>
              </w:rPr>
              <w:t>Interest Expense for</w:t>
            </w:r>
          </w:p>
        </w:tc>
        <w:tc>
          <w:tcPr>
            <w:tcW w:w="1220" w:type="dxa"/>
            <w:vAlign w:val="bottom"/>
            <w:gridSpan w:val="3"/>
          </w:tcPr>
          <w:p>
            <w:pPr>
              <w:jc w:val="right"/>
              <w:ind w:right="120"/>
              <w:spacing w:after="0" w:line="123" w:lineRule="exact"/>
              <w:rPr>
                <w:sz w:val="20"/>
                <w:szCs w:val="20"/>
                <w:color w:val="auto"/>
              </w:rPr>
            </w:pPr>
            <w:r>
              <w:rPr>
                <w:rFonts w:ascii="Arial" w:cs="Arial" w:eastAsia="Arial" w:hAnsi="Arial"/>
                <w:sz w:val="12"/>
                <w:szCs w:val="12"/>
                <w:b w:val="1"/>
                <w:bCs w:val="1"/>
                <w:color w:val="auto"/>
                <w:w w:val="93"/>
              </w:rPr>
              <w:t>Interest Expense for</w:t>
            </w:r>
          </w:p>
        </w:tc>
        <w:tc>
          <w:tcPr>
            <w:tcW w:w="0" w:type="dxa"/>
            <w:vAlign w:val="bottom"/>
          </w:tcPr>
          <w:p>
            <w:pPr>
              <w:spacing w:after="0"/>
              <w:rPr>
                <w:sz w:val="1"/>
                <w:szCs w:val="1"/>
                <w:color w:val="auto"/>
              </w:rPr>
            </w:pPr>
          </w:p>
        </w:tc>
      </w:tr>
      <w:tr>
        <w:trPr>
          <w:trHeight w:val="118"/>
        </w:trPr>
        <w:tc>
          <w:tcPr>
            <w:tcW w:w="206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60" w:type="dxa"/>
            <w:vAlign w:val="bottom"/>
            <w:gridSpan w:val="2"/>
          </w:tcPr>
          <w:p>
            <w:pPr>
              <w:jc w:val="center"/>
              <w:ind w:right="140"/>
              <w:spacing w:after="0" w:line="118" w:lineRule="exact"/>
              <w:rPr>
                <w:sz w:val="20"/>
                <w:szCs w:val="20"/>
                <w:color w:val="auto"/>
              </w:rPr>
            </w:pPr>
            <w:r>
              <w:rPr>
                <w:rFonts w:ascii="Arial" w:cs="Arial" w:eastAsia="Arial" w:hAnsi="Arial"/>
                <w:sz w:val="12"/>
                <w:szCs w:val="12"/>
                <w:b w:val="1"/>
                <w:bCs w:val="1"/>
                <w:color w:val="auto"/>
                <w:w w:val="92"/>
              </w:rPr>
              <w:t>Interest</w:t>
            </w:r>
          </w:p>
        </w:tc>
        <w:tc>
          <w:tcPr>
            <w:tcW w:w="106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18" w:lineRule="exact"/>
              <w:rPr>
                <w:sz w:val="20"/>
                <w:szCs w:val="20"/>
                <w:color w:val="auto"/>
              </w:rPr>
            </w:pPr>
            <w:r>
              <w:rPr>
                <w:rFonts w:ascii="Arial" w:cs="Arial" w:eastAsia="Arial" w:hAnsi="Arial"/>
                <w:sz w:val="12"/>
                <w:szCs w:val="12"/>
                <w:b w:val="1"/>
                <w:bCs w:val="1"/>
                <w:color w:val="auto"/>
                <w:w w:val="93"/>
              </w:rPr>
              <w:t>Measurement</w:t>
            </w:r>
          </w:p>
        </w:tc>
        <w:tc>
          <w:tcPr>
            <w:tcW w:w="120" w:type="dxa"/>
            <w:vAlign w:val="bottom"/>
          </w:tcPr>
          <w:p>
            <w:pPr>
              <w:spacing w:after="0"/>
              <w:rPr>
                <w:sz w:val="10"/>
                <w:szCs w:val="10"/>
                <w:color w:val="auto"/>
              </w:rPr>
            </w:pPr>
          </w:p>
        </w:tc>
        <w:tc>
          <w:tcPr>
            <w:tcW w:w="940" w:type="dxa"/>
            <w:vAlign w:val="bottom"/>
            <w:gridSpan w:val="2"/>
          </w:tcPr>
          <w:p>
            <w:pPr>
              <w:jc w:val="center"/>
              <w:ind w:right="180"/>
              <w:spacing w:after="0" w:line="118" w:lineRule="exact"/>
              <w:rPr>
                <w:sz w:val="20"/>
                <w:szCs w:val="20"/>
                <w:color w:val="auto"/>
              </w:rPr>
            </w:pPr>
            <w:r>
              <w:rPr>
                <w:rFonts w:ascii="Arial" w:cs="Arial" w:eastAsia="Arial" w:hAnsi="Arial"/>
                <w:sz w:val="12"/>
                <w:szCs w:val="12"/>
                <w:b w:val="1"/>
                <w:bCs w:val="1"/>
                <w:color w:val="auto"/>
                <w:w w:val="89"/>
              </w:rPr>
              <w:t>allocated to</w:t>
            </w:r>
          </w:p>
        </w:tc>
        <w:tc>
          <w:tcPr>
            <w:tcW w:w="180" w:type="dxa"/>
            <w:vAlign w:val="bottom"/>
          </w:tcPr>
          <w:p>
            <w:pPr>
              <w:spacing w:after="0"/>
              <w:rPr>
                <w:sz w:val="10"/>
                <w:szCs w:val="10"/>
                <w:color w:val="auto"/>
              </w:rPr>
            </w:pPr>
          </w:p>
        </w:tc>
        <w:tc>
          <w:tcPr>
            <w:tcW w:w="960" w:type="dxa"/>
            <w:vAlign w:val="bottom"/>
            <w:gridSpan w:val="2"/>
          </w:tcPr>
          <w:p>
            <w:pPr>
              <w:jc w:val="center"/>
              <w:ind w:right="320"/>
              <w:spacing w:after="0" w:line="118" w:lineRule="exact"/>
              <w:rPr>
                <w:sz w:val="20"/>
                <w:szCs w:val="20"/>
                <w:color w:val="auto"/>
              </w:rPr>
            </w:pPr>
            <w:r>
              <w:rPr>
                <w:rFonts w:ascii="Arial" w:cs="Arial" w:eastAsia="Arial" w:hAnsi="Arial"/>
                <w:sz w:val="12"/>
                <w:szCs w:val="12"/>
                <w:b w:val="1"/>
                <w:bCs w:val="1"/>
                <w:color w:val="auto"/>
                <w:w w:val="97"/>
              </w:rPr>
              <w:t>Carrying</w:t>
            </w:r>
          </w:p>
        </w:tc>
        <w:tc>
          <w:tcPr>
            <w:tcW w:w="100" w:type="dxa"/>
            <w:vAlign w:val="bottom"/>
          </w:tcPr>
          <w:p>
            <w:pPr>
              <w:spacing w:after="0"/>
              <w:rPr>
                <w:sz w:val="10"/>
                <w:szCs w:val="10"/>
                <w:color w:val="auto"/>
              </w:rPr>
            </w:pPr>
          </w:p>
        </w:tc>
        <w:tc>
          <w:tcPr>
            <w:tcW w:w="1160" w:type="dxa"/>
            <w:vAlign w:val="bottom"/>
            <w:gridSpan w:val="3"/>
          </w:tcPr>
          <w:p>
            <w:pPr>
              <w:jc w:val="center"/>
              <w:ind w:right="180"/>
              <w:spacing w:after="0" w:line="118" w:lineRule="exact"/>
              <w:rPr>
                <w:sz w:val="20"/>
                <w:szCs w:val="20"/>
                <w:color w:val="auto"/>
              </w:rPr>
            </w:pPr>
            <w:r>
              <w:rPr>
                <w:rFonts w:ascii="Arial" w:cs="Arial" w:eastAsia="Arial" w:hAnsi="Arial"/>
                <w:sz w:val="12"/>
                <w:szCs w:val="12"/>
                <w:b w:val="1"/>
                <w:bCs w:val="1"/>
                <w:color w:val="auto"/>
                <w:w w:val="93"/>
              </w:rPr>
              <w:t>the Three Months</w:t>
            </w:r>
          </w:p>
        </w:tc>
        <w:tc>
          <w:tcPr>
            <w:tcW w:w="140" w:type="dxa"/>
            <w:vAlign w:val="bottom"/>
          </w:tcPr>
          <w:p>
            <w:pPr>
              <w:spacing w:after="0"/>
              <w:rPr>
                <w:sz w:val="10"/>
                <w:szCs w:val="10"/>
                <w:color w:val="auto"/>
              </w:rPr>
            </w:pPr>
          </w:p>
        </w:tc>
        <w:tc>
          <w:tcPr>
            <w:tcW w:w="1080" w:type="dxa"/>
            <w:vAlign w:val="bottom"/>
            <w:gridSpan w:val="2"/>
          </w:tcPr>
          <w:p>
            <w:pPr>
              <w:jc w:val="right"/>
              <w:ind w:right="260"/>
              <w:spacing w:after="0" w:line="118" w:lineRule="exact"/>
              <w:rPr>
                <w:sz w:val="20"/>
                <w:szCs w:val="20"/>
                <w:color w:val="auto"/>
              </w:rPr>
            </w:pPr>
            <w:r>
              <w:rPr>
                <w:rFonts w:ascii="Arial" w:cs="Arial" w:eastAsia="Arial" w:hAnsi="Arial"/>
                <w:sz w:val="12"/>
                <w:szCs w:val="12"/>
                <w:b w:val="1"/>
                <w:bCs w:val="1"/>
                <w:color w:val="auto"/>
                <w:w w:val="93"/>
              </w:rPr>
              <w:t>the Six Months</w:t>
            </w:r>
          </w:p>
        </w:tc>
        <w:tc>
          <w:tcPr>
            <w:tcW w:w="0" w:type="dxa"/>
            <w:vAlign w:val="bottom"/>
          </w:tcPr>
          <w:p>
            <w:pPr>
              <w:spacing w:after="0"/>
              <w:rPr>
                <w:sz w:val="1"/>
                <w:szCs w:val="1"/>
                <w:color w:val="auto"/>
              </w:rPr>
            </w:pPr>
          </w:p>
        </w:tc>
      </w:tr>
      <w:tr>
        <w:trPr>
          <w:trHeight w:val="176"/>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Note Name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Maturity Date</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5"/>
              </w:rPr>
              <w:t>Rates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2"/>
                <w:szCs w:val="12"/>
                <w:b w:val="1"/>
                <w:bCs w:val="1"/>
                <w:color w:val="auto"/>
              </w:rPr>
              <w:t>Balance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3"/>
              <w:spacing w:after="0"/>
              <w:rPr>
                <w:sz w:val="20"/>
                <w:szCs w:val="20"/>
                <w:color w:val="auto"/>
              </w:rPr>
            </w:pPr>
            <w:r>
              <w:rPr>
                <w:rFonts w:ascii="Arial" w:cs="Arial" w:eastAsia="Arial" w:hAnsi="Arial"/>
                <w:sz w:val="12"/>
                <w:szCs w:val="12"/>
                <w:b w:val="1"/>
                <w:bCs w:val="1"/>
                <w:color w:val="auto"/>
                <w:w w:val="90"/>
              </w:rPr>
              <w:t>Adjustments</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6"/>
              <w:spacing w:after="0"/>
              <w:rPr>
                <w:sz w:val="20"/>
                <w:szCs w:val="20"/>
                <w:color w:val="auto"/>
              </w:rPr>
            </w:pPr>
            <w:r>
              <w:rPr>
                <w:rFonts w:ascii="Arial" w:cs="Arial" w:eastAsia="Arial" w:hAnsi="Arial"/>
                <w:sz w:val="12"/>
                <w:szCs w:val="12"/>
                <w:b w:val="1"/>
                <w:bCs w:val="1"/>
                <w:color w:val="auto"/>
                <w:w w:val="91"/>
              </w:rPr>
              <w:t>warrants</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03"/>
              <w:spacing w:after="0"/>
              <w:rPr>
                <w:sz w:val="20"/>
                <w:szCs w:val="20"/>
                <w:color w:val="auto"/>
              </w:rPr>
            </w:pPr>
            <w:r>
              <w:rPr>
                <w:rFonts w:ascii="Arial" w:cs="Arial" w:eastAsia="Arial" w:hAnsi="Arial"/>
                <w:sz w:val="12"/>
                <w:szCs w:val="12"/>
                <w:b w:val="1"/>
                <w:bCs w:val="1"/>
                <w:color w:val="auto"/>
                <w:w w:val="93"/>
              </w:rPr>
              <w:t>Value</w:t>
            </w:r>
          </w:p>
        </w:tc>
        <w:tc>
          <w:tcPr>
            <w:tcW w:w="16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w w:val="91"/>
              </w:rPr>
              <w:t>Ended June 30, 2022</w:t>
            </w:r>
          </w:p>
        </w:tc>
        <w:tc>
          <w:tcPr>
            <w:tcW w:w="8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1"/>
              </w:rPr>
              <w:t>Ended June 30, 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6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4"/>
              </w:rPr>
              <w:t>June 9, 2021 Note 1 and Note</w:t>
            </w: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0.00%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5,737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(9,522)</w:t>
            </w:r>
          </w:p>
        </w:tc>
        <w:tc>
          <w:tcPr>
            <w:tcW w:w="8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36,215</w:t>
            </w:r>
          </w:p>
        </w:tc>
        <w:tc>
          <w:tcPr>
            <w:tcW w:w="16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8"/>
              </w:rPr>
              <w:t>December 9, 2022</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160" w:type="dxa"/>
            <w:vAlign w:val="bottom"/>
            <w:gridSpan w:val="3"/>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60" w:type="dxa"/>
            <w:vAlign w:val="bottom"/>
          </w:tcPr>
          <w:p>
            <w:pPr>
              <w:ind w:left="20"/>
              <w:spacing w:after="0" w:line="161" w:lineRule="exact"/>
              <w:rPr>
                <w:sz w:val="20"/>
                <w:szCs w:val="20"/>
                <w:color w:val="auto"/>
              </w:rPr>
            </w:pPr>
            <w:r>
              <w:rPr>
                <w:rFonts w:ascii="Arial" w:cs="Arial" w:eastAsia="Arial" w:hAnsi="Arial"/>
                <w:sz w:val="16"/>
                <w:szCs w:val="16"/>
                <w:color w:val="auto"/>
              </w:rPr>
              <w:t>August 10, 2021 Optional</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w w:val="88"/>
              </w:rPr>
              <w:t>15.00%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33,917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3"/>
              <w:spacing w:after="0"/>
              <w:rPr>
                <w:sz w:val="20"/>
                <w:szCs w:val="20"/>
                <w:color w:val="auto"/>
              </w:rPr>
            </w:pPr>
            <w:r>
              <w:rPr>
                <w:rFonts w:ascii="Arial" w:cs="Arial" w:eastAsia="Arial" w:hAnsi="Arial"/>
                <w:sz w:val="17"/>
                <w:szCs w:val="17"/>
                <w:color w:val="auto"/>
              </w:rPr>
              <w:t>9,585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(11,518)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3"/>
              <w:spacing w:after="0"/>
              <w:rPr>
                <w:sz w:val="20"/>
                <w:szCs w:val="20"/>
                <w:color w:val="auto"/>
              </w:rPr>
            </w:pPr>
            <w:r>
              <w:rPr>
                <w:rFonts w:ascii="Arial" w:cs="Arial" w:eastAsia="Arial" w:hAnsi="Arial"/>
                <w:sz w:val="17"/>
                <w:szCs w:val="17"/>
                <w:color w:val="auto"/>
              </w:rPr>
              <w:t>31,984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7"/>
                <w:szCs w:val="17"/>
                <w:color w:val="auto"/>
              </w:rPr>
              <w:t>1,272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2,544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60" w:type="dxa"/>
            <w:vAlign w:val="bottom"/>
          </w:tcPr>
          <w:p>
            <w:pPr>
              <w:ind w:left="180"/>
              <w:spacing w:after="0"/>
              <w:rPr>
                <w:sz w:val="20"/>
                <w:szCs w:val="20"/>
                <w:color w:val="auto"/>
              </w:rPr>
            </w:pPr>
            <w:r>
              <w:rPr>
                <w:rFonts w:ascii="Arial" w:cs="Arial" w:eastAsia="Arial" w:hAnsi="Arial"/>
                <w:sz w:val="16"/>
                <w:szCs w:val="16"/>
                <w:color w:val="auto"/>
              </w:rPr>
              <w:t>Notes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February 10, 2023</w:t>
            </w: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6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2"/>
              </w:rPr>
              <w:t>Notes payable – China various</w:t>
            </w: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8"/>
              </w:rPr>
              <w:t>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5,186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5,186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2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1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8"/>
              </w:rPr>
              <w:t>Due on Demand</w:t>
            </w: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3"/>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60" w:type="dxa"/>
            <w:vAlign w:val="bottom"/>
          </w:tcPr>
          <w:p>
            <w:pPr>
              <w:ind w:left="20"/>
              <w:spacing w:after="0"/>
              <w:rPr>
                <w:sz w:val="20"/>
                <w:szCs w:val="20"/>
                <w:color w:val="auto"/>
              </w:rPr>
            </w:pPr>
            <w:r>
              <w:rPr>
                <w:rFonts w:ascii="Arial" w:cs="Arial" w:eastAsia="Arial" w:hAnsi="Arial"/>
                <w:sz w:val="16"/>
                <w:szCs w:val="16"/>
                <w:color w:val="auto"/>
              </w:rPr>
              <w:t>Auto loans</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Various</w:t>
            </w:r>
          </w:p>
        </w:tc>
        <w:tc>
          <w:tcPr>
            <w:tcW w:w="106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Various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94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ind w:right="3"/>
              <w:spacing w:after="0"/>
              <w:rPr>
                <w:sz w:val="20"/>
                <w:szCs w:val="20"/>
                <w:color w:val="auto"/>
              </w:rPr>
            </w:pPr>
            <w:r>
              <w:rPr>
                <w:rFonts w:ascii="Arial" w:cs="Arial" w:eastAsia="Arial" w:hAnsi="Arial"/>
                <w:sz w:val="17"/>
                <w:szCs w:val="17"/>
                <w:color w:val="auto"/>
              </w:rPr>
              <w:t>111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1"/>
        </w:trPr>
        <w:tc>
          <w:tcPr>
            <w:tcW w:w="206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15,322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73,496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7"/>
                <w:szCs w:val="17"/>
                <w:i w:val="1"/>
                <w:iCs w:val="1"/>
                <w:color w:val="auto"/>
              </w:rPr>
              <w:t>Schedule of Principal Maturities of Notes Payable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440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620" w:type="dxa"/>
            <w:vAlign w:val="bottom"/>
            <w:gridSpan w:val="14"/>
          </w:tcPr>
          <w:p>
            <w:pPr>
              <w:ind w:left="440"/>
              <w:spacing w:after="0"/>
              <w:rPr>
                <w:sz w:val="20"/>
                <w:szCs w:val="20"/>
                <w:color w:val="auto"/>
              </w:rPr>
            </w:pPr>
            <w:r>
              <w:rPr>
                <w:rFonts w:ascii="Arial" w:cs="Arial" w:eastAsia="Arial" w:hAnsi="Arial"/>
                <w:sz w:val="17"/>
                <w:szCs w:val="17"/>
                <w:color w:val="auto"/>
              </w:rPr>
              <w:t>The future scheduled principal maturities of notes payable as of June 30, 2022 are as follows:</w:t>
            </w: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
        </w:trPr>
        <w:tc>
          <w:tcPr>
            <w:tcW w:w="2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on demand</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5,186</w:t>
            </w:r>
          </w:p>
        </w:tc>
        <w:tc>
          <w:tcPr>
            <w:tcW w:w="0" w:type="dxa"/>
            <w:vAlign w:val="bottom"/>
          </w:tcPr>
          <w:p>
            <w:pPr>
              <w:spacing w:after="0"/>
              <w:rPr>
                <w:sz w:val="1"/>
                <w:szCs w:val="1"/>
                <w:color w:val="auto"/>
              </w:rPr>
            </w:pPr>
          </w:p>
        </w:tc>
      </w:tr>
      <w:tr>
        <w:trPr>
          <w:trHeight w:val="222"/>
        </w:trPr>
        <w:tc>
          <w:tcPr>
            <w:tcW w:w="2060" w:type="dxa"/>
            <w:vAlign w:val="bottom"/>
          </w:tcPr>
          <w:p>
            <w:pPr>
              <w:ind w:left="20"/>
              <w:spacing w:after="0"/>
              <w:rPr>
                <w:sz w:val="20"/>
                <w:szCs w:val="20"/>
                <w:color w:val="auto"/>
              </w:rPr>
            </w:pPr>
            <w:r>
              <w:rPr>
                <w:rFonts w:ascii="Arial" w:cs="Arial" w:eastAsia="Arial" w:hAnsi="Arial"/>
                <w:sz w:val="17"/>
                <w:szCs w:val="17"/>
                <w:color w:val="auto"/>
              </w:rPr>
              <w:t>2022</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40,111</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33,917</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79,214</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5" w:name="page46"/>
    <w:bookmarkEnd w:id="45"/>
    <w:p>
      <w:pPr>
        <w:ind w:left="440"/>
        <w:spacing w:after="0"/>
        <w:rPr>
          <w:sz w:val="20"/>
          <w:szCs w:val="20"/>
          <w:color w:val="auto"/>
        </w:rPr>
      </w:pPr>
      <w:r>
        <w:rPr>
          <w:rFonts w:ascii="Arial" w:cs="Arial" w:eastAsia="Arial" w:hAnsi="Arial"/>
          <w:sz w:val="17"/>
          <w:szCs w:val="17"/>
          <w:color w:val="auto"/>
        </w:rPr>
        <w:t>Notes payable consists of the following as of December 31, 2021: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4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center"/>
              <w:ind w:right="240"/>
              <w:spacing w:after="0" w:line="124" w:lineRule="exact"/>
              <w:rPr>
                <w:sz w:val="20"/>
                <w:szCs w:val="20"/>
                <w:color w:val="auto"/>
              </w:rPr>
            </w:pPr>
            <w:r>
              <w:rPr>
                <w:rFonts w:ascii="Arial" w:cs="Arial" w:eastAsia="Arial" w:hAnsi="Arial"/>
                <w:sz w:val="14"/>
                <w:szCs w:val="14"/>
                <w:b w:val="1"/>
                <w:bCs w:val="1"/>
                <w:color w:val="auto"/>
                <w:w w:val="92"/>
              </w:rPr>
              <w:t>Fair Value</w:t>
            </w:r>
          </w:p>
        </w:tc>
        <w:tc>
          <w:tcPr>
            <w:tcW w:w="1260" w:type="dxa"/>
            <w:vAlign w:val="bottom"/>
            <w:gridSpan w:val="3"/>
            <w:vMerge w:val="restart"/>
          </w:tcPr>
          <w:p>
            <w:pPr>
              <w:ind w:left="80"/>
              <w:spacing w:after="0"/>
              <w:rPr>
                <w:sz w:val="20"/>
                <w:szCs w:val="20"/>
                <w:color w:val="auto"/>
              </w:rPr>
            </w:pPr>
            <w:r>
              <w:rPr>
                <w:rFonts w:ascii="Arial" w:cs="Arial" w:eastAsia="Arial" w:hAnsi="Arial"/>
                <w:sz w:val="10"/>
                <w:szCs w:val="10"/>
                <w:b w:val="1"/>
                <w:bCs w:val="1"/>
                <w:color w:val="auto"/>
              </w:rPr>
              <w:t>Original issue discount</w:t>
            </w:r>
          </w:p>
        </w:tc>
        <w:tc>
          <w:tcPr>
            <w:tcW w:w="200" w:type="dxa"/>
            <w:vAlign w:val="bottom"/>
          </w:tcPr>
          <w:p>
            <w:pPr>
              <w:spacing w:after="0"/>
              <w:rPr>
                <w:sz w:val="10"/>
                <w:szCs w:val="10"/>
                <w:color w:val="auto"/>
              </w:rPr>
            </w:pPr>
          </w:p>
        </w:tc>
        <w:tc>
          <w:tcPr>
            <w:tcW w:w="980" w:type="dxa"/>
            <w:vAlign w:val="bottom"/>
          </w:tcPr>
          <w:p>
            <w:pPr>
              <w:jc w:val="center"/>
              <w:ind w:right="124"/>
              <w:spacing w:after="0" w:line="124"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79"/>
        </w:trPr>
        <w:tc>
          <w:tcPr>
            <w:tcW w:w="30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Contractual</w:t>
            </w:r>
          </w:p>
        </w:tc>
        <w:tc>
          <w:tcPr>
            <w:tcW w:w="16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Contractual</w:t>
            </w: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Unpaid</w:t>
            </w:r>
          </w:p>
        </w:tc>
        <w:tc>
          <w:tcPr>
            <w:tcW w:w="140" w:type="dxa"/>
            <w:vAlign w:val="bottom"/>
          </w:tcPr>
          <w:p>
            <w:pPr>
              <w:spacing w:after="0"/>
              <w:rPr>
                <w:sz w:val="6"/>
                <w:szCs w:val="6"/>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Measurement</w:t>
            </w:r>
          </w:p>
        </w:tc>
        <w:tc>
          <w:tcPr>
            <w:tcW w:w="12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restart"/>
          </w:tcPr>
          <w:p>
            <w:pPr>
              <w:jc w:val="center"/>
              <w:ind w:right="124"/>
              <w:spacing w:after="0"/>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05"/>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Note Name</w:t>
            </w:r>
          </w:p>
        </w:tc>
        <w:tc>
          <w:tcPr>
            <w:tcW w:w="80" w:type="dxa"/>
            <w:vAlign w:val="bottom"/>
            <w:vMerge w:val="restart"/>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26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w w:val="98"/>
              </w:rPr>
              <w:t>and proceeds allocated to</w:t>
            </w:r>
          </w:p>
        </w:tc>
        <w:tc>
          <w:tcPr>
            <w:tcW w:w="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0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60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94"/>
              </w:rPr>
              <w:t>Maturity Date</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b w:val="1"/>
                <w:bCs w:val="1"/>
                <w:color w:val="auto"/>
                <w:w w:val="88"/>
              </w:rPr>
              <w:t>Interest Rates</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84"/>
              <w:spacing w:after="0" w:line="157" w:lineRule="exact"/>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84"/>
              <w:spacing w:after="0" w:line="157" w:lineRule="exact"/>
              <w:rPr>
                <w:sz w:val="20"/>
                <w:szCs w:val="20"/>
                <w:color w:val="auto"/>
              </w:rPr>
            </w:pPr>
            <w:r>
              <w:rPr>
                <w:rFonts w:ascii="Arial" w:cs="Arial" w:eastAsia="Arial" w:hAnsi="Arial"/>
                <w:sz w:val="14"/>
                <w:szCs w:val="14"/>
                <w:b w:val="1"/>
                <w:bCs w:val="1"/>
                <w:color w:val="auto"/>
                <w:w w:val="89"/>
              </w:rPr>
              <w:t>Adjustments</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warrants</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24"/>
              <w:spacing w:after="0" w:line="157"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1, 2021 Notes</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March 1, 2022</w:t>
            </w:r>
          </w:p>
        </w:tc>
        <w:tc>
          <w:tcPr>
            <w:tcW w:w="16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14.00 %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56,695</w:t>
            </w:r>
          </w:p>
        </w:tc>
        <w:tc>
          <w:tcPr>
            <w:tcW w:w="0" w:type="dxa"/>
            <w:vAlign w:val="bottom"/>
          </w:tcPr>
          <w:p>
            <w:pPr>
              <w:spacing w:after="0"/>
              <w:rPr>
                <w:sz w:val="1"/>
                <w:szCs w:val="1"/>
                <w:color w:val="auto"/>
              </w:rPr>
            </w:pPr>
          </w:p>
        </w:tc>
      </w:tr>
      <w:tr>
        <w:trPr>
          <w:trHeight w:val="233"/>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August 26, 2021 Notes</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March 1, 2022</w:t>
            </w:r>
          </w:p>
        </w:tc>
        <w:tc>
          <w:tcPr>
            <w:tcW w:w="1320" w:type="dxa"/>
            <w:vAlign w:val="bottom"/>
          </w:tcPr>
          <w:p>
            <w:pPr>
              <w:jc w:val="right"/>
              <w:spacing w:after="0"/>
              <w:rPr>
                <w:sz w:val="20"/>
                <w:szCs w:val="20"/>
                <w:color w:val="auto"/>
              </w:rPr>
            </w:pPr>
            <w:r>
              <w:rPr>
                <w:rFonts w:ascii="Arial" w:cs="Arial" w:eastAsia="Arial" w:hAnsi="Arial"/>
                <w:sz w:val="16"/>
                <w:szCs w:val="16"/>
                <w:color w:val="auto"/>
              </w:rPr>
              <w:t>14.00 %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30,924</w:t>
            </w:r>
          </w:p>
        </w:tc>
        <w:tc>
          <w:tcPr>
            <w:tcW w:w="0" w:type="dxa"/>
            <w:vAlign w:val="bottom"/>
          </w:tcPr>
          <w:p>
            <w:pPr>
              <w:spacing w:after="0"/>
              <w:rPr>
                <w:sz w:val="1"/>
                <w:szCs w:val="1"/>
                <w:color w:val="auto"/>
              </w:rPr>
            </w:pPr>
          </w:p>
        </w:tc>
      </w:tr>
      <w:tr>
        <w:trPr>
          <w:trHeight w:val="23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June 9, 2021 Note 1 and Note 2</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December 9, 2022</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38,981</w:t>
            </w:r>
          </w:p>
        </w:tc>
        <w:tc>
          <w:tcPr>
            <w:tcW w:w="0" w:type="dxa"/>
            <w:vAlign w:val="bottom"/>
          </w:tcPr>
          <w:p>
            <w:pPr>
              <w:spacing w:after="0"/>
              <w:rPr>
                <w:sz w:val="1"/>
                <w:szCs w:val="1"/>
                <w:color w:val="auto"/>
              </w:rPr>
            </w:pPr>
          </w:p>
        </w:tc>
      </w:tr>
      <w:tr>
        <w:trPr>
          <w:trHeight w:val="233"/>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August 10, 2021 Optional Notes</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February 10, 2023</w:t>
            </w:r>
          </w:p>
        </w:tc>
        <w:tc>
          <w:tcPr>
            <w:tcW w:w="1320" w:type="dxa"/>
            <w:vAlign w:val="bottom"/>
          </w:tcPr>
          <w:p>
            <w:pPr>
              <w:jc w:val="right"/>
              <w:spacing w:after="0"/>
              <w:rPr>
                <w:sz w:val="20"/>
                <w:szCs w:val="20"/>
                <w:color w:val="auto"/>
              </w:rPr>
            </w:pPr>
            <w:r>
              <w:rPr>
                <w:rFonts w:ascii="Arial" w:cs="Arial" w:eastAsia="Arial" w:hAnsi="Arial"/>
                <w:sz w:val="16"/>
                <w:szCs w:val="16"/>
                <w:color w:val="auto"/>
              </w:rPr>
              <w:t>15.00 %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33,917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12,283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(11,518)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34,682</w:t>
            </w:r>
          </w:p>
        </w:tc>
        <w:tc>
          <w:tcPr>
            <w:tcW w:w="0" w:type="dxa"/>
            <w:vAlign w:val="bottom"/>
          </w:tcPr>
          <w:p>
            <w:pPr>
              <w:spacing w:after="0"/>
              <w:rPr>
                <w:sz w:val="1"/>
                <w:szCs w:val="1"/>
                <w:color w:val="auto"/>
              </w:rPr>
            </w:pPr>
          </w:p>
        </w:tc>
      </w:tr>
      <w:tr>
        <w:trPr>
          <w:trHeight w:val="23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Notes payable - China various other</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8"/>
              </w:rPr>
              <w:t>Due on demand</w:t>
            </w:r>
          </w:p>
        </w:tc>
        <w:tc>
          <w:tcPr>
            <w:tcW w:w="1640" w:type="dxa"/>
            <w:vAlign w:val="bottom"/>
            <w:gridSpan w:val="3"/>
            <w:shd w:val="clear" w:color="auto" w:fill="CCEEFF"/>
          </w:tcPr>
          <w:p>
            <w:pPr>
              <w:jc w:val="right"/>
              <w:ind w:right="320"/>
              <w:spacing w:after="0"/>
              <w:rPr>
                <w:sz w:val="20"/>
                <w:szCs w:val="20"/>
                <w:color w:val="auto"/>
              </w:rPr>
            </w:pPr>
            <w:r>
              <w:rPr>
                <w:rFonts w:ascii="Arial" w:cs="Arial" w:eastAsia="Arial" w:hAnsi="Arial"/>
                <w:sz w:val="16"/>
                <w:szCs w:val="16"/>
                <w:color w:val="auto"/>
              </w:rPr>
              <w:t>—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w:t>
            </w:r>
          </w:p>
        </w:tc>
        <w:tc>
          <w:tcPr>
            <w:tcW w:w="0" w:type="dxa"/>
            <w:vAlign w:val="bottom"/>
          </w:tcPr>
          <w:p>
            <w:pPr>
              <w:spacing w:after="0"/>
              <w:rPr>
                <w:sz w:val="1"/>
                <w:szCs w:val="1"/>
                <w:color w:val="auto"/>
              </w:rPr>
            </w:pPr>
          </w:p>
        </w:tc>
      </w:tr>
      <w:tr>
        <w:trPr>
          <w:trHeight w:val="233"/>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PPP Loan</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April 17, 2022</w:t>
            </w:r>
          </w:p>
        </w:tc>
        <w:tc>
          <w:tcPr>
            <w:tcW w:w="132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3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Auto loans</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Various</w:t>
            </w:r>
          </w:p>
        </w:tc>
        <w:tc>
          <w:tcPr>
            <w:tcW w:w="1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8"/>
              </w:rPr>
              <w:t>Various</w:t>
            </w:r>
          </w:p>
        </w:tc>
        <w:tc>
          <w:tcPr>
            <w:tcW w:w="2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6"/>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Total notes payable</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164,689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29,489</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(27,124)</w:t>
            </w:r>
          </w:p>
        </w:tc>
        <w:tc>
          <w:tcPr>
            <w:tcW w:w="8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167,054</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Analysis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Presented below is a summary of FF’s cash flows for the periods indicated:</w:t>
      </w:r>
    </w:p>
    <w:p>
      <w:pPr>
        <w:spacing w:after="0" w:line="187"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Six Months Ended</w:t>
      </w:r>
    </w:p>
    <w:p>
      <w:pPr>
        <w:ind w:left="9500"/>
        <w:spacing w:after="0"/>
        <w:rPr>
          <w:sz w:val="20"/>
          <w:szCs w:val="20"/>
          <w:color w:val="auto"/>
        </w:rPr>
      </w:pPr>
      <w:r>
        <w:rPr>
          <w:rFonts w:ascii="Arial" w:cs="Arial" w:eastAsia="Arial" w:hAnsi="Arial"/>
          <w:sz w:val="16"/>
          <w:szCs w:val="16"/>
          <w:b w:val="1"/>
          <w:bCs w:val="1"/>
          <w:color w:val="auto"/>
        </w:rPr>
        <w:t>June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r>
      <w:tr>
        <w:trPr>
          <w:trHeight w:val="225"/>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Operating activities</w:t>
            </w: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(235,104)</w:t>
            </w:r>
          </w:p>
        </w:tc>
        <w:tc>
          <w:tcPr>
            <w:tcW w:w="380" w:type="dxa"/>
            <w:vAlign w:val="bottom"/>
          </w:tcPr>
          <w:p>
            <w:pPr>
              <w:jc w:val="right"/>
              <w:ind w:right="13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(52,311)</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(90,234)</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(1,386)</w:t>
            </w:r>
          </w:p>
        </w:tc>
      </w:tr>
      <w:tr>
        <w:trPr>
          <w:trHeight w:val="222"/>
        </w:trPr>
        <w:tc>
          <w:tcPr>
            <w:tcW w:w="8300" w:type="dxa"/>
            <w:vAlign w:val="bottom"/>
          </w:tcPr>
          <w:p>
            <w:pPr>
              <w:ind w:left="20"/>
              <w:spacing w:after="0"/>
              <w:rPr>
                <w:sz w:val="20"/>
                <w:szCs w:val="20"/>
                <w:color w:val="auto"/>
              </w:rPr>
            </w:pPr>
            <w:r>
              <w:rPr>
                <w:rFonts w:ascii="Arial" w:cs="Arial" w:eastAsia="Arial" w:hAnsi="Arial"/>
                <w:sz w:val="17"/>
                <w:szCs w:val="17"/>
                <w:color w:val="auto"/>
              </w:rPr>
              <w:t>Financing activities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(85,840)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111,525</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restricted cash</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2,235</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FF continues to experience negative cash flows from operations as FF designs and develops its vehicles and builds its infrastructure both in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United States and China. FF’s cash flows from operating activities are significantly affected by FF’s cash investments to support the growth of FF’s business in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areas such as research and development associated with FF’s electric vehicles, corporate planning, and general and administrative functions. FF’s operating cash</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flows are also affected by its working capital needs to support growth and fluctuations in personnel related expenditures, accounts payable, accrued interest,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other current liabilities, deposits, and other current assets.</w:t>
      </w:r>
    </w:p>
    <w:p>
      <w:pPr>
        <w:spacing w:after="0" w:line="159"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Net cash used in operating activities was $235,104 and $52,311 for the six months ended June 30, 2022 and 2021, respectively. The largest components of FF’s cash used by operating activities during the six months ended June 30, 2022, were $131,311 for research and development expenses, $62,174 for wages and compensation related expenses, and $35,208 for professional services.</w:t>
      </w:r>
    </w:p>
    <w:p>
      <w:pPr>
        <w:spacing w:after="0" w:line="119" w:lineRule="exact"/>
        <w:rPr>
          <w:sz w:val="20"/>
          <w:szCs w:val="20"/>
          <w:color w:val="auto"/>
        </w:rPr>
      </w:pPr>
    </w:p>
    <w:p>
      <w:pPr>
        <w:ind w:right="160" w:firstLine="440"/>
        <w:spacing w:after="0" w:line="289" w:lineRule="auto"/>
        <w:rPr>
          <w:sz w:val="20"/>
          <w:szCs w:val="20"/>
          <w:color w:val="auto"/>
        </w:rPr>
      </w:pPr>
      <w:r>
        <w:rPr>
          <w:rFonts w:ascii="Arial" w:cs="Arial" w:eastAsia="Arial" w:hAnsi="Arial"/>
          <w:sz w:val="17"/>
          <w:szCs w:val="17"/>
          <w:color w:val="auto"/>
        </w:rPr>
        <w:t>The largest components of FF’s cash used by operating activities during the six months ended June 30, 2021, were $25,570 for wages and compensation related expenses, $19,189 for research and development expenses and $11,604 for professional services.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177" w:lineRule="exact"/>
        <w:rPr>
          <w:sz w:val="20"/>
          <w:szCs w:val="20"/>
          <w:color w:val="auto"/>
        </w:rPr>
      </w:pPr>
    </w:p>
    <w:p>
      <w:pPr>
        <w:ind w:right="100" w:firstLine="440"/>
        <w:spacing w:after="0" w:line="289" w:lineRule="auto"/>
        <w:rPr>
          <w:sz w:val="20"/>
          <w:szCs w:val="20"/>
          <w:color w:val="auto"/>
        </w:rPr>
      </w:pPr>
      <w:r>
        <w:rPr>
          <w:rFonts w:ascii="Arial" w:cs="Arial" w:eastAsia="Arial" w:hAnsi="Arial"/>
          <w:sz w:val="17"/>
          <w:szCs w:val="17"/>
          <w:color w:val="auto"/>
        </w:rPr>
        <w:t>Net cash used in investing activities was $90,234 and $1,386 for the six months ended June 30, 2022, and 2021, respectively, related to the acquisition of fixed assets.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Activities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Net cash (used in) provided by financing activities was ($85,840) and $111,525 for the six months ended June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6" w:name="page47"/>
    <w:bookmarkEnd w:id="46"/>
    <w:p>
      <w:pPr>
        <w:ind w:right="200" w:firstLine="440"/>
        <w:spacing w:after="0" w:line="322" w:lineRule="auto"/>
        <w:rPr>
          <w:sz w:val="20"/>
          <w:szCs w:val="20"/>
          <w:color w:val="auto"/>
        </w:rPr>
      </w:pPr>
      <w:r>
        <w:rPr>
          <w:rFonts w:ascii="Arial" w:cs="Arial" w:eastAsia="Arial" w:hAnsi="Arial"/>
          <w:sz w:val="16"/>
          <w:szCs w:val="16"/>
          <w:color w:val="auto"/>
        </w:rPr>
        <w:t>Net cash used in financing activities during the six months ended June 30, 2022, primarily consists of $87,258 in repayment of notes payable, including payment premium, and $936 in payments of finance lease obligations partially offset by $2,354 in proceeds from exercise of stock options.</w:t>
      </w:r>
    </w:p>
    <w:p>
      <w:pPr>
        <w:spacing w:after="0" w:line="83"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Net cash provided by financing activities during the six months ended June 30, 2021, primarily consists of $111,940 in cash proceeds from the issuance of notes payable and related party notes payable, net of original discounts and $7,751 in proceeds from exercise of stock options. These inflows were partially offset by payments of related party notes payable of $1,528, payments of notes payable issuance costs of $3,355, payments of stock issuance costs of $1,071 and payments of finance lease obligation of $2,212.</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Exchange Rate Changes on Cash and Restricted Cash</w:t>
      </w:r>
    </w:p>
    <w:p>
      <w:pPr>
        <w:spacing w:after="0" w:line="177" w:lineRule="exact"/>
        <w:rPr>
          <w:sz w:val="20"/>
          <w:szCs w:val="20"/>
          <w:color w:val="auto"/>
        </w:rPr>
      </w:pPr>
    </w:p>
    <w:p>
      <w:pPr>
        <w:ind w:right="20" w:firstLine="440"/>
        <w:spacing w:after="0" w:line="297" w:lineRule="auto"/>
        <w:rPr>
          <w:sz w:val="20"/>
          <w:szCs w:val="20"/>
          <w:color w:val="auto"/>
        </w:rPr>
      </w:pPr>
      <w:r>
        <w:rPr>
          <w:rFonts w:ascii="Arial" w:cs="Arial" w:eastAsia="Arial" w:hAnsi="Arial"/>
          <w:sz w:val="16"/>
          <w:szCs w:val="16"/>
          <w:color w:val="auto"/>
        </w:rPr>
        <w:t>The exchange rates effect on Cash and Restricted Cash was $2,235 and $(1,407) for the six months ended June 30, 2022 and 2021, respectively. The effects of exchange rate changes on cash and restricted cash result from fluctuations on the translation of assets and liabilities denominated in foreign currencies, primarily Chinese Renminbi. Fluctuations in exchange rates against the U.S. dollar may positively or negatively affect FF’s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as of June 30, 2022, significant cash obligations that affect FF’s future liquidity: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center"/>
              <w:ind w:left="755"/>
              <w:spacing w:after="0"/>
              <w:rPr>
                <w:sz w:val="20"/>
                <w:szCs w:val="20"/>
                <w:color w:val="auto"/>
              </w:rPr>
            </w:pPr>
            <w:r>
              <w:rPr>
                <w:rFonts w:ascii="Arial" w:cs="Arial" w:eastAsia="Arial" w:hAnsi="Arial"/>
                <w:sz w:val="16"/>
                <w:szCs w:val="16"/>
                <w:b w:val="1"/>
                <w:bCs w:val="1"/>
                <w:color w:val="auto"/>
                <w:w w:val="88"/>
              </w:rPr>
              <w:t>Payments Due by Period</w:t>
            </w: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3"/>
                <w:szCs w:val="13"/>
                <w:color w:val="auto"/>
              </w:rPr>
            </w:pPr>
          </w:p>
        </w:tc>
        <w:tc>
          <w:tcPr>
            <w:tcW w:w="1100" w:type="dxa"/>
            <w:vAlign w:val="bottom"/>
          </w:tcPr>
          <w:p>
            <w:pPr>
              <w:jc w:val="right"/>
              <w:ind w:right="415"/>
              <w:spacing w:after="0" w:line="154" w:lineRule="exact"/>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115"/>
              <w:spacing w:after="0" w:line="154" w:lineRule="exact"/>
              <w:rPr>
                <w:sz w:val="20"/>
                <w:szCs w:val="20"/>
                <w:color w:val="auto"/>
              </w:rPr>
            </w:pPr>
            <w:r>
              <w:rPr>
                <w:rFonts w:ascii="Arial" w:cs="Arial" w:eastAsia="Arial" w:hAnsi="Arial"/>
                <w:sz w:val="16"/>
                <w:szCs w:val="16"/>
                <w:b w:val="1"/>
                <w:bCs w:val="1"/>
                <w:color w:val="auto"/>
                <w:w w:val="88"/>
              </w:rPr>
              <w:t>2023 -</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jc w:val="right"/>
              <w:ind w:right="374"/>
              <w:spacing w:after="0" w:line="154" w:lineRule="exact"/>
              <w:rPr>
                <w:sz w:val="20"/>
                <w:szCs w:val="20"/>
                <w:color w:val="auto"/>
              </w:rPr>
            </w:pPr>
            <w:r>
              <w:rPr>
                <w:rFonts w:ascii="Arial" w:cs="Arial" w:eastAsia="Arial" w:hAnsi="Arial"/>
                <w:sz w:val="16"/>
                <w:szCs w:val="16"/>
                <w:b w:val="1"/>
                <w:bCs w:val="1"/>
                <w:color w:val="auto"/>
              </w:rPr>
              <w:t>2025 -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214"/>
              <w:spacing w:after="0"/>
              <w:rPr>
                <w:sz w:val="20"/>
                <w:szCs w:val="20"/>
                <w:color w:val="auto"/>
              </w:rPr>
            </w:pPr>
            <w:r>
              <w:rPr>
                <w:rFonts w:ascii="Arial" w:cs="Arial" w:eastAsia="Arial" w:hAnsi="Arial"/>
                <w:sz w:val="16"/>
                <w:szCs w:val="16"/>
                <w:b w:val="1"/>
                <w:bCs w:val="1"/>
                <w:color w:val="auto"/>
                <w:w w:val="99"/>
              </w:rPr>
              <w:t>Thereafter</w:t>
            </w:r>
          </w:p>
        </w:tc>
        <w:tc>
          <w:tcPr>
            <w:tcW w:w="0" w:type="dxa"/>
            <w:vAlign w:val="bottom"/>
          </w:tcPr>
          <w:p>
            <w:pPr>
              <w:spacing w:after="0"/>
              <w:rPr>
                <w:sz w:val="1"/>
                <w:szCs w:val="1"/>
                <w:color w:val="auto"/>
              </w:rPr>
            </w:pPr>
          </w:p>
        </w:tc>
      </w:tr>
      <w:tr>
        <w:trPr>
          <w:trHeight w:val="207"/>
        </w:trPr>
        <w:tc>
          <w:tcPr>
            <w:tcW w:w="4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(6 months)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89"/>
              </w:rPr>
              <w:t>2024</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i w:val="1"/>
                <w:iCs w:val="1"/>
                <w:color w:val="auto"/>
                <w:w w:val="85"/>
              </w:rPr>
              <w:t>(in thousands)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p>
        </w:tc>
        <w:tc>
          <w:tcPr>
            <w:tcW w:w="300" w:type="dxa"/>
            <w:vAlign w:val="bottom"/>
            <w:shd w:val="clear" w:color="auto" w:fill="CCEEFF"/>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11,804</w:t>
            </w:r>
          </w:p>
        </w:tc>
        <w:tc>
          <w:tcPr>
            <w:tcW w:w="0" w:type="dxa"/>
            <w:vAlign w:val="bottom"/>
          </w:tcPr>
          <w:p>
            <w:pPr>
              <w:spacing w:after="0"/>
              <w:rPr>
                <w:sz w:val="1"/>
                <w:szCs w:val="1"/>
                <w:color w:val="auto"/>
              </w:rPr>
            </w:pPr>
          </w:p>
        </w:tc>
      </w:tr>
      <w:tr>
        <w:trPr>
          <w:trHeight w:val="262"/>
        </w:trPr>
        <w:tc>
          <w:tcPr>
            <w:tcW w:w="4320" w:type="dxa"/>
            <w:vAlign w:val="bottom"/>
          </w:tcPr>
          <w:p>
            <w:pPr>
              <w:ind w:left="20"/>
              <w:spacing w:after="0"/>
              <w:rPr>
                <w:sz w:val="20"/>
                <w:szCs w:val="20"/>
                <w:color w:val="auto"/>
              </w:rPr>
            </w:pPr>
            <w:r>
              <w:rPr>
                <w:rFonts w:ascii="Arial" w:cs="Arial" w:eastAsia="Arial" w:hAnsi="Arial"/>
                <w:sz w:val="17"/>
                <w:szCs w:val="17"/>
                <w:color w:val="auto"/>
              </w:rPr>
              <w:t>Finance lease obligations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10,694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3,923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1,864</w:t>
            </w:r>
          </w:p>
        </w:tc>
        <w:tc>
          <w:tcPr>
            <w:tcW w:w="0" w:type="dxa"/>
            <w:vAlign w:val="bottom"/>
          </w:tcPr>
          <w:p>
            <w:pPr>
              <w:spacing w:after="0"/>
              <w:rPr>
                <w:sz w:val="1"/>
                <w:szCs w:val="1"/>
                <w:color w:val="auto"/>
              </w:rPr>
            </w:pPr>
          </w:p>
        </w:tc>
      </w:tr>
      <w:tr>
        <w:trPr>
          <w:trHeight w:val="262"/>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Related party notes payable</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12,962</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2"/>
        </w:trPr>
        <w:tc>
          <w:tcPr>
            <w:tcW w:w="4320" w:type="dxa"/>
            <w:vAlign w:val="bottom"/>
          </w:tcPr>
          <w:p>
            <w:pPr>
              <w:ind w:left="20"/>
              <w:spacing w:after="0"/>
              <w:rPr>
                <w:sz w:val="20"/>
                <w:szCs w:val="20"/>
                <w:color w:val="auto"/>
              </w:rPr>
            </w:pPr>
            <w:r>
              <w:rPr>
                <w:rFonts w:ascii="Arial" w:cs="Arial" w:eastAsia="Arial" w:hAnsi="Arial"/>
                <w:sz w:val="17"/>
                <w:szCs w:val="17"/>
                <w:color w:val="auto"/>
              </w:rPr>
              <w:t>Related party accrued interest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12,660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12,660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2"/>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payable</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79,214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33,917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2"/>
        </w:trPr>
        <w:tc>
          <w:tcPr>
            <w:tcW w:w="4320" w:type="dxa"/>
            <w:vAlign w:val="bottom"/>
          </w:tcPr>
          <w:p>
            <w:pPr>
              <w:ind w:left="20"/>
              <w:spacing w:after="0"/>
              <w:rPr>
                <w:sz w:val="20"/>
                <w:szCs w:val="20"/>
                <w:color w:val="auto"/>
              </w:rPr>
            </w:pPr>
            <w:r>
              <w:rPr>
                <w:rFonts w:ascii="Arial" w:cs="Arial" w:eastAsia="Arial" w:hAnsi="Arial"/>
                <w:sz w:val="17"/>
                <w:szCs w:val="17"/>
                <w:color w:val="auto"/>
              </w:rPr>
              <w:t>Accrued interest</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2"/>
                <w:szCs w:val="22"/>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Palantir license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41,667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380"/>
              <w:spacing w:after="0"/>
              <w:rPr>
                <w:sz w:val="20"/>
                <w:szCs w:val="20"/>
                <w:color w:val="auto"/>
              </w:rPr>
            </w:pPr>
            <w:r>
              <w:rPr>
                <w:rFonts w:ascii="Arial" w:cs="Arial" w:eastAsia="Arial" w:hAnsi="Arial"/>
                <w:sz w:val="17"/>
                <w:szCs w:val="17"/>
                <w:color w:val="auto"/>
              </w:rPr>
              <w:t>Total contractual obligations</w:t>
            </w:r>
          </w:p>
        </w:tc>
        <w:tc>
          <w:tcPr>
            <w:tcW w:w="3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191,647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78,049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67,250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32,680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13,668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FF can cancel without a significant penalty.</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settled certain notes payable during the six months ended June 30, 2022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4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ending June 30, 2022</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Contractual</w:t>
            </w:r>
          </w:p>
        </w:tc>
        <w:tc>
          <w:tcPr>
            <w:tcW w:w="1280" w:type="dxa"/>
            <w:vAlign w:val="bottom"/>
            <w:gridSpan w:val="3"/>
          </w:tcPr>
          <w:p>
            <w:pPr>
              <w:jc w:val="center"/>
              <w:ind w:right="170"/>
              <w:spacing w:after="0" w:line="124" w:lineRule="exact"/>
              <w:rPr>
                <w:sz w:val="20"/>
                <w:szCs w:val="20"/>
                <w:color w:val="auto"/>
              </w:rPr>
            </w:pPr>
            <w:r>
              <w:rPr>
                <w:rFonts w:ascii="Arial" w:cs="Arial" w:eastAsia="Arial" w:hAnsi="Arial"/>
                <w:sz w:val="14"/>
                <w:szCs w:val="14"/>
                <w:b w:val="1"/>
                <w:bCs w:val="1"/>
                <w:color w:val="auto"/>
                <w:w w:val="92"/>
              </w:rPr>
              <w:t>Contractual</w:t>
            </w:r>
          </w:p>
        </w:tc>
        <w:tc>
          <w:tcPr>
            <w:tcW w:w="1040" w:type="dxa"/>
            <w:vAlign w:val="bottom"/>
            <w:gridSpan w:val="2"/>
          </w:tcPr>
          <w:p>
            <w:pPr>
              <w:jc w:val="center"/>
              <w:ind w:right="240"/>
              <w:spacing w:after="0" w:line="124" w:lineRule="exact"/>
              <w:rPr>
                <w:sz w:val="20"/>
                <w:szCs w:val="20"/>
                <w:color w:val="auto"/>
              </w:rPr>
            </w:pPr>
            <w:r>
              <w:rPr>
                <w:rFonts w:ascii="Arial" w:cs="Arial" w:eastAsia="Arial" w:hAnsi="Arial"/>
                <w:sz w:val="14"/>
                <w:szCs w:val="14"/>
                <w:b w:val="1"/>
                <w:bCs w:val="1"/>
                <w:color w:val="auto"/>
                <w:w w:val="92"/>
              </w:rPr>
              <w:t>Net carrying</w:t>
            </w:r>
          </w:p>
        </w:tc>
        <w:tc>
          <w:tcPr>
            <w:tcW w:w="140" w:type="dxa"/>
            <w:vAlign w:val="bottom"/>
          </w:tcPr>
          <w:p>
            <w:pPr>
              <w:spacing w:after="0"/>
              <w:rPr>
                <w:sz w:val="10"/>
                <w:szCs w:val="10"/>
                <w:color w:val="auto"/>
              </w:rPr>
            </w:pPr>
          </w:p>
        </w:tc>
        <w:tc>
          <w:tcPr>
            <w:tcW w:w="1120" w:type="dxa"/>
            <w:vAlign w:val="bottom"/>
            <w:gridSpan w:val="2"/>
          </w:tcPr>
          <w:p>
            <w:pPr>
              <w:jc w:val="center"/>
              <w:ind w:right="220"/>
              <w:spacing w:after="0" w:line="124" w:lineRule="exact"/>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0"/>
                <w:szCs w:val="10"/>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Payment</w:t>
            </w: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Note Name</w:t>
            </w:r>
          </w:p>
        </w:tc>
        <w:tc>
          <w:tcPr>
            <w:tcW w:w="8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80" w:type="dxa"/>
            <w:vAlign w:val="bottom"/>
            <w:gridSpan w:val="3"/>
          </w:tcPr>
          <w:p>
            <w:pPr>
              <w:jc w:val="center"/>
              <w:ind w:right="190"/>
              <w:spacing w:after="0" w:line="144" w:lineRule="exact"/>
              <w:rPr>
                <w:sz w:val="20"/>
                <w:szCs w:val="20"/>
                <w:color w:val="auto"/>
              </w:rPr>
            </w:pPr>
            <w:r>
              <w:rPr>
                <w:rFonts w:ascii="Arial" w:cs="Arial" w:eastAsia="Arial" w:hAnsi="Arial"/>
                <w:sz w:val="14"/>
                <w:szCs w:val="14"/>
                <w:b w:val="1"/>
                <w:bCs w:val="1"/>
                <w:color w:val="auto"/>
                <w:w w:val="90"/>
              </w:rPr>
              <w:t>Interest</w:t>
            </w:r>
          </w:p>
        </w:tc>
        <w:tc>
          <w:tcPr>
            <w:tcW w:w="104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8"/>
              </w:rPr>
              <w:t>value at</w:t>
            </w: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0"/>
              </w:rPr>
              <w:t>Measurement</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7"/>
              </w:rPr>
              <w:t>Cash Payment</w:t>
            </w:r>
          </w:p>
        </w:tc>
        <w:tc>
          <w:tcPr>
            <w:tcW w:w="0" w:type="dxa"/>
            <w:vAlign w:val="bottom"/>
          </w:tcPr>
          <w:p>
            <w:pPr>
              <w:spacing w:after="0"/>
              <w:rPr>
                <w:sz w:val="1"/>
                <w:szCs w:val="1"/>
                <w:color w:val="auto"/>
              </w:rPr>
            </w:pPr>
          </w:p>
        </w:tc>
      </w:tr>
      <w:tr>
        <w:trPr>
          <w:trHeight w:val="190"/>
        </w:trPr>
        <w:tc>
          <w:tcPr>
            <w:tcW w:w="36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Maturity Date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Rates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12/31/2021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Adjustments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Premium</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1, 2021 Notes</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1"/>
              </w:rPr>
              <w:t>March 1, 2022</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14.00%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w:t>
            </w:r>
          </w:p>
        </w:tc>
        <w:tc>
          <w:tcPr>
            <w:tcW w:w="0" w:type="dxa"/>
            <w:vAlign w:val="bottom"/>
          </w:tcPr>
          <w:p>
            <w:pPr>
              <w:spacing w:after="0"/>
              <w:rPr>
                <w:sz w:val="1"/>
                <w:szCs w:val="1"/>
                <w:color w:val="auto"/>
              </w:rPr>
            </w:pPr>
          </w:p>
        </w:tc>
      </w:tr>
      <w:tr>
        <w:trPr>
          <w:trHeight w:val="222"/>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August 26, 2021 Notes</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March 1, 2022</w:t>
            </w:r>
          </w:p>
        </w:tc>
        <w:tc>
          <w:tcPr>
            <w:tcW w:w="1040" w:type="dxa"/>
            <w:vAlign w:val="bottom"/>
          </w:tcPr>
          <w:p>
            <w:pPr>
              <w:jc w:val="center"/>
              <w:spacing w:after="0"/>
              <w:rPr>
                <w:sz w:val="20"/>
                <w:szCs w:val="20"/>
                <w:color w:val="auto"/>
              </w:rPr>
            </w:pPr>
            <w:r>
              <w:rPr>
                <w:rFonts w:ascii="Arial" w:cs="Arial" w:eastAsia="Arial" w:hAnsi="Arial"/>
                <w:sz w:val="16"/>
                <w:szCs w:val="16"/>
                <w:color w:val="auto"/>
                <w:w w:val="88"/>
              </w:rPr>
              <w:t>14.00%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30,924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(32,065)</w:t>
            </w:r>
          </w:p>
        </w:tc>
        <w:tc>
          <w:tcPr>
            <w:tcW w:w="0" w:type="dxa"/>
            <w:vAlign w:val="bottom"/>
          </w:tcPr>
          <w:p>
            <w:pPr>
              <w:spacing w:after="0"/>
              <w:rPr>
                <w:sz w:val="1"/>
                <w:szCs w:val="1"/>
                <w:color w:val="auto"/>
              </w:rPr>
            </w:pPr>
          </w:p>
        </w:tc>
      </w:tr>
      <w:tr>
        <w:trPr>
          <w:trHeight w:val="223"/>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PPP Loan</w:t>
            </w:r>
          </w:p>
        </w:tc>
        <w:tc>
          <w:tcPr>
            <w:tcW w:w="16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April 17, 2022</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1.00%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116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87,812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(2,619)</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2,065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(87,258)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7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The preparation of our unaudited Condensed Consolidated Financial Statements requires management to make estimates and assumptions that affect the reported amounts of assets and liabilities, disclosures of contingent liabilities, and the reported amounts of expenses during the reporting period. Management has based its estimates on historical experience and on various other assumptions that are believed to be reasonable under the circumstances, the results of which form the basis for making judgments about the carrying values that are not readily apparent from other sources.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7" w:name="page48"/>
    <w:bookmarkEnd w:id="47"/>
    <w:p>
      <w:pPr>
        <w:ind w:right="80" w:firstLine="440"/>
        <w:spacing w:after="0" w:line="265" w:lineRule="auto"/>
        <w:rPr>
          <w:sz w:val="20"/>
          <w:szCs w:val="20"/>
          <w:color w:val="auto"/>
        </w:rPr>
      </w:pPr>
      <w:r>
        <w:rPr>
          <w:rFonts w:ascii="Arial" w:cs="Arial" w:eastAsia="Arial" w:hAnsi="Arial"/>
          <w:sz w:val="17"/>
          <w:szCs w:val="17"/>
          <w:color w:val="auto"/>
        </w:rPr>
        <w:t>Actual results may differ from these estimates under different assumptions or conditions. Changes in the accounting estimates are reasonably likely to occur from period to period. Accordingly, actual results could differ significantly from the estimates made by FF’s management. To the extent that there are material differences between these estimates and actual results, future financial statement presentation, financial condition, results of operations, and cash flows will be affected. Given the global economic climate and unpredictable nature and unknown duration of the COVID-19 pandemic, estimates are subject to additional variability and volatility.</w:t>
      </w:r>
    </w:p>
    <w:p>
      <w:pPr>
        <w:spacing w:after="0" w:line="126"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Accounting estimates and assumptions are evaluated on an ongoing basis, which are discussed in more detail under the caption “</w:t>
      </w:r>
      <w:r>
        <w:rPr>
          <w:rFonts w:ascii="Arial" w:cs="Arial" w:eastAsia="Arial" w:hAnsi="Arial"/>
          <w:sz w:val="16"/>
          <w:szCs w:val="16"/>
          <w:i w:val="1"/>
          <w:iCs w:val="1"/>
          <w:color w:val="auto"/>
        </w:rPr>
        <w:t>Critical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Policies and Estimates</w:t>
      </w:r>
      <w:r>
        <w:rPr>
          <w:rFonts w:ascii="Arial" w:cs="Arial" w:eastAsia="Arial" w:hAnsi="Arial"/>
          <w:sz w:val="16"/>
          <w:szCs w:val="16"/>
          <w:color w:val="auto"/>
        </w:rPr>
        <w:t>” in</w:t>
      </w:r>
      <w:r>
        <w:rPr>
          <w:rFonts w:ascii="Arial" w:cs="Arial" w:eastAsia="Arial" w:hAnsi="Arial"/>
          <w:sz w:val="16"/>
          <w:szCs w:val="16"/>
          <w:i w:val="1"/>
          <w:iCs w:val="1"/>
          <w:color w:val="auto"/>
        </w:rPr>
        <w:t xml:space="preserve"> Management’s Discussion and Analysis of Financial Condition and Results of Operations</w:t>
      </w:r>
      <w:r>
        <w:rPr>
          <w:rFonts w:ascii="Arial" w:cs="Arial" w:eastAsia="Arial" w:hAnsi="Arial"/>
          <w:sz w:val="16"/>
          <w:szCs w:val="16"/>
          <w:color w:val="auto"/>
        </w:rPr>
        <w:t xml:space="preserve">, set forth in Part II Item 7, of our Form 10-K for the year ended December 31, 2021, as well as see Note 1. </w:t>
      </w:r>
      <w:r>
        <w:rPr>
          <w:rFonts w:ascii="Arial" w:cs="Arial" w:eastAsia="Arial" w:hAnsi="Arial"/>
          <w:sz w:val="16"/>
          <w:szCs w:val="16"/>
          <w:i w:val="1"/>
          <w:iCs w:val="1"/>
          <w:color w:val="auto"/>
        </w:rPr>
        <w:t>Nature of Business and Organization and Basis of Presentation</w:t>
      </w:r>
      <w:r>
        <w:rPr>
          <w:rFonts w:ascii="Arial" w:cs="Arial" w:eastAsia="Arial" w:hAnsi="Arial"/>
          <w:sz w:val="16"/>
          <w:szCs w:val="16"/>
          <w:color w:val="auto"/>
        </w:rPr>
        <w:t xml:space="preserve"> in the Notes to the unaudited Condensed Consolidated Financial Statements for discussion of estimates related to accounting pronouncements recently adopted.</w:t>
      </w:r>
    </w:p>
    <w:p>
      <w:pPr>
        <w:spacing w:after="0" w:line="109"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For a description of the Company’s significant accounting policies, see Note 1, </w:t>
      </w:r>
      <w:r>
        <w:rPr>
          <w:rFonts w:ascii="Arial" w:cs="Arial" w:eastAsia="Arial" w:hAnsi="Arial"/>
          <w:sz w:val="16"/>
          <w:szCs w:val="16"/>
          <w:i w:val="1"/>
          <w:iCs w:val="1"/>
          <w:color w:val="auto"/>
        </w:rPr>
        <w:t>Nature of Business and Organization and Basis of Presentation</w:t>
      </w:r>
      <w:r>
        <w:rPr>
          <w:rFonts w:ascii="Arial" w:cs="Arial" w:eastAsia="Arial" w:hAnsi="Arial"/>
          <w:sz w:val="16"/>
          <w:szCs w:val="16"/>
          <w:color w:val="auto"/>
        </w:rPr>
        <w:t xml:space="preserve"> of the Notes to the unaudited Condensed Consolidated Financial Statements for the years ended December 31, 2021 and 2020 included in our Form 10-K for the year ended December 31, 2021.</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7" w:lineRule="exact"/>
        <w:rPr>
          <w:sz w:val="20"/>
          <w:szCs w:val="20"/>
          <w:color w:val="auto"/>
        </w:rPr>
      </w:pPr>
    </w:p>
    <w:p>
      <w:pPr>
        <w:ind w:right="180" w:firstLine="440"/>
        <w:spacing w:after="0" w:line="289" w:lineRule="auto"/>
        <w:rPr>
          <w:sz w:val="20"/>
          <w:szCs w:val="20"/>
          <w:color w:val="auto"/>
        </w:rPr>
      </w:pPr>
      <w:r>
        <w:rPr>
          <w:rFonts w:ascii="Arial" w:cs="Arial" w:eastAsia="Arial" w:hAnsi="Arial"/>
          <w:sz w:val="17"/>
          <w:szCs w:val="17"/>
          <w:color w:val="auto"/>
        </w:rPr>
        <w:t xml:space="preserve">See Note 1, </w:t>
      </w:r>
      <w:r>
        <w:rPr>
          <w:rFonts w:ascii="Arial" w:cs="Arial" w:eastAsia="Arial" w:hAnsi="Arial"/>
          <w:sz w:val="17"/>
          <w:szCs w:val="17"/>
          <w:i w:val="1"/>
          <w:iCs w:val="1"/>
          <w:color w:val="auto"/>
        </w:rPr>
        <w:t>Nature of Business and Organization and Basis of Presentation</w:t>
      </w:r>
      <w:r>
        <w:rPr>
          <w:rFonts w:ascii="Arial" w:cs="Arial" w:eastAsia="Arial" w:hAnsi="Arial"/>
          <w:sz w:val="17"/>
          <w:szCs w:val="17"/>
          <w:color w:val="auto"/>
        </w:rPr>
        <w:t xml:space="preserve"> in the Notes to the unaudited Condensed Consolidated Financial Statements for a discussion about accounting pronouncements recently adopted and recently issued, but not yet adopted.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Pursuant to Item 305(e) of Regulation S-K, FF is not required to provide the information required by this Item as it is a “smaller reporting company.”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Disclosure Controls and Procedures</w:t>
      </w:r>
    </w:p>
    <w:p>
      <w:pPr>
        <w:spacing w:after="0" w:line="171" w:lineRule="exact"/>
        <w:rPr>
          <w:sz w:val="20"/>
          <w:szCs w:val="20"/>
          <w:color w:val="auto"/>
        </w:rPr>
      </w:pPr>
    </w:p>
    <w:p>
      <w:pPr>
        <w:ind w:right="280" w:firstLine="440"/>
        <w:spacing w:after="0" w:line="267" w:lineRule="auto"/>
        <w:rPr>
          <w:sz w:val="20"/>
          <w:szCs w:val="20"/>
          <w:color w:val="auto"/>
        </w:rPr>
      </w:pPr>
      <w:r>
        <w:rPr>
          <w:rFonts w:ascii="Arial" w:cs="Arial" w:eastAsia="Arial" w:hAnsi="Arial"/>
          <w:sz w:val="17"/>
          <w:szCs w:val="17"/>
          <w:color w:val="auto"/>
        </w:rPr>
        <w:t>FF’s disclosure controls and procedures are designed to ensure that information required to be disclosed by the issuer in the reports that FF files or submits under the Securities Exchange Act of 1934, as amended, is recorded, processed, summarized, and reported within the time periods specified in the Commission's rules and forms, and that such information is accumulated and communicated to management, including its Chief Executive Officer and Chief Financial Officer, as appropriate to allow timely decisions regarding required disclosure.</w:t>
      </w:r>
    </w:p>
    <w:p>
      <w:pPr>
        <w:spacing w:after="0" w:line="126"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Based on an evaluation of FF’s disclosure controls and procedures (as defined in rules 13a-15(e) and 15d-15(e) of the Securities Exchange Act of 1934, as amended), FF’s Chief Executive Officer and Chief Financial Officer (its principal executive officer and principal financial and accounting officer, respectively) have concluded that FF’s disclosure controls and procedures were not effective as of June 30, 2022, due to the material weaknesses in our internal control over financial reporting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Material Weaknesses in Internal Control Over Financial Reporting</w:t>
      </w:r>
    </w:p>
    <w:p>
      <w:pPr>
        <w:spacing w:after="0" w:line="171" w:lineRule="exact"/>
        <w:rPr>
          <w:sz w:val="20"/>
          <w:szCs w:val="20"/>
          <w:color w:val="auto"/>
        </w:rPr>
      </w:pPr>
    </w:p>
    <w:p>
      <w:pPr>
        <w:ind w:right="60" w:firstLine="445"/>
        <w:spacing w:after="0" w:line="273" w:lineRule="auto"/>
        <w:tabs>
          <w:tab w:leader="none" w:pos="678" w:val="left"/>
        </w:tabs>
        <w:numPr>
          <w:ilvl w:val="0"/>
          <w:numId w:val="30"/>
        </w:numPr>
        <w:rPr>
          <w:rFonts w:ascii="Arial" w:cs="Arial" w:eastAsia="Arial" w:hAnsi="Arial"/>
          <w:sz w:val="17"/>
          <w:szCs w:val="17"/>
          <w:color w:val="auto"/>
        </w:rPr>
      </w:pPr>
      <w:r>
        <w:rPr>
          <w:rFonts w:ascii="Arial" w:cs="Arial" w:eastAsia="Arial" w:hAnsi="Arial"/>
          <w:sz w:val="17"/>
          <w:szCs w:val="17"/>
          <w:color w:val="auto"/>
        </w:rPr>
        <w:t>identified material weaknesses in FF’s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 material weaknesses are as follows:</w:t>
      </w:r>
    </w:p>
    <w:p>
      <w:pPr>
        <w:spacing w:after="0" w:line="119" w:lineRule="exact"/>
        <w:rPr>
          <w:sz w:val="20"/>
          <w:szCs w:val="20"/>
          <w:color w:val="auto"/>
        </w:rPr>
      </w:pPr>
    </w:p>
    <w:p>
      <w:pPr>
        <w:ind w:left="860" w:right="20" w:hanging="384"/>
        <w:spacing w:after="0" w:line="289" w:lineRule="auto"/>
        <w:tabs>
          <w:tab w:leader="none" w:pos="856" w:val="left"/>
        </w:tabs>
        <w:numPr>
          <w:ilvl w:val="0"/>
          <w:numId w:val="31"/>
        </w:numPr>
        <w:rPr>
          <w:rFonts w:ascii="Arial" w:cs="Arial" w:eastAsia="Arial" w:hAnsi="Arial"/>
          <w:sz w:val="16"/>
          <w:szCs w:val="16"/>
          <w:color w:val="auto"/>
        </w:rPr>
      </w:pPr>
      <w:r>
        <w:rPr>
          <w:rFonts w:ascii="Arial" w:cs="Arial" w:eastAsia="Arial" w:hAnsi="Arial"/>
          <w:sz w:val="16"/>
          <w:szCs w:val="16"/>
          <w:color w:val="auto"/>
        </w:rPr>
        <w:t>FF did not design and maintain an effective control environment commensurate with its financial reporting requirements. Specifically, FF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w:t>
      </w:r>
    </w:p>
    <w:p>
      <w:pPr>
        <w:spacing w:after="0" w:line="200" w:lineRule="exact"/>
        <w:rPr>
          <w:sz w:val="20"/>
          <w:szCs w:val="20"/>
          <w:color w:val="auto"/>
        </w:rPr>
      </w:pPr>
    </w:p>
    <w:p>
      <w:pPr>
        <w:spacing w:after="0" w:line="328"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8" w:name="page49"/>
    <w:bookmarkEnd w:id="48"/>
    <w:p>
      <w:pPr>
        <w:ind w:left="860" w:right="260"/>
        <w:spacing w:after="0" w:line="289" w:lineRule="auto"/>
        <w:rPr>
          <w:sz w:val="20"/>
          <w:szCs w:val="20"/>
          <w:color w:val="auto"/>
        </w:rPr>
      </w:pPr>
      <w:r>
        <w:rPr>
          <w:rFonts w:ascii="Arial" w:cs="Arial" w:eastAsia="Arial" w:hAnsi="Arial"/>
          <w:sz w:val="17"/>
          <w:szCs w:val="17"/>
          <w:color w:val="auto"/>
        </w:rPr>
        <w:t>authorities and responsibilities in pursuit of its financial reporting objectives, as demonstrated by, among other things, insufficient segregation of duties in its finance and accounting functions.</w:t>
      </w:r>
    </w:p>
    <w:p>
      <w:pPr>
        <w:spacing w:after="0" w:line="106" w:lineRule="exact"/>
        <w:rPr>
          <w:sz w:val="20"/>
          <w:szCs w:val="20"/>
          <w:color w:val="auto"/>
        </w:rPr>
      </w:pPr>
    </w:p>
    <w:p>
      <w:pPr>
        <w:jc w:val="both"/>
        <w:ind w:left="860" w:right="120" w:hanging="384"/>
        <w:spacing w:after="0" w:line="273" w:lineRule="auto"/>
        <w:tabs>
          <w:tab w:leader="none" w:pos="856" w:val="left"/>
        </w:tabs>
        <w:numPr>
          <w:ilvl w:val="0"/>
          <w:numId w:val="32"/>
        </w:numPr>
        <w:rPr>
          <w:rFonts w:ascii="Arial" w:cs="Arial" w:eastAsia="Arial" w:hAnsi="Arial"/>
          <w:sz w:val="17"/>
          <w:szCs w:val="17"/>
          <w:color w:val="auto"/>
        </w:rPr>
      </w:pPr>
      <w:r>
        <w:rPr>
          <w:rFonts w:ascii="Arial" w:cs="Arial" w:eastAsia="Arial" w:hAnsi="Arial"/>
          <w:sz w:val="17"/>
          <w:szCs w:val="17"/>
          <w:color w:val="auto"/>
        </w:rPr>
        <w:t>FF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w:t>
      </w:r>
    </w:p>
    <w:p>
      <w:pPr>
        <w:spacing w:after="0" w:line="118" w:lineRule="exact"/>
        <w:rPr>
          <w:rFonts w:ascii="Arial" w:cs="Arial" w:eastAsia="Arial" w:hAnsi="Arial"/>
          <w:sz w:val="17"/>
          <w:szCs w:val="17"/>
          <w:color w:val="auto"/>
        </w:rPr>
      </w:pPr>
    </w:p>
    <w:p>
      <w:pPr>
        <w:ind w:left="860" w:right="200" w:hanging="384"/>
        <w:spacing w:after="0" w:line="267" w:lineRule="auto"/>
        <w:tabs>
          <w:tab w:leader="none" w:pos="856" w:val="left"/>
        </w:tabs>
        <w:numPr>
          <w:ilvl w:val="0"/>
          <w:numId w:val="32"/>
        </w:numPr>
        <w:rPr>
          <w:rFonts w:ascii="Arial" w:cs="Arial" w:eastAsia="Arial" w:hAnsi="Arial"/>
          <w:sz w:val="17"/>
          <w:szCs w:val="17"/>
          <w:color w:val="auto"/>
        </w:rPr>
      </w:pPr>
      <w:r>
        <w:rPr>
          <w:rFonts w:ascii="Arial" w:cs="Arial" w:eastAsia="Arial" w:hAnsi="Arial"/>
          <w:sz w:val="17"/>
          <w:szCs w:val="17"/>
          <w:color w:val="auto"/>
        </w:rPr>
        <w:t>FF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These material weaknesses contributed to the following additional material weaknesses:</w:t>
      </w:r>
    </w:p>
    <w:p>
      <w:pPr>
        <w:spacing w:after="0" w:line="171" w:lineRule="exact"/>
        <w:rPr>
          <w:sz w:val="20"/>
          <w:szCs w:val="20"/>
          <w:color w:val="auto"/>
        </w:rPr>
      </w:pPr>
    </w:p>
    <w:p>
      <w:pPr>
        <w:ind w:left="860" w:right="160" w:hanging="384"/>
        <w:spacing w:after="0" w:line="267" w:lineRule="auto"/>
        <w:tabs>
          <w:tab w:leader="none" w:pos="856" w:val="left"/>
        </w:tabs>
        <w:numPr>
          <w:ilvl w:val="0"/>
          <w:numId w:val="33"/>
        </w:numPr>
        <w:rPr>
          <w:rFonts w:ascii="Arial" w:cs="Arial" w:eastAsia="Arial" w:hAnsi="Arial"/>
          <w:sz w:val="17"/>
          <w:szCs w:val="17"/>
          <w:color w:val="auto"/>
        </w:rPr>
      </w:pPr>
      <w:r>
        <w:rPr>
          <w:rFonts w:ascii="Arial" w:cs="Arial" w:eastAsia="Arial" w:hAnsi="Arial"/>
          <w:sz w:val="17"/>
          <w:szCs w:val="17"/>
          <w:color w:val="auto"/>
        </w:rPr>
        <w:t>FF did not design and maintain effective controls to address the identification of and accounting for certain non-routine, unusual or complex transactions, including the proper application of U.S. GAAP to such transactions. Specifically, FF did not design and maintain controls to timely identify and account for embedded derivatives related to convertible notes, impute interest on related party notes payable with interest rates below market rates, account for failed sale leaseback transactions, and account for warrant instruments.</w:t>
      </w:r>
    </w:p>
    <w:p>
      <w:pPr>
        <w:spacing w:after="0" w:line="125" w:lineRule="exact"/>
        <w:rPr>
          <w:rFonts w:ascii="Arial" w:cs="Arial" w:eastAsia="Arial" w:hAnsi="Arial"/>
          <w:sz w:val="17"/>
          <w:szCs w:val="17"/>
          <w:color w:val="auto"/>
        </w:rPr>
      </w:pPr>
    </w:p>
    <w:p>
      <w:pPr>
        <w:ind w:left="860" w:right="40" w:hanging="384"/>
        <w:spacing w:after="0" w:line="289" w:lineRule="auto"/>
        <w:tabs>
          <w:tab w:leader="none" w:pos="8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FF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p>
      <w:pPr>
        <w:spacing w:after="0" w:line="345" w:lineRule="exact"/>
        <w:rPr>
          <w:sz w:val="20"/>
          <w:szCs w:val="20"/>
          <w:color w:val="auto"/>
        </w:rPr>
      </w:pPr>
    </w:p>
    <w:p>
      <w:pPr>
        <w:ind w:firstLine="440"/>
        <w:spacing w:after="0" w:line="278" w:lineRule="auto"/>
        <w:rPr>
          <w:sz w:val="20"/>
          <w:szCs w:val="20"/>
          <w:color w:val="auto"/>
        </w:rPr>
      </w:pPr>
      <w:r>
        <w:rPr>
          <w:rFonts w:ascii="Arial" w:cs="Arial" w:eastAsia="Arial" w:hAnsi="Arial"/>
          <w:sz w:val="16"/>
          <w:szCs w:val="16"/>
          <w:color w:val="auto"/>
        </w:rPr>
        <w:t>These material weaknesses resulted in adjustments primarily related to expense cut-off and the associated accounts including operating expenses, accounts payable and accruals, property and equipment, convertible notes payable and interest expense and related financial disclosures, which were recorded as of and for the year ended December 31, 2019. These material weaknesses also resulted in adjustments primarily related to the extinguishment of a noncontrolling interest, accounts payable, vendor payables in trust and adjustments to the statement of cash flows which were recorded as of and for the year ended December 31, 2019 as well as disclosure errors related to the anti-dilutive shares excluded from the calculation of diluted net loss per share, deferred tax assets and related valuation allowance, accrued interest for certain notes payable, and the fair value of the Vendor Trust as of December 31, 2019. Refer to Note 3 to FF’s Consolidated Financial Statements for the year ended December 31, 2020, included in its Registration Statement on Form S-4 (File Number 333-255027), initially filed with the SEC on April 5, 2021 (as amended, the “Registration Statement”). Additionally, the material weakness related to accounting for warrant instruments resulted in the restatement of the previously issued financial statements as disclosed in Note 2 to PSAC’s Consolidated Financial Statements for the year ended December 31, 2020 within PSAC’s Annual Report on Form 10-K/A, of the entity acquired as part of the July 21, 2021 merger agreement related to warrant liabilities and equity.</w:t>
      </w:r>
    </w:p>
    <w:p>
      <w:pPr>
        <w:spacing w:after="0" w:line="118" w:lineRule="exact"/>
        <w:rPr>
          <w:sz w:val="20"/>
          <w:szCs w:val="20"/>
          <w:color w:val="auto"/>
        </w:rPr>
      </w:pPr>
    </w:p>
    <w:p>
      <w:pPr>
        <w:ind w:left="860" w:right="60" w:hanging="384"/>
        <w:spacing w:after="0" w:line="261" w:lineRule="auto"/>
        <w:tabs>
          <w:tab w:leader="none" w:pos="856" w:val="left"/>
        </w:tabs>
        <w:numPr>
          <w:ilvl w:val="0"/>
          <w:numId w:val="34"/>
        </w:numPr>
        <w:rPr>
          <w:rFonts w:ascii="Arial" w:cs="Arial" w:eastAsia="Arial" w:hAnsi="Arial"/>
          <w:sz w:val="17"/>
          <w:szCs w:val="17"/>
          <w:color w:val="auto"/>
        </w:rPr>
      </w:pPr>
      <w:r>
        <w:rPr>
          <w:rFonts w:ascii="Arial" w:cs="Arial" w:eastAsia="Arial" w:hAnsi="Arial"/>
          <w:sz w:val="17"/>
          <w:szCs w:val="17"/>
          <w:color w:val="auto"/>
        </w:rPr>
        <w:t>FF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p>
      <w:pPr>
        <w:spacing w:after="0" w:line="133" w:lineRule="exact"/>
        <w:rPr>
          <w:sz w:val="20"/>
          <w:szCs w:val="20"/>
          <w:color w:val="auto"/>
        </w:rPr>
      </w:pPr>
    </w:p>
    <w:p>
      <w:pPr>
        <w:ind w:right="80" w:firstLine="440"/>
        <w:spacing w:after="0" w:line="285" w:lineRule="auto"/>
        <w:rPr>
          <w:sz w:val="20"/>
          <w:szCs w:val="20"/>
          <w:color w:val="auto"/>
        </w:rPr>
      </w:pPr>
      <w:r>
        <w:rPr>
          <w:rFonts w:ascii="Arial" w:cs="Arial" w:eastAsia="Arial" w:hAnsi="Arial"/>
          <w:sz w:val="16"/>
          <w:szCs w:val="16"/>
          <w:color w:val="auto"/>
        </w:rPr>
        <w:t>In connection with the Special Committee Investigation, and the completion of additional investigative and remedial work based on Special Committee findings, which were performed under the direction of the newly-appointed Executive Chairperson, reporting to the Audit Committee, additional material weaknesses were identified in FF’s internal control over financial reporting (as disclosed in Note 3 to FF’s consolidated financial statements for the years ended December 31, 2021 and 2020 included in the Form 10-K). Specifically, in addition to the material weaknesses described above relating to management not establishing formal reporting lines in pursuit of its objectives as well as maintaining effective controls for communicating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and sharing information between the legal, capital markets, and accounting and finance departments, the following material weaknesses were identified:</w:t>
      </w:r>
    </w:p>
    <w:p>
      <w:pPr>
        <w:spacing w:after="0" w:line="183" w:lineRule="exact"/>
        <w:rPr>
          <w:sz w:val="20"/>
          <w:szCs w:val="20"/>
          <w:color w:val="auto"/>
        </w:rPr>
      </w:pPr>
    </w:p>
    <w:p>
      <w:pPr>
        <w:ind w:left="640" w:right="540" w:hanging="321"/>
        <w:spacing w:after="0" w:line="267" w:lineRule="auto"/>
        <w:tabs>
          <w:tab w:leader="none" w:pos="635" w:val="left"/>
        </w:tabs>
        <w:numPr>
          <w:ilvl w:val="0"/>
          <w:numId w:val="35"/>
        </w:numPr>
        <w:rPr>
          <w:rFonts w:ascii="Arial" w:cs="Arial" w:eastAsia="Arial" w:hAnsi="Arial"/>
          <w:sz w:val="17"/>
          <w:szCs w:val="17"/>
          <w:color w:val="auto"/>
        </w:rPr>
      </w:pPr>
      <w:r>
        <w:rPr>
          <w:rFonts w:ascii="Arial" w:cs="Arial" w:eastAsia="Arial" w:hAnsi="Arial"/>
          <w:sz w:val="17"/>
          <w:szCs w:val="17"/>
          <w:color w:val="auto"/>
        </w:rPr>
        <w:t>FF did not maintain an effective control environment or demonstrate a commitment to maintain integrity and ethical values. Specifically, certain members of senior management failed to reinforce the need for an attitude of compliance and internal control awareness with certain of FF’s governance, accounting and finance policies and procedures. This resulted in the inaccurate and incomplete disclosures of certain relationships, arrangements, and transactions.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This material weakness contributed to the following additional material weakness:</w:t>
      </w:r>
    </w:p>
    <w:p>
      <w:pPr>
        <w:spacing w:after="0" w:line="171" w:lineRule="exact"/>
        <w:rPr>
          <w:sz w:val="20"/>
          <w:szCs w:val="20"/>
          <w:color w:val="auto"/>
        </w:rPr>
      </w:pPr>
    </w:p>
    <w:p>
      <w:pPr>
        <w:ind w:left="640" w:right="460" w:hanging="321"/>
        <w:spacing w:after="0" w:line="289" w:lineRule="auto"/>
        <w:tabs>
          <w:tab w:leader="none" w:pos="635" w:val="left"/>
        </w:tabs>
        <w:numPr>
          <w:ilvl w:val="0"/>
          <w:numId w:val="36"/>
        </w:numPr>
        <w:rPr>
          <w:rFonts w:ascii="Arial" w:cs="Arial" w:eastAsia="Arial" w:hAnsi="Arial"/>
          <w:sz w:val="17"/>
          <w:szCs w:val="17"/>
          <w:color w:val="auto"/>
        </w:rPr>
      </w:pPr>
      <w:r>
        <w:rPr>
          <w:rFonts w:ascii="Arial" w:cs="Arial" w:eastAsia="Arial" w:hAnsi="Arial"/>
          <w:sz w:val="17"/>
          <w:szCs w:val="17"/>
          <w:color w:val="auto"/>
        </w:rPr>
        <w:t>FF did not design and maintain effective controls related to the identification and disclosure of certain arrangements and transactions with related parties.</w:t>
      </w:r>
    </w:p>
    <w:p>
      <w:pPr>
        <w:spacing w:after="0" w:line="106" w:lineRule="exact"/>
        <w:rPr>
          <w:sz w:val="20"/>
          <w:szCs w:val="20"/>
          <w:color w:val="auto"/>
        </w:rPr>
      </w:pPr>
    </w:p>
    <w:p>
      <w:pPr>
        <w:ind w:right="40" w:firstLine="440"/>
        <w:spacing w:after="0" w:line="263" w:lineRule="auto"/>
        <w:rPr>
          <w:sz w:val="20"/>
          <w:szCs w:val="20"/>
          <w:color w:val="auto"/>
        </w:rPr>
      </w:pPr>
      <w:r>
        <w:rPr>
          <w:rFonts w:ascii="Arial" w:cs="Arial" w:eastAsia="Arial" w:hAnsi="Arial"/>
          <w:sz w:val="17"/>
          <w:szCs w:val="17"/>
          <w:color w:val="auto"/>
        </w:rPr>
        <w:t xml:space="preserve">The material weaknesses identified in connection with the Special Committee Investigation resulted in the revision of our previously filed financial statements as of and for the period ended December 31, 2020 (as disclosed in Note 9 to FF’s Annual Report on Form 10-K for the fiscal year ended December 31, 2021) and for the periods ended March 31, 2021 (as disclosed in Note 1 to FF’s Quarterly Report on Form 10-Q for the quarterly period ended on March 31, 2022) and June 30, 2021 related to notes payable, related party notes payable, accrued interest, related party accrued interest, interest expense, and related party interest expense as disclosed in Note 1, </w:t>
      </w:r>
      <w:r>
        <w:rPr>
          <w:rFonts w:ascii="Arial" w:cs="Arial" w:eastAsia="Arial" w:hAnsi="Arial"/>
          <w:sz w:val="17"/>
          <w:szCs w:val="17"/>
          <w:i w:val="1"/>
          <w:iCs w:val="1"/>
          <w:color w:val="auto"/>
        </w:rPr>
        <w:t>Nature of Business and Organization and Basis of Presentation</w:t>
      </w:r>
      <w:r>
        <w:rPr>
          <w:rFonts w:ascii="Arial" w:cs="Arial" w:eastAsia="Arial" w:hAnsi="Arial"/>
          <w:sz w:val="17"/>
          <w:szCs w:val="17"/>
          <w:color w:val="auto"/>
        </w:rPr>
        <w:t xml:space="preserve"> within the Condensed Consolidated Financial Statements in this Quarterly Report on Form 10-Q</w:t>
      </w:r>
      <w:r>
        <w:rPr>
          <w:rFonts w:ascii="Arial" w:cs="Arial" w:eastAsia="Arial" w:hAnsi="Arial"/>
          <w:sz w:val="17"/>
          <w:szCs w:val="17"/>
          <w:i w:val="1"/>
          <w:iCs w:val="1"/>
          <w:color w:val="auto"/>
        </w:rPr>
        <w:t>.</w:t>
      </w:r>
    </w:p>
    <w:p>
      <w:pPr>
        <w:spacing w:after="0" w:line="129" w:lineRule="exact"/>
        <w:rPr>
          <w:sz w:val="20"/>
          <w:szCs w:val="20"/>
          <w:color w:val="auto"/>
        </w:rPr>
      </w:pPr>
    </w:p>
    <w:p>
      <w:pPr>
        <w:ind w:right="180" w:firstLine="440"/>
        <w:spacing w:after="0" w:line="450" w:lineRule="auto"/>
        <w:rPr>
          <w:sz w:val="20"/>
          <w:szCs w:val="20"/>
          <w:color w:val="auto"/>
        </w:rPr>
      </w:pPr>
      <w:r>
        <w:rPr>
          <w:rFonts w:ascii="Arial" w:cs="Arial" w:eastAsia="Arial" w:hAnsi="Arial"/>
          <w:sz w:val="17"/>
          <w:szCs w:val="17"/>
          <w:color w:val="auto"/>
        </w:rPr>
        <w:t xml:space="preserve">Additionally, each of the material weaknesses described above could result in a material misstatement to substantially all of our accounts or disclosures. </w:t>
      </w:r>
      <w:r>
        <w:rPr>
          <w:rFonts w:ascii="Arial" w:cs="Arial" w:eastAsia="Arial" w:hAnsi="Arial"/>
          <w:sz w:val="17"/>
          <w:szCs w:val="17"/>
          <w:i w:val="1"/>
          <w:iCs w:val="1"/>
          <w:color w:val="auto"/>
        </w:rPr>
        <w:t>Remediation Plan for Material Weaknesses in Internal Control Over Financial Reporting</w:t>
      </w:r>
    </w:p>
    <w:p>
      <w:pPr>
        <w:ind w:right="820" w:firstLine="440"/>
        <w:spacing w:after="0" w:line="322" w:lineRule="auto"/>
        <w:rPr>
          <w:sz w:val="20"/>
          <w:szCs w:val="20"/>
          <w:color w:val="auto"/>
        </w:rPr>
      </w:pPr>
      <w:r>
        <w:rPr>
          <w:rFonts w:ascii="Arial" w:cs="Arial" w:eastAsia="Arial" w:hAnsi="Arial"/>
          <w:sz w:val="16"/>
          <w:szCs w:val="16"/>
          <w:color w:val="auto"/>
        </w:rPr>
        <w:t>Management is actively engaged and committed to taking the steps necessary to remediate the control deficiencies that constituted the material weaknesses. During 2021 and the first half of 2022, FF made the following enhancements to our internal control over financial reporting:</w:t>
      </w:r>
    </w:p>
    <w:p>
      <w:pPr>
        <w:spacing w:after="0" w:line="83" w:lineRule="exact"/>
        <w:rPr>
          <w:sz w:val="20"/>
          <w:szCs w:val="20"/>
          <w:color w:val="auto"/>
        </w:rPr>
      </w:pPr>
    </w:p>
    <w:p>
      <w:pPr>
        <w:ind w:left="860" w:right="560" w:hanging="384"/>
        <w:spacing w:after="0" w:line="289" w:lineRule="auto"/>
        <w:tabs>
          <w:tab w:leader="none" w:pos="8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FF added finance and accounting personnel to the organization to strengthen our finance and accounting teams. The additional personnel are expected to provide oversight, structure, reporting lines, and additional review over our disclosures;</w:t>
      </w:r>
    </w:p>
    <w:p>
      <w:pPr>
        <w:spacing w:after="0" w:line="105" w:lineRule="exact"/>
        <w:rPr>
          <w:rFonts w:ascii="Arial" w:cs="Arial" w:eastAsia="Arial" w:hAnsi="Arial"/>
          <w:sz w:val="17"/>
          <w:szCs w:val="17"/>
          <w:color w:val="auto"/>
        </w:rPr>
      </w:pPr>
    </w:p>
    <w:p>
      <w:pPr>
        <w:ind w:left="860" w:hanging="384"/>
        <w:spacing w:after="0" w:line="359" w:lineRule="auto"/>
        <w:tabs>
          <w:tab w:leader="none" w:pos="856" w:val="left"/>
        </w:tabs>
        <w:numPr>
          <w:ilvl w:val="0"/>
          <w:numId w:val="37"/>
        </w:numPr>
        <w:rPr>
          <w:rFonts w:ascii="Arial" w:cs="Arial" w:eastAsia="Arial" w:hAnsi="Arial"/>
          <w:sz w:val="15"/>
          <w:szCs w:val="15"/>
          <w:color w:val="auto"/>
        </w:rPr>
      </w:pPr>
      <w:r>
        <w:rPr>
          <w:rFonts w:ascii="Arial" w:cs="Arial" w:eastAsia="Arial" w:hAnsi="Arial"/>
          <w:sz w:val="15"/>
          <w:szCs w:val="15"/>
          <w:color w:val="auto"/>
        </w:rPr>
        <w:t>FF implemented certain new accounting policies and procedures, and an IT system relevant to the preparation of our financial statements to improve communication of key areas across the different departments at FF and to provide adequate structure, accountability, and segregation of duties;</w:t>
      </w:r>
    </w:p>
    <w:p>
      <w:pPr>
        <w:spacing w:after="0" w:line="60" w:lineRule="exact"/>
        <w:rPr>
          <w:rFonts w:ascii="Arial" w:cs="Arial" w:eastAsia="Arial" w:hAnsi="Arial"/>
          <w:sz w:val="15"/>
          <w:szCs w:val="15"/>
          <w:color w:val="auto"/>
        </w:rPr>
      </w:pPr>
    </w:p>
    <w:p>
      <w:pPr>
        <w:ind w:left="860" w:right="220" w:hanging="384"/>
        <w:spacing w:after="0" w:line="273" w:lineRule="auto"/>
        <w:tabs>
          <w:tab w:leader="none" w:pos="8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FF appointed Becky Roof as Interim Chief Financial Officer (CFO) and engaged an affiliate of AlixPartners LLP to accelerate implementation of Special Committee recommendations including, but not limited to remediation of the material weaknesses in internal control over financial reporting;</w:t>
      </w:r>
    </w:p>
    <w:p>
      <w:pPr>
        <w:spacing w:after="0" w:line="118" w:lineRule="exact"/>
        <w:rPr>
          <w:rFonts w:ascii="Arial" w:cs="Arial" w:eastAsia="Arial" w:hAnsi="Arial"/>
          <w:sz w:val="17"/>
          <w:szCs w:val="17"/>
          <w:color w:val="auto"/>
        </w:rPr>
      </w:pPr>
    </w:p>
    <w:p>
      <w:pPr>
        <w:ind w:left="860" w:hanging="384"/>
        <w:spacing w:after="0"/>
        <w:tabs>
          <w:tab w:leader="none" w:pos="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FF implemented enhanced controls around FF’s related party transactions, including regular attestations;</w:t>
      </w:r>
    </w:p>
    <w:p>
      <w:pPr>
        <w:spacing w:after="0" w:line="171" w:lineRule="exact"/>
        <w:rPr>
          <w:rFonts w:ascii="Arial" w:cs="Arial" w:eastAsia="Arial" w:hAnsi="Arial"/>
          <w:sz w:val="17"/>
          <w:szCs w:val="17"/>
          <w:color w:val="auto"/>
        </w:rPr>
      </w:pPr>
    </w:p>
    <w:p>
      <w:pPr>
        <w:ind w:left="860" w:right="120" w:hanging="384"/>
        <w:spacing w:after="0" w:line="273" w:lineRule="auto"/>
        <w:tabs>
          <w:tab w:leader="none" w:pos="8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FF removed YT Jia, FF’s founder, as an Executive Officer, although he will continue in his position as Chief Product &amp; User Ecosystem Officer of the Company, reporting to the Executive Chairperson with his role limited to focusing on (a) Product and Mobility Ecosystem and (b) Internet, Artificial Intelligence, and advanced R&amp;D technology;</w:t>
      </w:r>
    </w:p>
    <w:p>
      <w:pPr>
        <w:spacing w:after="0" w:line="118" w:lineRule="exact"/>
        <w:rPr>
          <w:rFonts w:ascii="Arial" w:cs="Arial" w:eastAsia="Arial" w:hAnsi="Arial"/>
          <w:sz w:val="17"/>
          <w:szCs w:val="17"/>
          <w:color w:val="auto"/>
        </w:rPr>
      </w:pPr>
    </w:p>
    <w:p>
      <w:pPr>
        <w:ind w:left="860" w:right="320" w:hanging="384"/>
        <w:spacing w:after="0" w:line="289" w:lineRule="auto"/>
        <w:tabs>
          <w:tab w:leader="none" w:pos="856" w:val="left"/>
        </w:tabs>
        <w:numPr>
          <w:ilvl w:val="0"/>
          <w:numId w:val="37"/>
        </w:numPr>
        <w:rPr>
          <w:rFonts w:ascii="Arial" w:cs="Arial" w:eastAsia="Arial" w:hAnsi="Arial"/>
          <w:sz w:val="17"/>
          <w:szCs w:val="17"/>
          <w:color w:val="auto"/>
        </w:rPr>
      </w:pPr>
      <w:r>
        <w:rPr>
          <w:rFonts w:ascii="Arial" w:cs="Arial" w:eastAsia="Arial" w:hAnsi="Arial"/>
          <w:sz w:val="17"/>
          <w:szCs w:val="17"/>
          <w:color w:val="auto"/>
        </w:rPr>
        <w:t>Functions previously dual-reporting to Mr. Jia and Mr. Breitfeld will report only to Ms. Swenson (but Mr. Jia may remain involved in long-term strategy); and</w:t>
      </w:r>
    </w:p>
    <w:p>
      <w:pPr>
        <w:spacing w:after="0" w:line="105" w:lineRule="exact"/>
        <w:rPr>
          <w:rFonts w:ascii="Arial" w:cs="Arial" w:eastAsia="Arial" w:hAnsi="Arial"/>
          <w:sz w:val="17"/>
          <w:szCs w:val="17"/>
          <w:color w:val="auto"/>
        </w:rPr>
      </w:pPr>
    </w:p>
    <w:p>
      <w:pPr>
        <w:ind w:left="860" w:hanging="384"/>
        <w:spacing w:after="0"/>
        <w:tabs>
          <w:tab w:leader="none" w:pos="8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FF adopted an Insider Investment Reporting Policy.</w:t>
      </w:r>
    </w:p>
    <w:p>
      <w:pPr>
        <w:spacing w:after="0" w:line="171" w:lineRule="exact"/>
        <w:rPr>
          <w:sz w:val="20"/>
          <w:szCs w:val="20"/>
          <w:color w:val="auto"/>
        </w:rPr>
      </w:pPr>
    </w:p>
    <w:p>
      <w:pPr>
        <w:ind w:right="260" w:firstLine="440"/>
        <w:spacing w:after="0" w:line="289" w:lineRule="auto"/>
        <w:rPr>
          <w:sz w:val="20"/>
          <w:szCs w:val="20"/>
          <w:color w:val="auto"/>
        </w:rPr>
      </w:pPr>
      <w:r>
        <w:rPr>
          <w:rFonts w:ascii="Arial" w:cs="Arial" w:eastAsia="Arial" w:hAnsi="Arial"/>
          <w:sz w:val="17"/>
          <w:szCs w:val="17"/>
          <w:color w:val="auto"/>
        </w:rPr>
        <w:t>Our remediation activities are continuing during 2022. In addition to the above actions, FF expects to engage in additional activities, including, but not limited to:</w:t>
      </w:r>
    </w:p>
    <w:p>
      <w:pPr>
        <w:spacing w:after="0" w:line="106" w:lineRule="exact"/>
        <w:rPr>
          <w:sz w:val="20"/>
          <w:szCs w:val="20"/>
          <w:color w:val="auto"/>
        </w:rPr>
      </w:pPr>
    </w:p>
    <w:p>
      <w:pPr>
        <w:ind w:left="860" w:right="20" w:hanging="384"/>
        <w:spacing w:after="0" w:line="273" w:lineRule="auto"/>
        <w:tabs>
          <w:tab w:leader="none" w:pos="85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Continuing to hire key finance and accounting personnel as FF scales and until FF has sufficient technical accounting resources, combined with engaging external consultants to provide support and to assist us in our evaluation of more complex applications of U.S. GAAP and to assist us with documenting and assessing our accounting policies and procedures;</w:t>
      </w:r>
    </w:p>
    <w:p>
      <w:pPr>
        <w:spacing w:after="0" w:line="200" w:lineRule="exact"/>
        <w:rPr>
          <w:sz w:val="20"/>
          <w:szCs w:val="20"/>
          <w:color w:val="auto"/>
        </w:rPr>
      </w:pPr>
    </w:p>
    <w:p>
      <w:pPr>
        <w:spacing w:after="0" w:line="338"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0" w:name="page51"/>
    <w:bookmarkEnd w:id="50"/>
    <w:p>
      <w:pPr>
        <w:ind w:left="860" w:right="400" w:hanging="384"/>
        <w:spacing w:after="0" w:line="289" w:lineRule="auto"/>
        <w:tabs>
          <w:tab w:leader="none" w:pos="856"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Designing and implementing controls in response to the risks of material misstatement to identify and evaluate changes in our business and the impact on our internal controls;</w:t>
      </w:r>
    </w:p>
    <w:p>
      <w:pPr>
        <w:spacing w:after="0" w:line="105" w:lineRule="exact"/>
        <w:rPr>
          <w:rFonts w:ascii="Arial" w:cs="Arial" w:eastAsia="Arial" w:hAnsi="Arial"/>
          <w:sz w:val="17"/>
          <w:szCs w:val="17"/>
          <w:color w:val="auto"/>
        </w:rPr>
      </w:pPr>
    </w:p>
    <w:p>
      <w:pPr>
        <w:ind w:left="860" w:right="500" w:hanging="384"/>
        <w:spacing w:after="0" w:line="289" w:lineRule="auto"/>
        <w:tabs>
          <w:tab w:leader="none" w:pos="856"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Designing and implementing controls for communicating and sharing information between legal, capital markets, and accounting to facilitate transactions being recorded timely and accurately;</w:t>
      </w:r>
    </w:p>
    <w:p>
      <w:pPr>
        <w:spacing w:after="0" w:line="105" w:lineRule="exact"/>
        <w:rPr>
          <w:rFonts w:ascii="Arial" w:cs="Arial" w:eastAsia="Arial" w:hAnsi="Arial"/>
          <w:sz w:val="17"/>
          <w:szCs w:val="17"/>
          <w:color w:val="auto"/>
        </w:rPr>
      </w:pPr>
    </w:p>
    <w:p>
      <w:pPr>
        <w:ind w:left="860" w:hanging="384"/>
        <w:spacing w:after="0" w:line="273" w:lineRule="auto"/>
        <w:tabs>
          <w:tab w:leader="none" w:pos="856"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Designing and implementing formal processes, accounting policies, procedures, and controls supporting certain business processes and our financial close process, including creating standard balance sheet reconciliation templates and journal entry controls assessing the reliability of reports and spreadsheets used in controls; and the timely identification and accounting for cut-off of expenditures;</w:t>
      </w:r>
    </w:p>
    <w:p>
      <w:pPr>
        <w:spacing w:after="0" w:line="118" w:lineRule="exact"/>
        <w:rPr>
          <w:rFonts w:ascii="Arial" w:cs="Arial" w:eastAsia="Arial" w:hAnsi="Arial"/>
          <w:sz w:val="17"/>
          <w:szCs w:val="17"/>
          <w:color w:val="auto"/>
        </w:rPr>
      </w:pPr>
    </w:p>
    <w:p>
      <w:pPr>
        <w:ind w:left="860" w:hanging="384"/>
        <w:spacing w:after="0"/>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Designing and implementing controls to address the identification of and accounting for certain non-routine, unusual or complex transactions;</w:t>
      </w:r>
    </w:p>
    <w:p>
      <w:pPr>
        <w:spacing w:after="0" w:line="182" w:lineRule="exact"/>
        <w:rPr>
          <w:rFonts w:ascii="Arial" w:cs="Arial" w:eastAsia="Arial" w:hAnsi="Arial"/>
          <w:sz w:val="16"/>
          <w:szCs w:val="16"/>
          <w:color w:val="auto"/>
        </w:rPr>
      </w:pPr>
    </w:p>
    <w:p>
      <w:pPr>
        <w:ind w:left="860" w:hanging="384"/>
        <w:spacing w:after="0"/>
        <w:tabs>
          <w:tab w:leader="none" w:pos="8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Designing and implementing controls related to the identification and disclosure of certain arrangements and transactions with related parties;</w:t>
      </w:r>
    </w:p>
    <w:p>
      <w:pPr>
        <w:spacing w:after="0" w:line="182" w:lineRule="exact"/>
        <w:rPr>
          <w:rFonts w:ascii="Arial" w:cs="Arial" w:eastAsia="Arial" w:hAnsi="Arial"/>
          <w:sz w:val="16"/>
          <w:szCs w:val="16"/>
          <w:color w:val="auto"/>
        </w:rPr>
      </w:pPr>
    </w:p>
    <w:p>
      <w:pPr>
        <w:ind w:left="860" w:right="280" w:hanging="384"/>
        <w:spacing w:after="0" w:line="273" w:lineRule="auto"/>
        <w:tabs>
          <w:tab w:leader="none" w:pos="856" w:val="left"/>
        </w:tabs>
        <w:numPr>
          <w:ilvl w:val="0"/>
          <w:numId w:val="39"/>
        </w:numPr>
        <w:rPr>
          <w:rFonts w:ascii="Arial" w:cs="Arial" w:eastAsia="Arial" w:hAnsi="Arial"/>
          <w:sz w:val="17"/>
          <w:szCs w:val="17"/>
          <w:color w:val="auto"/>
        </w:rPr>
      </w:pPr>
      <w:r>
        <w:rPr>
          <w:rFonts w:ascii="Arial" w:cs="Arial" w:eastAsia="Arial" w:hAnsi="Arial"/>
          <w:sz w:val="17"/>
          <w:szCs w:val="17"/>
          <w:color w:val="auto"/>
        </w:rPr>
        <w:t>Continuing to implement additional IT systems relevant to the preparation of our financial statements and controls over financial reporting to improve communication of key areas across the different departments at FF and to provide adequate structure, accountability, and segregation of duties; and</w:t>
      </w:r>
    </w:p>
    <w:p>
      <w:pPr>
        <w:spacing w:after="0" w:line="118" w:lineRule="exact"/>
        <w:rPr>
          <w:rFonts w:ascii="Arial" w:cs="Arial" w:eastAsia="Arial" w:hAnsi="Arial"/>
          <w:sz w:val="17"/>
          <w:szCs w:val="17"/>
          <w:color w:val="auto"/>
        </w:rPr>
      </w:pPr>
    </w:p>
    <w:p>
      <w:pPr>
        <w:ind w:left="860" w:right="260" w:hanging="384"/>
        <w:spacing w:after="0" w:line="289" w:lineRule="auto"/>
        <w:tabs>
          <w:tab w:leader="none" w:pos="856"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Designing and implementing IT general controls, including controls over change management, the review and update of user access controls and controls over critical batch jobs and data backups.</w:t>
      </w:r>
    </w:p>
    <w:p>
      <w:pPr>
        <w:spacing w:after="0" w:line="106" w:lineRule="exact"/>
        <w:rPr>
          <w:sz w:val="20"/>
          <w:szCs w:val="20"/>
          <w:color w:val="auto"/>
        </w:rPr>
      </w:pPr>
    </w:p>
    <w:p>
      <w:pPr>
        <w:ind w:right="180" w:firstLine="440"/>
        <w:spacing w:after="0" w:line="297" w:lineRule="auto"/>
        <w:rPr>
          <w:sz w:val="20"/>
          <w:szCs w:val="20"/>
          <w:color w:val="auto"/>
        </w:rPr>
      </w:pPr>
      <w:r>
        <w:rPr>
          <w:rFonts w:ascii="Arial" w:cs="Arial" w:eastAsia="Arial" w:hAnsi="Arial"/>
          <w:sz w:val="16"/>
          <w:szCs w:val="16"/>
          <w:color w:val="auto"/>
        </w:rPr>
        <w:t>While FF has made progress, the material weaknesses will not be considered remediated until FF completes the design and implementation of the enhanced controls, the controls operate for a sufficient period of time, and FF has concluded, through testing, that these controls are effective. FF believes that our remediation plan will be sufficient to remediate the identified material weakness and strengthen our internal control over financial reporting.</w:t>
      </w:r>
    </w:p>
    <w:p>
      <w:pPr>
        <w:spacing w:after="0" w:line="103" w:lineRule="exact"/>
        <w:rPr>
          <w:sz w:val="20"/>
          <w:szCs w:val="20"/>
          <w:color w:val="auto"/>
        </w:rPr>
      </w:pPr>
    </w:p>
    <w:p>
      <w:pPr>
        <w:ind w:right="20" w:firstLine="440"/>
        <w:spacing w:after="0" w:line="289" w:lineRule="auto"/>
        <w:rPr>
          <w:sz w:val="20"/>
          <w:szCs w:val="20"/>
          <w:color w:val="auto"/>
        </w:rPr>
      </w:pPr>
      <w:r>
        <w:rPr>
          <w:rFonts w:ascii="Arial" w:cs="Arial" w:eastAsia="Arial" w:hAnsi="Arial"/>
          <w:sz w:val="17"/>
          <w:szCs w:val="17"/>
          <w:color w:val="auto"/>
        </w:rPr>
        <w:t>As we continue to evaluate and work to improve our internal control over financial reporting, FF may determine that additional measures or modifications to the remediation plan are necessary.</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Internal Control Over Financial Reporting</w:t>
      </w:r>
    </w:p>
    <w:p>
      <w:pPr>
        <w:spacing w:after="0" w:line="171" w:lineRule="exact"/>
        <w:rPr>
          <w:sz w:val="20"/>
          <w:szCs w:val="20"/>
          <w:color w:val="auto"/>
        </w:rPr>
      </w:pPr>
    </w:p>
    <w:p>
      <w:pPr>
        <w:ind w:right="500" w:firstLine="440"/>
        <w:spacing w:after="0" w:line="289" w:lineRule="auto"/>
        <w:rPr>
          <w:sz w:val="20"/>
          <w:szCs w:val="20"/>
          <w:color w:val="auto"/>
        </w:rPr>
      </w:pPr>
      <w:r>
        <w:rPr>
          <w:rFonts w:ascii="Arial" w:cs="Arial" w:eastAsia="Arial" w:hAnsi="Arial"/>
          <w:sz w:val="17"/>
          <w:szCs w:val="17"/>
          <w:color w:val="auto"/>
        </w:rPr>
        <w:t>There have been no changes in internal control over financial reporting during the quarter ended June 30, 2022, that have materially affected, or are reasonably likely to materially affect, FF’s internal control over financial reporting.</w:t>
      </w: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1" w:name="page52"/>
    <w:bookmarkEnd w:id="51"/>
    <w:p>
      <w:pPr>
        <w:ind w:left="4460"/>
        <w:spacing w:after="0"/>
        <w:rPr>
          <w:sz w:val="20"/>
          <w:szCs w:val="20"/>
          <w:color w:val="auto"/>
        </w:rPr>
      </w:pPr>
      <w:r>
        <w:rPr>
          <w:rFonts w:ascii="Arial" w:cs="Arial" w:eastAsia="Arial" w:hAnsi="Arial"/>
          <w:sz w:val="17"/>
          <w:szCs w:val="17"/>
          <w:b w:val="1"/>
          <w:bCs w:val="1"/>
          <w:color w:val="auto"/>
        </w:rPr>
        <w:t>PART II—OTHER INFORMATION</w:t>
      </w:r>
    </w:p>
    <w:p>
      <w:pPr>
        <w:spacing w:after="0" w:line="22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ITEM 1. LEGAL PROCEEDINGS</w:t>
      </w:r>
    </w:p>
    <w:p>
      <w:pPr>
        <w:spacing w:after="0" w:line="177" w:lineRule="exact"/>
        <w:rPr>
          <w:sz w:val="20"/>
          <w:szCs w:val="20"/>
          <w:color w:val="auto"/>
        </w:rPr>
      </w:pPr>
    </w:p>
    <w:p>
      <w:pPr>
        <w:ind w:right="100" w:firstLine="440"/>
        <w:spacing w:after="0" w:line="263" w:lineRule="auto"/>
        <w:rPr>
          <w:sz w:val="20"/>
          <w:szCs w:val="20"/>
          <w:color w:val="auto"/>
        </w:rPr>
      </w:pPr>
      <w:r>
        <w:rPr>
          <w:rFonts w:ascii="Arial" w:cs="Arial" w:eastAsia="Arial" w:hAnsi="Arial"/>
          <w:sz w:val="17"/>
          <w:szCs w:val="17"/>
          <w:color w:val="auto"/>
        </w:rPr>
        <w:t xml:space="preserve">From time to time, we are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Other than disclosed under Note 11, </w:t>
      </w:r>
      <w:r>
        <w:rPr>
          <w:rFonts w:ascii="Arial" w:cs="Arial" w:eastAsia="Arial" w:hAnsi="Arial"/>
          <w:sz w:val="17"/>
          <w:szCs w:val="17"/>
          <w:i w:val="1"/>
          <w:iCs w:val="1"/>
          <w:color w:val="auto"/>
        </w:rPr>
        <w:t>Commitments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to FF’s unaudited Condensed Consolidated Financial Statements included in this report</w:t>
      </w:r>
      <w:r>
        <w:rPr>
          <w:rFonts w:ascii="Arial" w:cs="Arial" w:eastAsia="Arial" w:hAnsi="Arial"/>
          <w:sz w:val="17"/>
          <w:szCs w:val="17"/>
          <w:i w:val="1"/>
          <w:iCs w:val="1"/>
          <w:color w:val="auto"/>
        </w:rPr>
        <w:t xml:space="preserve">, </w:t>
      </w:r>
      <w:r>
        <w:rPr>
          <w:rFonts w:ascii="Arial" w:cs="Arial" w:eastAsia="Arial" w:hAnsi="Arial"/>
          <w:sz w:val="17"/>
          <w:szCs w:val="17"/>
          <w:color w:val="auto"/>
        </w:rPr>
        <w:t>we are not presently party to any legal proceedings that,</w:t>
      </w:r>
      <w:r>
        <w:rPr>
          <w:rFonts w:ascii="Arial" w:cs="Arial" w:eastAsia="Arial" w:hAnsi="Arial"/>
          <w:sz w:val="17"/>
          <w:szCs w:val="17"/>
          <w:i w:val="1"/>
          <w:iCs w:val="1"/>
          <w:color w:val="auto"/>
        </w:rPr>
        <w:t xml:space="preserve"> </w:t>
      </w:r>
      <w:r>
        <w:rPr>
          <w:rFonts w:ascii="Arial" w:cs="Arial" w:eastAsia="Arial" w:hAnsi="Arial"/>
          <w:sz w:val="17"/>
          <w:szCs w:val="17"/>
          <w:color w:val="auto"/>
        </w:rPr>
        <w:t>in the opinion of management, if determined adversely to us, would individually or taken together have a material adverse effect on our business, operating results, financial condition, or cash flows.</w:t>
      </w:r>
    </w:p>
    <w:p>
      <w:pPr>
        <w:spacing w:after="0" w:line="22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ITEM 1A. RISK FACTORS</w:t>
      </w:r>
    </w:p>
    <w:p>
      <w:pPr>
        <w:spacing w:after="0" w:line="177"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color w:val="auto"/>
        </w:rPr>
        <w:t>Except as set forth below, as of the date of this Report, there have been no material changes from the risk factors disclosed in the section “</w:t>
      </w:r>
      <w:r>
        <w:rPr>
          <w:rFonts w:ascii="Arial" w:cs="Arial" w:eastAsia="Arial" w:hAnsi="Arial"/>
          <w:sz w:val="17"/>
          <w:szCs w:val="17"/>
          <w:i w:val="1"/>
          <w:iCs w:val="1"/>
          <w:color w:val="auto"/>
        </w:rPr>
        <w:t>Risk Factor</w:t>
      </w:r>
      <w:r>
        <w:rPr>
          <w:rFonts w:ascii="Arial" w:cs="Arial" w:eastAsia="Arial" w:hAnsi="Arial"/>
          <w:sz w:val="17"/>
          <w:szCs w:val="17"/>
          <w:color w:val="auto"/>
        </w:rPr>
        <w:t>s” in the Form 10-K.</w:t>
      </w:r>
    </w:p>
    <w:p>
      <w:pPr>
        <w:spacing w:after="0" w:line="106" w:lineRule="exact"/>
        <w:rPr>
          <w:sz w:val="20"/>
          <w:szCs w:val="20"/>
          <w:color w:val="auto"/>
        </w:rPr>
      </w:pPr>
    </w:p>
    <w:p>
      <w:pPr>
        <w:ind w:right="400" w:firstLine="5"/>
        <w:spacing w:after="0" w:line="289" w:lineRule="auto"/>
        <w:tabs>
          <w:tab w:leader="none" w:pos="277" w:val="left"/>
        </w:tabs>
        <w:numPr>
          <w:ilvl w:val="0"/>
          <w:numId w:val="4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has incurred losses in the operation of its business and anticipates that it will continue to incur losses in the future. It may never achieve or sustain profitability.</w:t>
      </w:r>
    </w:p>
    <w:p>
      <w:pPr>
        <w:spacing w:after="0" w:line="106" w:lineRule="exact"/>
        <w:rPr>
          <w:sz w:val="20"/>
          <w:szCs w:val="20"/>
          <w:color w:val="auto"/>
        </w:rPr>
      </w:pPr>
    </w:p>
    <w:p>
      <w:pPr>
        <w:ind w:right="80" w:firstLine="440"/>
        <w:spacing w:after="0" w:line="281" w:lineRule="auto"/>
        <w:rPr>
          <w:sz w:val="20"/>
          <w:szCs w:val="20"/>
          <w:color w:val="auto"/>
        </w:rPr>
      </w:pPr>
      <w:r>
        <w:rPr>
          <w:rFonts w:ascii="Arial" w:cs="Arial" w:eastAsia="Arial" w:hAnsi="Arial"/>
          <w:sz w:val="16"/>
          <w:szCs w:val="16"/>
          <w:color w:val="auto"/>
        </w:rPr>
        <w:t>The design, engineering, manufacturing, sales and service of intelligent, connected electric vehicles is a capital-intensive business. FF has incurred losses from operations and has had negative cash flows from operating activities since inception. FF incurred a net loss of $295 million for the six months ended June 30, 2022 and $517 million and $147 million for the years ended December 31, 2021 and 2020, respectively. Net cash used in operating activities was $235 million for the six months ended June 30, 2022 and $340 million and $41 million for the years ended December 31, 2021 and 2020, respectively. Since inception, FF has made significant investments in technology as well as vehicle design, development and tooling, construction of manufacturing facilities, employee compensation and benefits and marketing and branding. FF expects to continue or increase such investments, however, there can be no assurance these investments will result in the successful and timely delivery of FF 91 series or subsequent vehicle programs, or at all.</w:t>
      </w:r>
    </w:p>
    <w:p>
      <w:pPr>
        <w:spacing w:after="0" w:line="116" w:lineRule="exact"/>
        <w:rPr>
          <w:sz w:val="20"/>
          <w:szCs w:val="20"/>
          <w:color w:val="auto"/>
        </w:rPr>
      </w:pPr>
    </w:p>
    <w:p>
      <w:pPr>
        <w:ind w:right="60" w:firstLine="445"/>
        <w:spacing w:after="0" w:line="267" w:lineRule="auto"/>
        <w:tabs>
          <w:tab w:leader="none" w:pos="678" w:val="left"/>
        </w:tabs>
        <w:numPr>
          <w:ilvl w:val="0"/>
          <w:numId w:val="41"/>
        </w:numPr>
        <w:rPr>
          <w:rFonts w:ascii="Arial" w:cs="Arial" w:eastAsia="Arial" w:hAnsi="Arial"/>
          <w:sz w:val="17"/>
          <w:szCs w:val="17"/>
          <w:color w:val="auto"/>
        </w:rPr>
      </w:pPr>
      <w:r>
        <w:rPr>
          <w:rFonts w:ascii="Arial" w:cs="Arial" w:eastAsia="Arial" w:hAnsi="Arial"/>
          <w:sz w:val="17"/>
          <w:szCs w:val="17"/>
          <w:color w:val="auto"/>
        </w:rPr>
        <w:t>may incur unforeseen expenses, or encounter difficulties, complications, and delays in delivering FF 91 series, and therefore may never generate sufficient revenues to sustain itself. Even if FF brings FF 91 series to market, it may continue to incur substantial losses for reasons including the lack of demand for FF 91 series and the relevant services, increasing competition, challenging macroeconomic conditions, regulatory changes and other risks discussed herein, and so it may never achieve or sustain profitability.</w:t>
      </w:r>
    </w:p>
    <w:p>
      <w:pPr>
        <w:spacing w:after="0" w:line="126" w:lineRule="exact"/>
        <w:rPr>
          <w:sz w:val="20"/>
          <w:szCs w:val="20"/>
          <w:color w:val="auto"/>
        </w:rPr>
      </w:pPr>
    </w:p>
    <w:p>
      <w:pPr>
        <w:ind w:right="140" w:firstLine="440"/>
        <w:spacing w:after="0" w:line="262" w:lineRule="auto"/>
        <w:rPr>
          <w:sz w:val="20"/>
          <w:szCs w:val="20"/>
          <w:color w:val="auto"/>
        </w:rPr>
      </w:pPr>
      <w:r>
        <w:rPr>
          <w:rFonts w:ascii="Arial" w:cs="Arial" w:eastAsia="Arial" w:hAnsi="Arial"/>
          <w:sz w:val="17"/>
          <w:szCs w:val="17"/>
          <w:color w:val="auto"/>
        </w:rPr>
        <w:t>As previously disclosed in the Company’s business update on December 7, 2021 (filed as Exhibit 99.1 to a Current Report on Form 8-K filed by the Company with the SEC on December 7, 2021), management of FF estimated that FF would require an additional $1.5 billion of funding prior to reaching profitability and positive cash flow in 2024. Given the risks associated with FF’s ability to obtain additional funding to execute on its plans to develop and launch vehicles and begin to generate revenue, the amount of additional funding needed could differ from earlier estimates and the timing to reach profitability and positive cash flows could be further delayed. FF has evaluated a range of alternative operating scenarios in the event fundraising falls short of the Company’s target. These include a scenario where only the FF 91 is developed and launched, which would reduce new capital requirements substantially after 2022, with cash flow break-even timing similar to the base business plan.</w:t>
      </w:r>
    </w:p>
    <w:p>
      <w:pPr>
        <w:spacing w:after="0" w:line="130"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i w:val="1"/>
          <w:iCs w:val="1"/>
          <w:color w:val="auto"/>
        </w:rPr>
        <w:t>FF’s operating results forecast relies in large part upon assumptions and analyses developed by its management. If these assumptions and analyses prove to be incorrect, its actual operating results could suffer.</w:t>
      </w:r>
    </w:p>
    <w:p>
      <w:pPr>
        <w:spacing w:after="0" w:line="106" w:lineRule="exact"/>
        <w:rPr>
          <w:sz w:val="20"/>
          <w:szCs w:val="20"/>
          <w:color w:val="auto"/>
        </w:rPr>
      </w:pPr>
    </w:p>
    <w:p>
      <w:pPr>
        <w:ind w:right="20" w:firstLine="445"/>
        <w:spacing w:after="0" w:line="261" w:lineRule="auto"/>
        <w:tabs>
          <w:tab w:leader="none" w:pos="678"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projects a use of cash of approximately $368 million for the period from July 1, 2022 through December 31, 2022 to launch the FF 91. In order to fund the proposed use of cash, FF is seeking to raise capital of $325 million from fundraising efforts currently underway to supplement its cash on hand, which may not be successful. In addition to the risk that the Company’s assumptions and analyses may prove incorrect, the projections may underestimate the professional fees and other costs to be incurred related to the pursuit of various financing options currently being considered and ongoing legal risks. Although the Company has taken steps to preserve its current cash position, including reducing spending, extending payment cycles and other similar measures, it projects that it will require additional funds by early September 2022 in order to continue operations, and will also need to raise additional financing during the remainder of 2022 and beyond 2022 to support the ramp-up of production of the FF 91 to generate revenues to put the Company on a path to cash flow break-even. While the Company is actively engaged in negotiations with potential financing sources, there is no guarantee that it will be able to raise additional capital on terms acceptable to it or at all.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61" w:right="339" w:bottom="1440" w:gutter="0" w:footer="0" w:header="0"/>
        </w:sectPr>
      </w:pPr>
    </w:p>
    <w:bookmarkStart w:id="52" w:name="page53"/>
    <w:bookmarkEnd w:id="52"/>
    <w:p>
      <w:pPr>
        <w:ind w:right="100" w:firstLine="440"/>
        <w:spacing w:after="0" w:line="261" w:lineRule="auto"/>
        <w:rPr>
          <w:sz w:val="20"/>
          <w:szCs w:val="20"/>
          <w:color w:val="auto"/>
        </w:rPr>
      </w:pPr>
      <w:r>
        <w:rPr>
          <w:rFonts w:ascii="Arial" w:cs="Arial" w:eastAsia="Arial" w:hAnsi="Arial"/>
          <w:sz w:val="17"/>
          <w:szCs w:val="17"/>
          <w:color w:val="auto"/>
        </w:rPr>
        <w:t>FF’s cash needs after the launch of the FF 91 will depend on the extent to which FF’s actual costs vary from FF’s estimates and FF’s ability to control these costs and raise additional funds. Any challenges in supplier engagements, delays in ramping capacity or labor at the Hanford facility or for sales and service engagements, rising prices of materials, or ongoing global supply chain disruptions may further increase the need for additional capital to launch the FF 91 series. In particular, recently, some suppliers have threatened to terminate their relationship with the Company because of late payments or requested accelerated payments and other terms and conditions as a result of our past payment history and concerns about the Company’s financial condition, leading to less favorable payment terms than the Company had anticipated, and delaying or putting at risk certain deliveries. The Company is in active negotiations with these suppliers to minimize these risks. Apart from the FF 91 series, substantial additional capital will be required to fund operations, research, development, and design efforts for future vehicles.</w:t>
      </w:r>
    </w:p>
    <w:p>
      <w:pPr>
        <w:spacing w:after="0" w:line="133" w:lineRule="exact"/>
        <w:rPr>
          <w:sz w:val="20"/>
          <w:szCs w:val="20"/>
          <w:color w:val="auto"/>
        </w:rPr>
      </w:pPr>
    </w:p>
    <w:p>
      <w:pPr>
        <w:ind w:right="180" w:firstLine="440"/>
        <w:spacing w:after="0" w:line="267" w:lineRule="auto"/>
        <w:rPr>
          <w:sz w:val="20"/>
          <w:szCs w:val="20"/>
          <w:color w:val="auto"/>
        </w:rPr>
      </w:pPr>
      <w:r>
        <w:rPr>
          <w:rFonts w:ascii="Arial" w:cs="Arial" w:eastAsia="Arial" w:hAnsi="Arial"/>
          <w:sz w:val="17"/>
          <w:szCs w:val="17"/>
          <w:color w:val="auto"/>
        </w:rPr>
        <w:t>FF’s operating results forecast largely relies on management’s assumptions and analyses, which could be incorrect. Additionally, there cannot be any assurance that FF’s current fundraising efforts will be successful. Whether actual operating and financial results and business developments will be consistent with FF’s expectations and assumptions as reflected in the forecast depends on a number of factors, many of which are outside FF’s control, including, but not limited to:</w:t>
      </w:r>
    </w:p>
    <w:p>
      <w:pPr>
        <w:spacing w:after="0" w:line="165" w:lineRule="exact"/>
        <w:rPr>
          <w:sz w:val="20"/>
          <w:szCs w:val="20"/>
          <w:color w:val="auto"/>
        </w:rPr>
      </w:pPr>
    </w:p>
    <w:p>
      <w:pPr>
        <w:ind w:left="1200" w:hanging="392"/>
        <w:spacing w:after="0"/>
        <w:tabs>
          <w:tab w:leader="none" w:pos="12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whether it can obtain sufficient capital to sustain and grow its business, including the development and launch of future vehicle models;</w:t>
      </w:r>
    </w:p>
    <w:p>
      <w:pPr>
        <w:spacing w:after="0" w:line="64" w:lineRule="exact"/>
        <w:rPr>
          <w:rFonts w:ascii="Arial" w:cs="Arial" w:eastAsia="Arial" w:hAnsi="Arial"/>
          <w:sz w:val="16"/>
          <w:szCs w:val="16"/>
          <w:color w:val="auto"/>
        </w:rPr>
      </w:pPr>
    </w:p>
    <w:p>
      <w:pPr>
        <w:ind w:left="1200" w:hanging="392"/>
        <w:spacing w:after="0"/>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its ability to manage growth;</w:t>
      </w:r>
    </w:p>
    <w:p>
      <w:pPr>
        <w:spacing w:after="0" w:line="53" w:lineRule="exact"/>
        <w:rPr>
          <w:rFonts w:ascii="Arial" w:cs="Arial" w:eastAsia="Arial" w:hAnsi="Arial"/>
          <w:sz w:val="17"/>
          <w:szCs w:val="17"/>
          <w:color w:val="auto"/>
        </w:rPr>
      </w:pPr>
    </w:p>
    <w:p>
      <w:pPr>
        <w:ind w:left="1200" w:hanging="392"/>
        <w:spacing w:after="0"/>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whether it can manage relationships with key suppliers;</w:t>
      </w:r>
    </w:p>
    <w:p>
      <w:pPr>
        <w:spacing w:after="0" w:line="53" w:lineRule="exact"/>
        <w:rPr>
          <w:rFonts w:ascii="Arial" w:cs="Arial" w:eastAsia="Arial" w:hAnsi="Arial"/>
          <w:sz w:val="17"/>
          <w:szCs w:val="17"/>
          <w:color w:val="auto"/>
        </w:rPr>
      </w:pPr>
    </w:p>
    <w:p>
      <w:pPr>
        <w:ind w:left="1200" w:hanging="392"/>
        <w:spacing w:after="0"/>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whether it can sign up and manage relationships with business partners for them to invest in and operate sales and service centers;</w:t>
      </w:r>
    </w:p>
    <w:p>
      <w:pPr>
        <w:spacing w:after="0" w:line="53" w:lineRule="exact"/>
        <w:rPr>
          <w:rFonts w:ascii="Arial" w:cs="Arial" w:eastAsia="Arial" w:hAnsi="Arial"/>
          <w:sz w:val="17"/>
          <w:szCs w:val="17"/>
          <w:color w:val="auto"/>
        </w:rPr>
      </w:pPr>
    </w:p>
    <w:p>
      <w:pPr>
        <w:ind w:left="1200" w:hanging="392"/>
        <w:spacing w:after="0"/>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ability to obtain necessary regulatory approvals;</w:t>
      </w:r>
    </w:p>
    <w:p>
      <w:pPr>
        <w:spacing w:after="0" w:line="53" w:lineRule="exact"/>
        <w:rPr>
          <w:rFonts w:ascii="Arial" w:cs="Arial" w:eastAsia="Arial" w:hAnsi="Arial"/>
          <w:sz w:val="17"/>
          <w:szCs w:val="17"/>
          <w:color w:val="auto"/>
        </w:rPr>
      </w:pPr>
    </w:p>
    <w:p>
      <w:pPr>
        <w:ind w:left="1200" w:hanging="392"/>
        <w:spacing w:after="0"/>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demand for its products and services</w:t>
      </w:r>
    </w:p>
    <w:p>
      <w:pPr>
        <w:spacing w:after="0" w:line="53" w:lineRule="exact"/>
        <w:rPr>
          <w:rFonts w:ascii="Arial" w:cs="Arial" w:eastAsia="Arial" w:hAnsi="Arial"/>
          <w:sz w:val="17"/>
          <w:szCs w:val="17"/>
          <w:color w:val="auto"/>
        </w:rPr>
      </w:pPr>
    </w:p>
    <w:p>
      <w:pPr>
        <w:ind w:left="1200" w:hanging="392"/>
        <w:spacing w:after="0"/>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and cost of new and existing marketing and promotional efforts;</w:t>
      </w:r>
    </w:p>
    <w:p>
      <w:pPr>
        <w:spacing w:after="0" w:line="53" w:lineRule="exact"/>
        <w:rPr>
          <w:rFonts w:ascii="Arial" w:cs="Arial" w:eastAsia="Arial" w:hAnsi="Arial"/>
          <w:sz w:val="17"/>
          <w:szCs w:val="17"/>
          <w:color w:val="auto"/>
        </w:rPr>
      </w:pPr>
    </w:p>
    <w:p>
      <w:pPr>
        <w:ind w:left="1200" w:hanging="392"/>
        <w:spacing w:after="0"/>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competition, including established and future competitors;</w:t>
      </w:r>
    </w:p>
    <w:p>
      <w:pPr>
        <w:spacing w:after="0" w:line="53" w:lineRule="exact"/>
        <w:rPr>
          <w:rFonts w:ascii="Arial" w:cs="Arial" w:eastAsia="Arial" w:hAnsi="Arial"/>
          <w:sz w:val="17"/>
          <w:szCs w:val="17"/>
          <w:color w:val="auto"/>
        </w:rPr>
      </w:pPr>
    </w:p>
    <w:p>
      <w:pPr>
        <w:ind w:left="1200" w:hanging="392"/>
        <w:spacing w:after="0"/>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its ability to retain existing key management, to integrate recent hires and to attract, retain and motivate qualified personnel;</w:t>
      </w:r>
    </w:p>
    <w:p>
      <w:pPr>
        <w:spacing w:after="0" w:line="53" w:lineRule="exact"/>
        <w:rPr>
          <w:rFonts w:ascii="Arial" w:cs="Arial" w:eastAsia="Arial" w:hAnsi="Arial"/>
          <w:sz w:val="17"/>
          <w:szCs w:val="17"/>
          <w:color w:val="auto"/>
        </w:rPr>
      </w:pPr>
    </w:p>
    <w:p>
      <w:pPr>
        <w:ind w:left="1200" w:hanging="392"/>
        <w:spacing w:after="0"/>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overall strength and stability of domestic and international economies;</w:t>
      </w:r>
    </w:p>
    <w:p>
      <w:pPr>
        <w:spacing w:after="0" w:line="53" w:lineRule="exact"/>
        <w:rPr>
          <w:rFonts w:ascii="Arial" w:cs="Arial" w:eastAsia="Arial" w:hAnsi="Arial"/>
          <w:sz w:val="17"/>
          <w:szCs w:val="17"/>
          <w:color w:val="auto"/>
        </w:rPr>
      </w:pPr>
    </w:p>
    <w:p>
      <w:pPr>
        <w:ind w:left="1200" w:hanging="392"/>
        <w:spacing w:after="0"/>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regulatory, legislative and political changes; and</w:t>
      </w:r>
    </w:p>
    <w:p>
      <w:pPr>
        <w:spacing w:after="0" w:line="53" w:lineRule="exact"/>
        <w:rPr>
          <w:rFonts w:ascii="Arial" w:cs="Arial" w:eastAsia="Arial" w:hAnsi="Arial"/>
          <w:sz w:val="17"/>
          <w:szCs w:val="17"/>
          <w:color w:val="auto"/>
        </w:rPr>
      </w:pPr>
    </w:p>
    <w:p>
      <w:pPr>
        <w:ind w:left="1200" w:hanging="392"/>
        <w:spacing w:after="0"/>
        <w:tabs>
          <w:tab w:leader="none" w:pos="12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consumer spending habits.</w:t>
      </w:r>
    </w:p>
    <w:p>
      <w:pPr>
        <w:spacing w:after="0" w:line="276" w:lineRule="exact"/>
        <w:rPr>
          <w:sz w:val="20"/>
          <w:szCs w:val="20"/>
          <w:color w:val="auto"/>
        </w:rPr>
      </w:pPr>
    </w:p>
    <w:p>
      <w:pPr>
        <w:jc w:val="both"/>
        <w:ind w:right="140" w:firstLine="440"/>
        <w:spacing w:after="0" w:line="267" w:lineRule="auto"/>
        <w:rPr>
          <w:sz w:val="20"/>
          <w:szCs w:val="20"/>
          <w:color w:val="auto"/>
        </w:rPr>
      </w:pPr>
      <w:r>
        <w:rPr>
          <w:rFonts w:ascii="Arial" w:cs="Arial" w:eastAsia="Arial" w:hAnsi="Arial"/>
          <w:sz w:val="17"/>
          <w:szCs w:val="17"/>
          <w:color w:val="auto"/>
        </w:rPr>
        <w:t>Specifically, FF’s results forecast is based on projected purchase prices, unit costs for materials, manufacturing, packaging and logistics, warranty, sales, marketing and service, and its projected number of orders for the vehicles with factors such as industry cost benchmarks taken into consideration. Any of these factors could turn out to be different than those anticipated. Unfavorable changes in any of these or other factors, most of which are beyond FF’s control, could materially and adversely affect its business, prospects, financial results and results of operations.</w:t>
      </w:r>
    </w:p>
    <w:p>
      <w:pPr>
        <w:spacing w:after="0" w:line="126" w:lineRule="exact"/>
        <w:rPr>
          <w:sz w:val="20"/>
          <w:szCs w:val="20"/>
          <w:color w:val="auto"/>
        </w:rPr>
      </w:pPr>
    </w:p>
    <w:p>
      <w:pPr>
        <w:ind w:right="200" w:firstLine="5"/>
        <w:spacing w:after="0" w:line="289" w:lineRule="auto"/>
        <w:tabs>
          <w:tab w:leader="none" w:pos="277" w:val="left"/>
        </w:tabs>
        <w:numPr>
          <w:ilvl w:val="0"/>
          <w:numId w:val="4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needs to raise additional capital in the near term, and currently does not have sufficient cash on hand to launch the FF 91 and may be unable to meet its capital requirements, which could jeopardize its ability to continue its business operations.</w:t>
      </w:r>
    </w:p>
    <w:p>
      <w:pPr>
        <w:spacing w:after="0" w:line="105" w:lineRule="exact"/>
        <w:rPr>
          <w:rFonts w:ascii="Arial" w:cs="Arial" w:eastAsia="Arial" w:hAnsi="Arial"/>
          <w:sz w:val="17"/>
          <w:szCs w:val="17"/>
          <w:b w:val="1"/>
          <w:bCs w:val="1"/>
          <w:i w:val="1"/>
          <w:iCs w:val="1"/>
          <w:color w:val="auto"/>
        </w:rPr>
      </w:pPr>
    </w:p>
    <w:p>
      <w:pPr>
        <w:ind w:right="340" w:firstLine="445"/>
        <w:spacing w:after="0" w:line="273" w:lineRule="auto"/>
        <w:tabs>
          <w:tab w:leader="none" w:pos="678" w:val="left"/>
        </w:tabs>
        <w:numPr>
          <w:ilvl w:val="1"/>
          <w:numId w:val="44"/>
        </w:numPr>
        <w:rPr>
          <w:rFonts w:ascii="Arial" w:cs="Arial" w:eastAsia="Arial" w:hAnsi="Arial"/>
          <w:sz w:val="17"/>
          <w:szCs w:val="17"/>
          <w:color w:val="auto"/>
        </w:rPr>
      </w:pPr>
      <w:r>
        <w:rPr>
          <w:rFonts w:ascii="Arial" w:cs="Arial" w:eastAsia="Arial" w:hAnsi="Arial"/>
          <w:sz w:val="17"/>
          <w:szCs w:val="17"/>
          <w:color w:val="auto"/>
        </w:rPr>
        <w:t>operates in a capital-intensive industry which requires significant cash to fund its operations. FF expects its capital expenditures to continue to be significant for the foreseeable future as it continues to develop and grow its business. FF projects a use of cash of approximately $368 million for the period from July 1, 2022 through December 31, 2022 to launch the FF 91.</w:t>
      </w:r>
    </w:p>
    <w:p>
      <w:pPr>
        <w:spacing w:after="0" w:line="10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Given that the Company has 399 non-binding preorders as of June 30, 2022 and vehicle deliveries are not expected until late third quarter of 2022 at the earliest, revenue is expected to be a modest contributor in 2022. In addition to the risk that the Company’s assumptions and analyses may prove incorrect, the projections may underestimate the professional fees and other costs to be incurred related to the pursuit of various financing options currently being considered and ongoing legal risks. FF is seeking to raise capital of $325 million from fundraising efforts currently underway to supplement its cash on hand, which may not be successful. FF is actively engaged in confidential discussions and negotiations with entities affiliated with FF Top and other potential investors with respect to purchasing incremental convertible senior secured notes on the same terms as FF Simplicity Ventures LLC (an affiliate of ATW Partners LLC) under the SPA described above. There can be no assurance that FF will be able to successfully obtain additional incremental convertible senior secured note purchasers under the SPA or other debt or equity financing in a timely manner or on acceptable terms, if at all. In particular, the Company is currently conducting due diligence on potential financing sources. This process has been time consuming and may result in the Company not being able to consummate any financing from these or other financing sources on a timely basis or at all. If we are unable to raise</w:t>
      </w:r>
    </w:p>
    <w:p>
      <w:pPr>
        <w:spacing w:after="0" w:line="200" w:lineRule="exact"/>
        <w:rPr>
          <w:sz w:val="20"/>
          <w:szCs w:val="20"/>
          <w:color w:val="auto"/>
        </w:rPr>
      </w:pPr>
    </w:p>
    <w:p>
      <w:pPr>
        <w:spacing w:after="0" w:line="353"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3" w:name="page54"/>
    <w:bookmarkEnd w:id="53"/>
    <w:p>
      <w:pPr>
        <w:ind w:right="660"/>
        <w:spacing w:after="0" w:line="273" w:lineRule="auto"/>
        <w:rPr>
          <w:sz w:val="20"/>
          <w:szCs w:val="20"/>
          <w:color w:val="auto"/>
        </w:rPr>
      </w:pPr>
      <w:r>
        <w:rPr>
          <w:rFonts w:ascii="Arial" w:cs="Arial" w:eastAsia="Arial" w:hAnsi="Arial"/>
          <w:sz w:val="17"/>
          <w:szCs w:val="17"/>
          <w:color w:val="auto"/>
        </w:rPr>
        <w:t>sufficient additional funds in the near term, we may be required to delay our launch plans for the FF 91, reduce headcount, liquidate our assets, file for bankruptcy, reorganize, merge with another entity, and/or cease operations.</w:t>
      </w:r>
    </w:p>
    <w:p>
      <w:pPr>
        <w:spacing w:after="0" w:line="119" w:lineRule="exact"/>
        <w:rPr>
          <w:sz w:val="20"/>
          <w:szCs w:val="20"/>
          <w:color w:val="auto"/>
        </w:rPr>
      </w:pPr>
    </w:p>
    <w:p>
      <w:pPr>
        <w:ind w:right="40" w:firstLine="440"/>
        <w:spacing w:after="0" w:line="278" w:lineRule="auto"/>
        <w:rPr>
          <w:sz w:val="20"/>
          <w:szCs w:val="20"/>
          <w:color w:val="auto"/>
        </w:rPr>
      </w:pPr>
      <w:r>
        <w:rPr>
          <w:rFonts w:ascii="Arial" w:cs="Arial" w:eastAsia="Arial" w:hAnsi="Arial"/>
          <w:sz w:val="16"/>
          <w:szCs w:val="16"/>
          <w:color w:val="auto"/>
        </w:rPr>
        <w:t>FF’s cash needs after the launch of the FF 91 will depend on the extent to which FF’s actual costs vary from FF’s estimates and FF’s ability to control these costs and raise additional funds. Any challenges in supplier engagements, delays in ramping capacity or labor at the Hanford facility or for sales and service engagements, rising prices of materials, or ongoing global supply chain disruptions may further increase the need for additional capital to launch the FF 91 series. In particular, recently, some suppliers have threatened to terminate their relationship with the Company because of late payments or requested accelerated payments and other terms and conditions as a result of our past payment history and concerns about the Company’s financial condition, leading to less favorable payment terms than the Company had anticipated, and delaying or putting at risk certain deliveries. The Company is in active negotiations with these suppliers to minimize these risks. Apart from the FF 91 series, substantial additional capital will be required to fund operations, research, development, and design efforts for future vehicles. FF is exploring various alternatives to raise additional funding and finance its ongoing operations, including equipment leasing and construction financing of FF’s Hanford, California production facility, secured syndicated debt financing, convertible notes, working capital loans, and equity offerings, among other options. The particular funding mechanisms, terms, timing, and amounts are dependent on FF’s assessment of opportunities available in the marketplace and the circumstances of the business at the relevant time.</w:t>
      </w:r>
    </w:p>
    <w:p>
      <w:pPr>
        <w:spacing w:after="0" w:line="118" w:lineRule="exact"/>
        <w:rPr>
          <w:sz w:val="20"/>
          <w:szCs w:val="20"/>
          <w:color w:val="auto"/>
        </w:rPr>
      </w:pPr>
    </w:p>
    <w:p>
      <w:pPr>
        <w:ind w:right="100" w:firstLine="440"/>
        <w:spacing w:after="0" w:line="295" w:lineRule="auto"/>
        <w:rPr>
          <w:sz w:val="20"/>
          <w:szCs w:val="20"/>
          <w:color w:val="auto"/>
        </w:rPr>
      </w:pPr>
      <w:r>
        <w:rPr>
          <w:rFonts w:ascii="Arial" w:cs="Arial" w:eastAsia="Arial" w:hAnsi="Arial"/>
          <w:sz w:val="15"/>
          <w:szCs w:val="15"/>
          <w:color w:val="auto"/>
        </w:rPr>
        <w:t>It is difficult to predict the demand for FF’s vehicles and appropriately budget for such expenses; and FF may have limited insight into trends that could emerge and affect its business. As a company, FF does not have experience manufacturing vehicles, and as such, there is no historical basis for FF to make judgments on the demand for its vehicles. If FF is unable to accurately estimate the demand for its vehicles, match the timing and quantities of component purchases to actual needs or successfully implement inventory management and other systems to accommodate the increased complexity in FF’s supply chain,</w:t>
      </w:r>
    </w:p>
    <w:p>
      <w:pPr>
        <w:spacing w:after="0" w:line="2" w:lineRule="exact"/>
        <w:rPr>
          <w:sz w:val="20"/>
          <w:szCs w:val="20"/>
          <w:color w:val="auto"/>
        </w:rPr>
      </w:pPr>
    </w:p>
    <w:p>
      <w:pPr>
        <w:ind w:right="640" w:firstLine="5"/>
        <w:spacing w:after="0" w:line="274" w:lineRule="auto"/>
        <w:tabs>
          <w:tab w:leader="none" w:pos="238"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may incur unexpected production disruption, and storage, transportation and other costs, which could have a material adverse effect on its business, prospects, financial condition and operating results.</w:t>
      </w:r>
    </w:p>
    <w:p>
      <w:pPr>
        <w:spacing w:after="0" w:line="118" w:lineRule="exact"/>
        <w:rPr>
          <w:rFonts w:ascii="Arial" w:cs="Arial" w:eastAsia="Arial" w:hAnsi="Arial"/>
          <w:sz w:val="17"/>
          <w:szCs w:val="17"/>
          <w:color w:val="auto"/>
        </w:rPr>
      </w:pPr>
    </w:p>
    <w:p>
      <w:pPr>
        <w:ind w:right="160" w:firstLine="445"/>
        <w:spacing w:after="0" w:line="267" w:lineRule="auto"/>
        <w:tabs>
          <w:tab w:leader="none" w:pos="678" w:val="left"/>
        </w:tabs>
        <w:numPr>
          <w:ilvl w:val="1"/>
          <w:numId w:val="45"/>
        </w:numPr>
        <w:rPr>
          <w:rFonts w:ascii="Arial" w:cs="Arial" w:eastAsia="Arial" w:hAnsi="Arial"/>
          <w:sz w:val="17"/>
          <w:szCs w:val="17"/>
          <w:color w:val="auto"/>
        </w:rPr>
      </w:pPr>
      <w:r>
        <w:rPr>
          <w:rFonts w:ascii="Arial" w:cs="Arial" w:eastAsia="Arial" w:hAnsi="Arial"/>
          <w:sz w:val="17"/>
          <w:szCs w:val="17"/>
          <w:color w:val="auto"/>
        </w:rPr>
        <w:t>may raise additional funds through the issuance of equity, equity related or debt securities, or through obtaining credit from financial institutions or governmental organizations. FF cannot be certain that additional funds will be available on favorable terms when required, or at all, and any such financing is expected to dilute FF’s stockholder value. If FF is unable to obtain funding in a timely manner or on commercially acceptable terms, or at all, its financial condition, results of operations, business and prospects could be materially and adversely affected.</w:t>
      </w:r>
    </w:p>
    <w:p>
      <w:pPr>
        <w:spacing w:after="0" w:line="126" w:lineRule="exact"/>
        <w:rPr>
          <w:sz w:val="20"/>
          <w:szCs w:val="20"/>
          <w:color w:val="auto"/>
        </w:rPr>
      </w:pPr>
    </w:p>
    <w:p>
      <w:pPr>
        <w:jc w:val="both"/>
        <w:ind w:right="200" w:firstLine="440"/>
        <w:spacing w:after="0" w:line="273" w:lineRule="auto"/>
        <w:rPr>
          <w:sz w:val="20"/>
          <w:szCs w:val="20"/>
          <w:color w:val="auto"/>
        </w:rPr>
      </w:pPr>
      <w:r>
        <w:rPr>
          <w:rFonts w:ascii="Arial" w:cs="Arial" w:eastAsia="Arial" w:hAnsi="Arial"/>
          <w:sz w:val="17"/>
          <w:szCs w:val="17"/>
          <w:color w:val="auto"/>
        </w:rPr>
        <w:t>To the extent FF were to further meaningfully delay the launch of the FF 91 series, potential consumers may lose confidence in FF, and customers who have placed pre-orders for FF 91 may cancel pre-orders, which may curtail FF’s growth prospects. Additionally, FF’s competitors may move more quickly to market than FF, which could impact FF’s ability to grow its market share.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FF’s vehicles are in development and its first vehicle may not be available for sale in the third or fourth quarter of 2022, if at all.</w:t>
      </w:r>
    </w:p>
    <w:p>
      <w:pPr>
        <w:spacing w:after="0" w:line="171" w:lineRule="exact"/>
        <w:rPr>
          <w:sz w:val="20"/>
          <w:szCs w:val="20"/>
          <w:color w:val="auto"/>
        </w:rPr>
      </w:pPr>
    </w:p>
    <w:p>
      <w:pPr>
        <w:ind w:firstLine="445"/>
        <w:spacing w:after="0" w:line="302" w:lineRule="auto"/>
        <w:tabs>
          <w:tab w:leader="none" w:pos="678" w:val="left"/>
        </w:tabs>
        <w:numPr>
          <w:ilvl w:val="0"/>
          <w:numId w:val="46"/>
        </w:numPr>
        <w:rPr>
          <w:rFonts w:ascii="Arial" w:cs="Arial" w:eastAsia="Arial" w:hAnsi="Arial"/>
          <w:sz w:val="15"/>
          <w:szCs w:val="15"/>
          <w:color w:val="auto"/>
        </w:rPr>
      </w:pPr>
      <w:r>
        <w:rPr>
          <w:rFonts w:ascii="Arial" w:cs="Arial" w:eastAsia="Arial" w:hAnsi="Arial"/>
          <w:sz w:val="15"/>
          <w:szCs w:val="15"/>
          <w:color w:val="auto"/>
        </w:rPr>
        <w:t>has not yet commenced production of any model and has not recognized any revenue as of the date hereof. FF’s future business depends in large part on its ability to execute on its plans to develop, manufacture, market, sell and deliver electric vehicles, including FF 91, FF 81, FF 71 series, and SLMD electric vehicle models that appeal to customers. Although FF plans to commence sales of its first vehicle, the FF 91 series, in the third or fourth quarter of 2022, it may experience further delays due to reasons such as insufficient capital, supply shortages, design defects, talent gaps, and/or force majeure. For example, FF relies on third-party suppliers for the provision and development of many key components used in FF 91 and other models. To the extent FF’s suppliers experience any delays in providing or developing necessary components, or if they experience quality issues, FF could experience delays in delivering on its timelines. In addition, if FF has to adjust and/or reduce certain payments to suppliers, such adjustments and/or reductions could further delay the launch date of the FF 91.</w:t>
      </w:r>
    </w:p>
    <w:p>
      <w:pPr>
        <w:spacing w:after="0" w:line="105" w:lineRule="exact"/>
        <w:rPr>
          <w:sz w:val="20"/>
          <w:szCs w:val="20"/>
          <w:color w:val="auto"/>
        </w:rPr>
      </w:pPr>
    </w:p>
    <w:p>
      <w:pPr>
        <w:jc w:val="both"/>
        <w:ind w:right="200" w:firstLine="440"/>
        <w:spacing w:after="0" w:line="273" w:lineRule="auto"/>
        <w:rPr>
          <w:sz w:val="20"/>
          <w:szCs w:val="20"/>
          <w:color w:val="auto"/>
        </w:rPr>
      </w:pPr>
      <w:r>
        <w:rPr>
          <w:rFonts w:ascii="Arial" w:cs="Arial" w:eastAsia="Arial" w:hAnsi="Arial"/>
          <w:sz w:val="17"/>
          <w:szCs w:val="17"/>
          <w:color w:val="auto"/>
        </w:rPr>
        <w:t>To the extent FF were to further meaningfully delay the launch of the FF 91 series, potential consumers may lose confidence in FF, and customers who have placed pre-orders for FF 91 may cancel pre-orders, which may curtail FF’s growth prospects. Additionally, FF’s competitors may move more quickly to market than FF, which could impact FF’s ability to grow its market share.</w:t>
      </w:r>
    </w:p>
    <w:p>
      <w:pPr>
        <w:spacing w:after="0" w:line="119"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b w:val="1"/>
          <w:bCs w:val="1"/>
          <w:i w:val="1"/>
          <w:iCs w:val="1"/>
          <w:color w:val="auto"/>
        </w:rPr>
        <w:t>With FF’s vehicle still under development, FF does not have any current customers or any binding pending orders and there is no assurance non-binding pre-orders and other non-binding indications of interest will be converted into binding orders or sales.</w:t>
      </w:r>
    </w:p>
    <w:p>
      <w:pPr>
        <w:spacing w:after="0" w:line="106" w:lineRule="exact"/>
        <w:rPr>
          <w:sz w:val="20"/>
          <w:szCs w:val="20"/>
          <w:color w:val="auto"/>
        </w:rPr>
      </w:pPr>
    </w:p>
    <w:p>
      <w:pPr>
        <w:ind w:right="180" w:firstLine="440"/>
        <w:spacing w:after="0" w:line="289" w:lineRule="auto"/>
        <w:rPr>
          <w:sz w:val="20"/>
          <w:szCs w:val="20"/>
          <w:color w:val="auto"/>
        </w:rPr>
      </w:pPr>
      <w:r>
        <w:rPr>
          <w:rFonts w:ascii="Arial" w:cs="Arial" w:eastAsia="Arial" w:hAnsi="Arial"/>
          <w:sz w:val="17"/>
          <w:szCs w:val="17"/>
          <w:color w:val="auto"/>
        </w:rPr>
        <w:t>To date, FF has not sold any vehicles. Though FF has engaged in marketing activities in anticipation of launching the FF 91 series in the third or fourth quarter of 2022, FF has only received 399 non-binding, fully refundable pre-orders as of June 30,</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044" w:right="399" w:bottom="1440" w:gutter="0" w:footer="0" w:header="0"/>
        </w:sectPr>
      </w:pPr>
    </w:p>
    <w:bookmarkStart w:id="54" w:name="page55"/>
    <w:bookmarkEnd w:id="54"/>
    <w:p>
      <w:pPr>
        <w:ind w:right="40"/>
        <w:spacing w:after="0" w:line="359" w:lineRule="auto"/>
        <w:rPr>
          <w:sz w:val="20"/>
          <w:szCs w:val="20"/>
          <w:color w:val="auto"/>
        </w:rPr>
      </w:pPr>
      <w:r>
        <w:rPr>
          <w:rFonts w:ascii="Arial" w:cs="Arial" w:eastAsia="Arial" w:hAnsi="Arial"/>
          <w:sz w:val="15"/>
          <w:szCs w:val="15"/>
          <w:color w:val="auto"/>
        </w:rPr>
        <w:t>2022 and other non-binding indications of interest and FF does not have binding purchase orders or commitments from customers to purchase any of FF’s vehicles in development. As such, there can be no assurance that the pre-orders and other indications of interest would be converted into binding orders or sales.</w:t>
      </w:r>
    </w:p>
    <w:p>
      <w:pPr>
        <w:spacing w:after="0" w:line="60" w:lineRule="exact"/>
        <w:rPr>
          <w:sz w:val="20"/>
          <w:szCs w:val="20"/>
          <w:color w:val="auto"/>
        </w:rPr>
      </w:pPr>
    </w:p>
    <w:p>
      <w:pPr>
        <w:ind w:right="40" w:firstLine="440"/>
        <w:spacing w:after="0" w:line="278" w:lineRule="auto"/>
        <w:rPr>
          <w:sz w:val="20"/>
          <w:szCs w:val="20"/>
          <w:color w:val="auto"/>
        </w:rPr>
      </w:pPr>
      <w:r>
        <w:rPr>
          <w:rFonts w:ascii="Arial" w:cs="Arial" w:eastAsia="Arial" w:hAnsi="Arial"/>
          <w:sz w:val="16"/>
          <w:szCs w:val="16"/>
          <w:color w:val="auto"/>
        </w:rPr>
        <w:t>Until the time that FF’s products are commercially available for purchase, and until FF is able to scale up its marketing function to support sales, there will be uncertainty as to customer demand for FF vehicles. The potentially long wait from the time a non-binding pre-order is made or other indication of interest is provided until the time FF vehicles are delivered, and any delays beyond expected wait times, could also impact customer decisions on whether to ultimately make a purchase. Even if FF is able to obtain binding orders, customers may limit their volume of purchases initially as they assess FF’s vehicles and whether to make a broader transition to electric vehicles. Commercializing the FF 91 and other vehicles in FF’s development pipeline will be a long process and depends on FF’s ability to fund and scale up its productions, including through securing additional funding to fund its operations, the consummation of various third-party agreements and expanding FF’s marketing functions, as well as the safety, reliability, efficiency and quality of FF’s vehicles, and the support and service that will be available. It will also depend on factors outside of FF’s control, such as competition, general market conditions and broader trends in fleet management and vehicle electrification, that could impact customer buying decisions. As a result, there is significant uncertainty regarding demand for FF’s products and the pace and levels of growth that FF will be able to achieve.</w:t>
      </w:r>
    </w:p>
    <w:p>
      <w:pPr>
        <w:spacing w:after="0" w:line="12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i w:val="1"/>
          <w:iCs w:val="1"/>
          <w:color w:val="auto"/>
        </w:rPr>
        <w:t>FF’s recurring losses from operations raise substantial doubt about FF’s ability to continue as a going concern. There is no assurance that FF will be successful in executing upon its operating plan and be able to maintain an adequate level of liquidity, which would result in FF not being able to continue as a going concern.</w:t>
      </w:r>
    </w:p>
    <w:p>
      <w:pPr>
        <w:spacing w:after="0" w:line="119" w:lineRule="exact"/>
        <w:rPr>
          <w:sz w:val="20"/>
          <w:szCs w:val="20"/>
          <w:color w:val="auto"/>
        </w:rPr>
      </w:pPr>
    </w:p>
    <w:p>
      <w:pPr>
        <w:ind w:right="60" w:firstLine="440"/>
        <w:spacing w:after="0" w:line="260" w:lineRule="auto"/>
        <w:rPr>
          <w:sz w:val="20"/>
          <w:szCs w:val="20"/>
          <w:color w:val="auto"/>
        </w:rPr>
      </w:pPr>
      <w:r>
        <w:rPr>
          <w:rFonts w:ascii="Arial" w:cs="Arial" w:eastAsia="Arial" w:hAnsi="Arial"/>
          <w:sz w:val="17"/>
          <w:szCs w:val="17"/>
          <w:color w:val="auto"/>
        </w:rPr>
        <w:t>Since inception, FF has incurred cumulative losses from operations, negative cash flows from operating activities and has an accumulated deficit of $3,219 million, $2,908 million and $2,391 million as of June 30, 2022, December 31, 2021 and 2020, respectively. FF expects to continue to generate significant operating losses for the foreseeable future. Based on FF’s recurring losses from operations since inception and continued cash outflows from operating activities, in FF’s audited consolidated financial statements for the years ended December 31, 2021 and 2020, FF concluded that this circumstance raised substantial doubt about FF’s ability to continue as a going concern within one year from the original issuance date of such financial statements. Similarly, in its report on the consolidated financial statements for the years ended December 31, 2021 and 2020, FF’s independent registered public accounting firm included an explanatory paragraph stating that FF’s recurring losses from operations and continued cash outflows from operating activities raised substantial doubt about FF’s ability to continue as a going concern. FF’s consolidated financial statements for the years ended December 31, 2021 and 2020 do not include any adjustments that may result from the outcome of this uncertainty. However, after the closing of the Business Combination and the PIPE Financing on July 21, 2021, FF received gross proceeds aggregating $991.0 million which it used to pay $84.3 million in transaction costs and $139.6 million (in addition to equity) to settle certain liabilities.</w:t>
      </w:r>
    </w:p>
    <w:p>
      <w:pPr>
        <w:spacing w:after="0" w:line="133" w:lineRule="exact"/>
        <w:rPr>
          <w:sz w:val="20"/>
          <w:szCs w:val="20"/>
          <w:color w:val="auto"/>
        </w:rPr>
      </w:pPr>
    </w:p>
    <w:p>
      <w:pPr>
        <w:ind w:right="220" w:firstLine="440"/>
        <w:spacing w:after="0" w:line="289" w:lineRule="auto"/>
        <w:rPr>
          <w:sz w:val="20"/>
          <w:szCs w:val="20"/>
          <w:color w:val="auto"/>
        </w:rPr>
      </w:pPr>
      <w:r>
        <w:rPr>
          <w:rFonts w:ascii="Arial" w:cs="Arial" w:eastAsia="Arial" w:hAnsi="Arial"/>
          <w:sz w:val="17"/>
          <w:szCs w:val="17"/>
          <w:color w:val="auto"/>
        </w:rPr>
        <w:t>As of June 30, 2022, the Company’s principal source of liquidity was cash totaling $120,585, which was held for working capital and general corporate purposes.</w:t>
      </w:r>
    </w:p>
    <w:p>
      <w:pPr>
        <w:spacing w:after="0" w:line="92" w:lineRule="exact"/>
        <w:rPr>
          <w:sz w:val="20"/>
          <w:szCs w:val="20"/>
          <w:color w:val="auto"/>
        </w:rPr>
      </w:pPr>
    </w:p>
    <w:p>
      <w:pPr>
        <w:ind w:firstLine="5"/>
        <w:spacing w:after="0" w:line="259" w:lineRule="auto"/>
        <w:tabs>
          <w:tab w:leader="none" w:pos="238"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projects a use of cash of approximately $368 million for the period from July 1, 2022 through December 31, 2022 to launch the FF 91. In addition to the risk that the Company’s assumptions and analyses may prove incorrect, the projections may underestimate the professional fees and other costs to be incurred related to the pursuit of various financing options currently being considered and ongoing legal risks. FF is seeking to raise capital of $325 million from fundraising efforts currently underway to supplement its cash on hand, which may not be successful. FF is actively engaged in confidential discussions and negotiations with entities affiliated with FF Top and other potential investors with respect to purchasing incremental convertible senior secured notes on the same terms as FF Simplicity Ventures LLC (an affiliate of ATW Partners LLC) under the SPA described above. There can be no assurance that FF will be able to successfully obtain additional incremental convertible senior secured note purchasers under the SPA or other debt or equity financing in a timely manner or on acceptable terms, if at all. In particular, the Company is currently conducting due diligence on potential financing sources. This process has been time consuming and may result in the Company not being able to consummate any financing from these or other financing sources on a timely basis or at all. If we are unable to raise sufficient additional funds in the near term, we may be required to delay our launch plans for the FF 91, reduce headcount, liquidate our assets, file for bankruptcy, reorganize, merge with another entity, and/or cease operations.</w:t>
      </w:r>
    </w:p>
    <w:p>
      <w:pPr>
        <w:spacing w:after="0" w:line="134" w:lineRule="exact"/>
        <w:rPr>
          <w:sz w:val="20"/>
          <w:szCs w:val="20"/>
          <w:color w:val="auto"/>
        </w:rPr>
      </w:pPr>
    </w:p>
    <w:p>
      <w:pPr>
        <w:ind w:right="100" w:firstLine="440"/>
        <w:spacing w:after="0" w:line="265" w:lineRule="auto"/>
        <w:rPr>
          <w:sz w:val="20"/>
          <w:szCs w:val="20"/>
          <w:color w:val="auto"/>
        </w:rPr>
      </w:pPr>
      <w:r>
        <w:rPr>
          <w:rFonts w:ascii="Arial" w:cs="Arial" w:eastAsia="Arial" w:hAnsi="Arial"/>
          <w:sz w:val="17"/>
          <w:szCs w:val="17"/>
          <w:color w:val="auto"/>
        </w:rPr>
        <w:t>FF’s cash needs after the launch of the FF 91 will depend on the extent to which FF’s actual costs vary from FF’s estimates and FF’s ability to control these costs and raise additional funds. Any challenges in supplier engagements, delays in ramping capacity or labor at the Hanford facility or for sales and service engagements, rising prices of materials, or ongoing global supply chain disruptions may further increase the need for additional capital to launch the FF 91 series. Apart from the FF 91 series, substantial additional capital will be required to fund operations, research, development, and design efforts for future vehicles.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5" w:name="page56"/>
    <w:bookmarkEnd w:id="55"/>
    <w:p>
      <w:pPr>
        <w:ind w:right="160" w:firstLine="440"/>
        <w:spacing w:after="0" w:line="289" w:lineRule="auto"/>
        <w:rPr>
          <w:sz w:val="20"/>
          <w:szCs w:val="20"/>
          <w:color w:val="auto"/>
        </w:rPr>
      </w:pPr>
      <w:r>
        <w:rPr>
          <w:rFonts w:ascii="Arial" w:cs="Arial" w:eastAsia="Arial" w:hAnsi="Arial"/>
          <w:sz w:val="16"/>
          <w:szCs w:val="16"/>
          <w:color w:val="auto"/>
        </w:rPr>
        <w:t>The timely achievement of FF’s operating plan as well as its ability to maintain an adequate level of liquidity are subject to various risks associated with FF’s ability to continue to successfully obtain additional sources of funding, and control and effectively manage its costs, as well as factors outside of the Company’s control, including those related to global supply chain disruptions, and the rising prices of materials and ongoing impact of the COVID-19 pandemic. FF’s forecasts and projections of working capital reflect significant judgment and estimates for which there are inherent risks and uncertainties.</w:t>
      </w:r>
    </w:p>
    <w:p>
      <w:pPr>
        <w:spacing w:after="0" w:line="109" w:lineRule="exact"/>
        <w:rPr>
          <w:sz w:val="20"/>
          <w:szCs w:val="20"/>
          <w:color w:val="auto"/>
        </w:rPr>
      </w:pPr>
    </w:p>
    <w:p>
      <w:pPr>
        <w:ind w:right="180" w:firstLine="440"/>
        <w:spacing w:after="0" w:line="302" w:lineRule="auto"/>
        <w:rPr>
          <w:sz w:val="20"/>
          <w:szCs w:val="20"/>
          <w:color w:val="auto"/>
        </w:rPr>
      </w:pPr>
      <w:r>
        <w:rPr>
          <w:rFonts w:ascii="Arial" w:cs="Arial" w:eastAsia="Arial" w:hAnsi="Arial"/>
          <w:sz w:val="15"/>
          <w:szCs w:val="15"/>
          <w:color w:val="auto"/>
        </w:rPr>
        <w:t>There can be no assurance that FF will be successful in achieving its strategic plans, that FF’s capital raises will be sufficient to support its ongoing operations, or that any additional financing will be available in a timely manner or on acceptable terms, if at all. If events or circumstances occur such that FF does not meet its strategic plans, FF will be required to reduce discretionary spending, alter or scale back vehicle development programs, be unable to develop new or enhanced production methods, or be unable to fund capital expenditures. Any such events would have a material adverse effect on FF’s financial position, results of operations, cash flows, and ability to achieve its intended business objectives. Based on its recurring losses from operations since inception and continued cash outflows from operating activities, FF has concluded that there is substantial doubt about its ability to continue as a going concern for a period of one year from the date that FF’s unaudited condensed consolidated financial statements for the six months ended June 30, 2022 were issued.</w:t>
      </w:r>
    </w:p>
    <w:p>
      <w:pPr>
        <w:spacing w:after="0" w:line="105" w:lineRule="exact"/>
        <w:rPr>
          <w:sz w:val="20"/>
          <w:szCs w:val="20"/>
          <w:color w:val="auto"/>
        </w:rPr>
      </w:pPr>
    </w:p>
    <w:p>
      <w:pPr>
        <w:ind w:right="140" w:firstLine="440"/>
        <w:spacing w:after="0" w:line="285" w:lineRule="auto"/>
        <w:rPr>
          <w:sz w:val="20"/>
          <w:szCs w:val="20"/>
          <w:color w:val="auto"/>
        </w:rPr>
      </w:pPr>
      <w:r>
        <w:rPr>
          <w:rFonts w:ascii="Arial" w:cs="Arial" w:eastAsia="Arial" w:hAnsi="Arial"/>
          <w:sz w:val="16"/>
          <w:szCs w:val="16"/>
          <w:color w:val="auto"/>
        </w:rPr>
        <w:t>If FF is unable to continue as a going concern, it may have to seek protection under applicable bankruptcy laws and/or liquidate or reorganize its assets and may receive less than the value at which those assets are carried on its consolidated financial statements. If this were to happen, it is likely investors would lose part or all of their investment. Future reports from FF’s independent registered public accounting firm may also contain statements expressing substantial doubt about FF’s ability to continue as a going concern. If such doubt about FF continues, investors or other financing sources may be unwilling to provide additional funding to FF on commercially reasonable terms, or at all, and FF’s business may be harmed.</w:t>
      </w:r>
    </w:p>
    <w:p>
      <w:pPr>
        <w:spacing w:after="0" w:line="11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auto"/>
        </w:rPr>
        <w:t>Yueting Jia, FF’s founder and Chief Product and User Ecosystem Officer, is closely associated with the Company’s image and brand, and his public image may color public and market perceptions of FF. Negative information about Mr. Jia may adversely impact FF. Disassociating from Mr. Jia could also adversely impact FF.</w:t>
      </w:r>
    </w:p>
    <w:p>
      <w:pPr>
        <w:spacing w:after="0" w:line="119" w:lineRule="exact"/>
        <w:rPr>
          <w:sz w:val="20"/>
          <w:szCs w:val="20"/>
          <w:color w:val="auto"/>
        </w:rPr>
      </w:pPr>
    </w:p>
    <w:p>
      <w:pPr>
        <w:ind w:right="20" w:firstLine="440"/>
        <w:spacing w:after="0" w:line="265" w:lineRule="auto"/>
        <w:rPr>
          <w:sz w:val="20"/>
          <w:szCs w:val="20"/>
          <w:color w:val="auto"/>
        </w:rPr>
      </w:pPr>
      <w:r>
        <w:rPr>
          <w:rFonts w:ascii="Arial" w:cs="Arial" w:eastAsia="Arial" w:hAnsi="Arial"/>
          <w:sz w:val="17"/>
          <w:szCs w:val="17"/>
          <w:color w:val="auto"/>
        </w:rPr>
        <w:t>Because of his position as the founder of the Company and his continuing role with the Company as Chief Product and User Ecosystem Officer, Yueting (“YT”) Jia is closely associated with the image and brand of FF. As a result, his activities, media coverage about his activities and those of his affiliates and public and market perception of him and his role within FF all contribute to public and market perception of FF, which in turn impacts, among other things, FF’s ability to conduct business, FF’s relationships with its management and employees, FF’s ability to raise financing and FF’s relationships with government and regulatory officials.</w:t>
      </w:r>
    </w:p>
    <w:p>
      <w:pPr>
        <w:spacing w:after="0" w:line="126"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Mr. Jia’s activities have in the past resulted in him being subject to discipline by FF. He has also been the subject of regulatory and legal scrutiny for his conduct at FF and in connection with his other business ventures. The following events and activities, among others, and any future similar events and activities could generate negative perceptions about Mr. Jia and, by extension, FF:</w:t>
      </w:r>
    </w:p>
    <w:p>
      <w:pPr>
        <w:spacing w:after="0" w:line="197" w:lineRule="exact"/>
        <w:rPr>
          <w:sz w:val="20"/>
          <w:szCs w:val="20"/>
          <w:color w:val="auto"/>
        </w:rPr>
      </w:pPr>
    </w:p>
    <w:p>
      <w:pPr>
        <w:jc w:val="both"/>
        <w:ind w:left="640" w:right="480" w:hanging="321"/>
        <w:spacing w:after="0" w:line="273"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Mr. Jia was disciplined as part of the Special Committee investigation. See “</w:t>
      </w:r>
      <w:r>
        <w:rPr>
          <w:rFonts w:ascii="Arial" w:cs="Arial" w:eastAsia="Arial" w:hAnsi="Arial"/>
          <w:sz w:val="17"/>
          <w:szCs w:val="17"/>
          <w:i w:val="1"/>
          <w:iCs w:val="1"/>
          <w:color w:val="auto"/>
        </w:rPr>
        <w:t>Management’s Discussion and Analysis of Financial Conditions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Operations–Recent Developments–Special Committee Investigation</w:t>
      </w:r>
      <w:r>
        <w:rPr>
          <w:rFonts w:ascii="Arial" w:cs="Arial" w:eastAsia="Arial" w:hAnsi="Arial"/>
          <w:sz w:val="17"/>
          <w:szCs w:val="17"/>
          <w:color w:val="auto"/>
        </w:rPr>
        <w:t>” for more information regarding the findings and remedial actions</w:t>
      </w:r>
      <w:r>
        <w:rPr>
          <w:rFonts w:ascii="Arial" w:cs="Arial" w:eastAsia="Arial" w:hAnsi="Arial"/>
          <w:sz w:val="17"/>
          <w:szCs w:val="17"/>
          <w:i w:val="1"/>
          <w:iCs w:val="1"/>
          <w:color w:val="auto"/>
        </w:rPr>
        <w:t xml:space="preserve"> </w:t>
      </w:r>
      <w:r>
        <w:rPr>
          <w:rFonts w:ascii="Arial" w:cs="Arial" w:eastAsia="Arial" w:hAnsi="Arial"/>
          <w:sz w:val="17"/>
          <w:szCs w:val="17"/>
          <w:color w:val="auto"/>
        </w:rPr>
        <w:t>relating to the Special Committee investigation.</w:t>
      </w:r>
    </w:p>
    <w:p>
      <w:pPr>
        <w:spacing w:after="0" w:line="197" w:lineRule="exact"/>
        <w:rPr>
          <w:rFonts w:ascii="Arial" w:cs="Arial" w:eastAsia="Arial" w:hAnsi="Arial"/>
          <w:sz w:val="17"/>
          <w:szCs w:val="17"/>
          <w:color w:val="auto"/>
        </w:rPr>
      </w:pPr>
    </w:p>
    <w:p>
      <w:pPr>
        <w:ind w:left="620" w:hanging="301"/>
        <w:spacing w:after="0"/>
        <w:tabs>
          <w:tab w:leader="none" w:pos="6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Mr. Jia personally declared Chapter 11 bankruptcy in 2019; the U.S. bankruptcy court approved a restructuring plan in this proceeding in 2020.</w:t>
      </w:r>
    </w:p>
    <w:p>
      <w:pPr>
        <w:spacing w:after="0" w:line="261" w:lineRule="exact"/>
        <w:rPr>
          <w:rFonts w:ascii="Arial" w:cs="Arial" w:eastAsia="Arial" w:hAnsi="Arial"/>
          <w:sz w:val="16"/>
          <w:szCs w:val="16"/>
          <w:color w:val="auto"/>
        </w:rPr>
      </w:pPr>
    </w:p>
    <w:p>
      <w:pPr>
        <w:ind w:left="640" w:hanging="321"/>
        <w:spacing w:after="0" w:line="267"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Shenzhen Stock Exchange (“SSE”) determined in 2019 that Mr. Jia was unsuitable for a position as director, supervisor or executive officer of public listed companies in China. This action came as a result of the violation by Leshi Information Technology Co., Ltd. (“LeTV”), an SSE-listed public company founded and controlled by Mr. Jia, of several listing rules, including those related to related party transactions, discrepancies in LeTV’s forecast and financials, and the use of proceeds from a public offering.</w:t>
      </w:r>
    </w:p>
    <w:p>
      <w:pPr>
        <w:spacing w:after="0" w:line="204" w:lineRule="exact"/>
        <w:rPr>
          <w:rFonts w:ascii="Arial" w:cs="Arial" w:eastAsia="Arial" w:hAnsi="Arial"/>
          <w:sz w:val="17"/>
          <w:szCs w:val="17"/>
          <w:color w:val="auto"/>
        </w:rPr>
      </w:pPr>
    </w:p>
    <w:p>
      <w:pPr>
        <w:ind w:left="640" w:right="20" w:hanging="321"/>
        <w:spacing w:after="0" w:line="273"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China Securities Regulatory Commission notified Mr. Jia in 2021 of its decision to impose fines and a permanent ban from entry into the securities market as a result of misrepresentations in LeTV’s disclosure and financial statements, fraud in connection with a private placement, and other violations of securities laws and listing requirements.</w:t>
      </w:r>
    </w:p>
    <w:p>
      <w:pPr>
        <w:spacing w:after="0" w:line="197" w:lineRule="exact"/>
        <w:rPr>
          <w:rFonts w:ascii="Arial" w:cs="Arial" w:eastAsia="Arial" w:hAnsi="Arial"/>
          <w:sz w:val="17"/>
          <w:szCs w:val="17"/>
          <w:color w:val="auto"/>
        </w:rPr>
      </w:pPr>
    </w:p>
    <w:p>
      <w:pPr>
        <w:ind w:left="640" w:right="160" w:hanging="321"/>
        <w:spacing w:after="0" w:line="289" w:lineRule="auto"/>
        <w:tabs>
          <w:tab w:leader="none" w:pos="635" w:val="left"/>
        </w:tabs>
        <w:numPr>
          <w:ilvl w:val="0"/>
          <w:numId w:val="48"/>
        </w:numPr>
        <w:rPr>
          <w:rFonts w:ascii="Arial" w:cs="Arial" w:eastAsia="Arial" w:hAnsi="Arial"/>
          <w:sz w:val="17"/>
          <w:szCs w:val="17"/>
          <w:color w:val="auto"/>
        </w:rPr>
      </w:pPr>
      <w:r>
        <w:rPr>
          <w:rFonts w:ascii="Arial" w:cs="Arial" w:eastAsia="Arial" w:hAnsi="Arial"/>
          <w:sz w:val="17"/>
          <w:szCs w:val="17"/>
          <w:color w:val="auto"/>
        </w:rPr>
        <w:t>Mr. Jia is a named defendant in securities litigation before the Beijing Financial Court brought in 2021 relating to alleged misrepresentations made by LeTV in connection with the matters referred to above. This matter is pending,</w:t>
      </w: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6" w:name="page57"/>
    <w:bookmarkEnd w:id="56"/>
    <w:p>
      <w:pPr>
        <w:ind w:left="640" w:right="40" w:hanging="321"/>
        <w:spacing w:after="0" w:line="289" w:lineRule="auto"/>
        <w:tabs>
          <w:tab w:leader="none" w:pos="6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Hong Kong Stock Exchange (“HKSE”) notified Mr. Jia in 2021 that he and another former executive director of Coolpad Group Limited (“Coolpad”), an HKSE-listed public company of which Mr. Jia was executive director and chairman, had breached their undertakings to the HKSE as a result of Coolpad’s failure to comply with listing rules relating to timely disclosure and the publishing of financial results. The HKSE determined that Mr. Jia should be removed from the board of Coolpad as his continued service would be prejudicial to the interests of investors.</w:t>
      </w:r>
    </w:p>
    <w:p>
      <w:pPr>
        <w:spacing w:after="0" w:line="109" w:lineRule="exact"/>
        <w:rPr>
          <w:sz w:val="20"/>
          <w:szCs w:val="20"/>
          <w:color w:val="auto"/>
        </w:rPr>
      </w:pPr>
    </w:p>
    <w:p>
      <w:pPr>
        <w:ind w:right="100" w:firstLine="440"/>
        <w:spacing w:after="0" w:line="314" w:lineRule="auto"/>
        <w:rPr>
          <w:sz w:val="20"/>
          <w:szCs w:val="20"/>
          <w:color w:val="auto"/>
        </w:rPr>
      </w:pPr>
      <w:r>
        <w:rPr>
          <w:rFonts w:ascii="Arial" w:cs="Arial" w:eastAsia="Arial" w:hAnsi="Arial"/>
          <w:sz w:val="15"/>
          <w:szCs w:val="15"/>
          <w:color w:val="auto"/>
        </w:rPr>
        <w:t>Although FF is subject to risks from its ongoing association with Mr. Jia, if Mr. Jia ceased to be associated with FF, this also could adversely impact FF’s business, operations, brand, management and employee relations and customer relationships, as well as FF’s ability to develop business in China. Customers, employees and investors could conclude that because of Mr. Jia’s long relationship with and involvement in FF’s business, and the substantial contributions he has made to FF’s strategy, products and competitive positioning, a loss of Mr. Jia’s involvement would significantly harm FF’s business and prospects.</w:t>
      </w:r>
    </w:p>
    <w:p>
      <w:pPr>
        <w:spacing w:after="0" w:line="329" w:lineRule="exact"/>
        <w:rPr>
          <w:sz w:val="20"/>
          <w:szCs w:val="20"/>
          <w:color w:val="auto"/>
        </w:rPr>
      </w:pPr>
    </w:p>
    <w:p>
      <w:pPr>
        <w:ind w:right="560"/>
        <w:spacing w:after="0" w:line="289" w:lineRule="auto"/>
        <w:rPr>
          <w:sz w:val="20"/>
          <w:szCs w:val="20"/>
          <w:color w:val="auto"/>
        </w:rPr>
      </w:pPr>
      <w:r>
        <w:rPr>
          <w:rFonts w:ascii="Arial" w:cs="Arial" w:eastAsia="Arial" w:hAnsi="Arial"/>
          <w:sz w:val="17"/>
          <w:szCs w:val="17"/>
          <w:b w:val="1"/>
          <w:bCs w:val="1"/>
          <w:i w:val="1"/>
          <w:iCs w:val="1"/>
          <w:color w:val="auto"/>
        </w:rPr>
        <w:t>YT Jia is subject to restrictions in China that may continue if not all creditors participating in his personal bankruptcy restructuring plan request his removal from such restrictions. These restrictions may adversely impact the Company’s China strategy.</w:t>
      </w:r>
    </w:p>
    <w:p>
      <w:pPr>
        <w:spacing w:after="0" w:line="106" w:lineRule="exact"/>
        <w:rPr>
          <w:sz w:val="20"/>
          <w:szCs w:val="20"/>
          <w:color w:val="auto"/>
        </w:rPr>
      </w:pPr>
    </w:p>
    <w:p>
      <w:pPr>
        <w:jc w:val="both"/>
        <w:ind w:right="380" w:firstLine="440"/>
        <w:spacing w:after="0" w:line="265" w:lineRule="auto"/>
        <w:rPr>
          <w:sz w:val="20"/>
          <w:szCs w:val="20"/>
          <w:color w:val="auto"/>
        </w:rPr>
      </w:pPr>
      <w:r>
        <w:rPr>
          <w:rFonts w:ascii="Arial" w:cs="Arial" w:eastAsia="Arial" w:hAnsi="Arial"/>
          <w:sz w:val="17"/>
          <w:szCs w:val="17"/>
          <w:color w:val="auto"/>
        </w:rPr>
        <w:t>As a condition to receiving distributions from the trust established as part of YT Jia’s personal bankruptcy restructuring plan, Mr. Jia’s creditors are required to request his removal from a Chinese official list of dishonest judgment debtors and the lifting of any consumption or travel restrictions that are currently imposed on him. This process has not been completed and Mr. Jia remains subject to restrictions that prevent him from working for FF in China. Continuance of these restrictions would adversely impact FF because of our reliance on him to develop our business in China, which is a crucial part of our growth strategy.</w:t>
      </w:r>
    </w:p>
    <w:p>
      <w:pPr>
        <w:spacing w:after="0" w:line="12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i w:val="1"/>
          <w:iCs w:val="1"/>
          <w:color w:val="auto"/>
        </w:rPr>
        <w:t>The Company relies on FF Global, FF Top and individuals under FF Global’s and FF Top’s control for information relating to certain matters required to be disclosed in the Company’s SEC filings, and their failure to provide such information could adversely affect Company’s ability to comply with its disclosure obligations.</w:t>
      </w:r>
    </w:p>
    <w:p>
      <w:pPr>
        <w:spacing w:after="0" w:line="119" w:lineRule="exact"/>
        <w:rPr>
          <w:sz w:val="20"/>
          <w:szCs w:val="20"/>
          <w:color w:val="auto"/>
        </w:rPr>
      </w:pPr>
    </w:p>
    <w:p>
      <w:pPr>
        <w:ind w:right="60" w:firstLine="440"/>
        <w:spacing w:after="0" w:line="278" w:lineRule="auto"/>
        <w:rPr>
          <w:sz w:val="20"/>
          <w:szCs w:val="20"/>
          <w:color w:val="auto"/>
        </w:rPr>
      </w:pPr>
      <w:r>
        <w:rPr>
          <w:rFonts w:ascii="Arial" w:cs="Arial" w:eastAsia="Arial" w:hAnsi="Arial"/>
          <w:sz w:val="16"/>
          <w:szCs w:val="16"/>
          <w:color w:val="auto"/>
        </w:rPr>
        <w:t xml:space="preserve">As a public company, the Company is subject to the rules and regulations of the SEC, including extensive disclosure requirements relating to corporate governance, executive compensation and financial reporting matters (among others).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Risk Factors – Risks Related to Our Common Stock – FFIE has</w:t>
      </w:r>
      <w:r>
        <w:rPr>
          <w:rFonts w:ascii="Arial" w:cs="Arial" w:eastAsia="Arial" w:hAnsi="Arial"/>
          <w:sz w:val="16"/>
          <w:szCs w:val="16"/>
          <w:color w:val="auto"/>
        </w:rPr>
        <w:t xml:space="preserve"> </w:t>
      </w:r>
      <w:r>
        <w:rPr>
          <w:rFonts w:ascii="Arial" w:cs="Arial" w:eastAsia="Arial" w:hAnsi="Arial"/>
          <w:sz w:val="16"/>
          <w:szCs w:val="16"/>
          <w:i w:val="1"/>
          <w:iCs w:val="1"/>
          <w:color w:val="auto"/>
        </w:rPr>
        <w:t>incurred and will continue to incur increased expenses and administrative burdens as a public company, which could have an adverse effect on its business, financial condition and results of operations</w:t>
      </w:r>
      <w:r>
        <w:rPr>
          <w:rFonts w:ascii="Arial" w:cs="Arial" w:eastAsia="Arial" w:hAnsi="Arial"/>
          <w:sz w:val="16"/>
          <w:szCs w:val="16"/>
          <w:color w:val="auto"/>
        </w:rPr>
        <w:t>” in the Form 10-K. Due to FF Global’s and FF Top’s relationship with the Company and with a number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employees (including several of the Company’s executive officers), we rely on FF Global and FF Top to provide us with information that the Company is required to disclose in its SEC filings. FF Global and FF Top may be unwilling to provide all or any part of such required information for the Company’s SEC filings. For example, certain individuals with relationships with FF Global and FF Top failed to cooperate and withheld potentially relevant information in connection with the Special Committee investigation, including Jerry Wang, President of FF Global and FF Top and who previously served as an executive officer of the Company. See “</w:t>
      </w:r>
      <w:r>
        <w:rPr>
          <w:rFonts w:ascii="Arial" w:cs="Arial" w:eastAsia="Arial" w:hAnsi="Arial"/>
          <w:sz w:val="16"/>
          <w:szCs w:val="16"/>
          <w:i w:val="1"/>
          <w:iCs w:val="1"/>
          <w:color w:val="auto"/>
        </w:rPr>
        <w:t>Management’s Discussion and Analysis of Financial Condition and Results of Operations – Special Committee</w:t>
      </w:r>
      <w:r>
        <w:rPr>
          <w:rFonts w:ascii="Arial" w:cs="Arial" w:eastAsia="Arial" w:hAnsi="Arial"/>
          <w:sz w:val="16"/>
          <w:szCs w:val="16"/>
          <w:color w:val="auto"/>
        </w:rPr>
        <w:t xml:space="preserve"> </w:t>
      </w:r>
      <w:r>
        <w:rPr>
          <w:rFonts w:ascii="Arial" w:cs="Arial" w:eastAsia="Arial" w:hAnsi="Arial"/>
          <w:sz w:val="16"/>
          <w:szCs w:val="16"/>
          <w:i w:val="1"/>
          <w:iCs w:val="1"/>
          <w:color w:val="auto"/>
        </w:rPr>
        <w:t>Investigation</w:t>
      </w:r>
      <w:r>
        <w:rPr>
          <w:rFonts w:ascii="Arial" w:cs="Arial" w:eastAsia="Arial" w:hAnsi="Arial"/>
          <w:sz w:val="16"/>
          <w:szCs w:val="16"/>
          <w:color w:val="auto"/>
        </w:rPr>
        <w:t>” for more information. The failure of FF Global or FF Top to provide to the Company information required to be disclosed by the Company in its</w:t>
      </w:r>
      <w:r>
        <w:rPr>
          <w:rFonts w:ascii="Arial" w:cs="Arial" w:eastAsia="Arial" w:hAnsi="Arial"/>
          <w:sz w:val="16"/>
          <w:szCs w:val="16"/>
          <w:i w:val="1"/>
          <w:iCs w:val="1"/>
          <w:color w:val="auto"/>
        </w:rPr>
        <w:t xml:space="preserve"> </w:t>
      </w:r>
      <w:r>
        <w:rPr>
          <w:rFonts w:ascii="Arial" w:cs="Arial" w:eastAsia="Arial" w:hAnsi="Arial"/>
          <w:sz w:val="16"/>
          <w:szCs w:val="16"/>
          <w:color w:val="auto"/>
        </w:rPr>
        <w:t>SEC filings could adversely affect the Company’s ability to comply with its disclosure obligations.</w:t>
      </w:r>
    </w:p>
    <w:p>
      <w:pPr>
        <w:spacing w:after="0" w:line="118"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b w:val="1"/>
          <w:bCs w:val="1"/>
          <w:i w:val="1"/>
          <w:iCs w:val="1"/>
          <w:color w:val="auto"/>
        </w:rPr>
        <w:t>YT Jia and FF Global, over which Mr. Jia exercises influence, have the ability to influence the Company’s management, business and operations, and may use this ability in ways that are not aligned with the Company’s business or financial objectives or strategies or that are otherwise inconsistent with the Company’s interests. Such influence may increase if and to the extent the current members of the Board and management are removed and replaced with individuals who are aligned with Mr. Jia and/or FF Global.</w:t>
      </w:r>
    </w:p>
    <w:p>
      <w:pPr>
        <w:spacing w:after="0" w:line="126" w:lineRule="exact"/>
        <w:rPr>
          <w:sz w:val="20"/>
          <w:szCs w:val="20"/>
          <w:color w:val="auto"/>
        </w:rPr>
      </w:pPr>
    </w:p>
    <w:p>
      <w:pPr>
        <w:ind w:firstLine="440"/>
        <w:spacing w:after="0" w:line="322" w:lineRule="auto"/>
        <w:rPr>
          <w:sz w:val="20"/>
          <w:szCs w:val="20"/>
          <w:color w:val="auto"/>
        </w:rPr>
      </w:pPr>
      <w:r>
        <w:rPr>
          <w:rFonts w:ascii="Arial" w:cs="Arial" w:eastAsia="Arial" w:hAnsi="Arial"/>
          <w:sz w:val="16"/>
          <w:szCs w:val="16"/>
          <w:color w:val="auto"/>
        </w:rPr>
        <w:t>YT Jia founded the Company in 2014, and was its Chief Executive Officer from 2017 until 2019. He chose and led the team creating the FF 91, and as our current Chief Product &amp; User Ecosystem Officer, Mr. Jia continues to be an integral part of the innovation and development of our products.</w:t>
      </w:r>
    </w:p>
    <w:p>
      <w:pPr>
        <w:spacing w:after="0" w:line="83" w:lineRule="exact"/>
        <w:rPr>
          <w:sz w:val="20"/>
          <w:szCs w:val="20"/>
          <w:color w:val="auto"/>
        </w:rPr>
      </w:pPr>
    </w:p>
    <w:p>
      <w:pPr>
        <w:ind w:right="160" w:firstLine="445"/>
        <w:spacing w:after="0" w:line="273" w:lineRule="auto"/>
        <w:tabs>
          <w:tab w:leader="none" w:pos="678" w:val="left"/>
        </w:tabs>
        <w:numPr>
          <w:ilvl w:val="0"/>
          <w:numId w:val="50"/>
        </w:numPr>
        <w:rPr>
          <w:rFonts w:ascii="Arial" w:cs="Arial" w:eastAsia="Arial" w:hAnsi="Arial"/>
          <w:sz w:val="17"/>
          <w:szCs w:val="17"/>
          <w:color w:val="auto"/>
        </w:rPr>
      </w:pPr>
      <w:r>
        <w:rPr>
          <w:rFonts w:ascii="Arial" w:cs="Arial" w:eastAsia="Arial" w:hAnsi="Arial"/>
          <w:sz w:val="17"/>
          <w:szCs w:val="17"/>
          <w:color w:val="auto"/>
        </w:rPr>
        <w:t>Global Partners LLC (“FF Global”) is controlled by a board of six voting managers that includes Mr. Jia and certain business associates and a family member, which at times have included directors and senior executives of FF. Despite the participation of some members of our Board and executive management in the management of FF Global, FF Global is not under the control of our Board.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57" w:name="page58"/>
    <w:bookmarkEnd w:id="57"/>
    <w:p>
      <w:pPr>
        <w:ind w:left="880" w:hanging="246"/>
        <w:spacing w:after="0"/>
        <w:tabs>
          <w:tab w:leader="none" w:pos="880" w:val="left"/>
        </w:tabs>
        <w:numPr>
          <w:ilvl w:val="1"/>
          <w:numId w:val="51"/>
        </w:numPr>
        <w:rPr>
          <w:rFonts w:ascii="Arial" w:cs="Arial" w:eastAsia="Arial" w:hAnsi="Arial"/>
          <w:sz w:val="17"/>
          <w:szCs w:val="17"/>
          <w:color w:val="auto"/>
        </w:rPr>
      </w:pPr>
      <w:r>
        <w:rPr>
          <w:rFonts w:ascii="Arial" w:cs="Arial" w:eastAsia="Arial" w:hAnsi="Arial"/>
          <w:sz w:val="17"/>
          <w:szCs w:val="17"/>
          <w:color w:val="auto"/>
        </w:rPr>
        <w:t>Global, in turn, has the ability to influence the Company’s management, business and operations by several means, including:</w:t>
      </w:r>
    </w:p>
    <w:p>
      <w:pPr>
        <w:spacing w:after="0" w:line="249" w:lineRule="exact"/>
        <w:rPr>
          <w:rFonts w:ascii="Arial" w:cs="Arial" w:eastAsia="Arial" w:hAnsi="Arial"/>
          <w:sz w:val="17"/>
          <w:szCs w:val="17"/>
          <w:color w:val="auto"/>
        </w:rPr>
      </w:pPr>
    </w:p>
    <w:p>
      <w:pPr>
        <w:ind w:left="640" w:right="80" w:hanging="321"/>
        <w:spacing w:after="0" w:line="267"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Beneficial ownership of 35.9% of the voting power of the Company’s fully diluted common stock</w:t>
      </w:r>
      <w:r>
        <w:rPr>
          <w:rFonts w:ascii="Arial" w:cs="Arial" w:eastAsia="Arial" w:hAnsi="Arial"/>
          <w:sz w:val="17"/>
          <w:szCs w:val="17"/>
          <w:color w:val="auto"/>
        </w:rPr>
        <w:t>. This ownership position makes FF Global the largest</w:t>
      </w:r>
      <w:r>
        <w:rPr>
          <w:rFonts w:ascii="Arial" w:cs="Arial" w:eastAsia="Arial" w:hAnsi="Arial"/>
          <w:sz w:val="17"/>
          <w:szCs w:val="17"/>
          <w:i w:val="1"/>
          <w:iCs w:val="1"/>
          <w:color w:val="auto"/>
        </w:rPr>
        <w:t xml:space="preserve"> </w:t>
      </w:r>
      <w:r>
        <w:rPr>
          <w:rFonts w:ascii="Arial" w:cs="Arial" w:eastAsia="Arial" w:hAnsi="Arial"/>
          <w:sz w:val="17"/>
          <w:szCs w:val="17"/>
          <w:color w:val="auto"/>
        </w:rPr>
        <w:t>holder of our common stock, and gives FF Global substantial influence over the composition of our Board (in addition to FF Global’s director nomination rights under the Shareholder Agreement described below), which it is able to use in order to influence, or attempt to influence, Board decision-making.</w:t>
      </w:r>
    </w:p>
    <w:p>
      <w:pPr>
        <w:spacing w:after="0" w:line="204" w:lineRule="exact"/>
        <w:rPr>
          <w:rFonts w:ascii="Arial" w:cs="Arial" w:eastAsia="Arial" w:hAnsi="Arial"/>
          <w:sz w:val="17"/>
          <w:szCs w:val="17"/>
          <w:color w:val="auto"/>
        </w:rPr>
      </w:pPr>
    </w:p>
    <w:p>
      <w:pPr>
        <w:ind w:left="640" w:right="80" w:hanging="321"/>
        <w:spacing w:after="0" w:line="285" w:lineRule="auto"/>
        <w:tabs>
          <w:tab w:leader="none" w:pos="635"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Control of the Partnership Program. </w:t>
      </w:r>
      <w:r>
        <w:rPr>
          <w:rFonts w:ascii="Arial" w:cs="Arial" w:eastAsia="Arial" w:hAnsi="Arial"/>
          <w:sz w:val="16"/>
          <w:szCs w:val="16"/>
          <w:color w:val="auto"/>
        </w:rPr>
        <w:t>Acting through FF Global, in July 2019 certain current and former directors and executives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an arrangement which they refer to as the “Partnership Program.” The Partnership Program provides financial benefits to certain Company directors, management and employees. The Partnership Program is administered by FF Global and is not under the Company’s supervision, and as a consequence the Company cannot be sure that it has all information about the Partnership Program that would be necessary to evaluate or mitigate its impact on the FF’s ability to set and ensure the execution of the FF’s business objectives and strategies.</w:t>
      </w:r>
    </w:p>
    <w:p>
      <w:pPr>
        <w:spacing w:after="0" w:line="191" w:lineRule="exact"/>
        <w:rPr>
          <w:rFonts w:ascii="Arial" w:cs="Arial" w:eastAsia="Arial" w:hAnsi="Arial"/>
          <w:sz w:val="16"/>
          <w:szCs w:val="16"/>
          <w:i w:val="1"/>
          <w:iCs w:val="1"/>
          <w:color w:val="auto"/>
        </w:rPr>
      </w:pPr>
    </w:p>
    <w:p>
      <w:pPr>
        <w:jc w:val="both"/>
        <w:ind w:left="640" w:right="120" w:hanging="321"/>
        <w:spacing w:after="0" w:line="299" w:lineRule="auto"/>
        <w:tabs>
          <w:tab w:leader="none" w:pos="635" w:val="left"/>
        </w:tabs>
        <w:numPr>
          <w:ilvl w:val="0"/>
          <w:numId w:val="51"/>
        </w:numPr>
        <w:rPr>
          <w:rFonts w:ascii="Arial" w:cs="Arial" w:eastAsia="Arial" w:hAnsi="Arial"/>
          <w:sz w:val="15"/>
          <w:szCs w:val="15"/>
          <w:i w:val="1"/>
          <w:iCs w:val="1"/>
          <w:color w:val="auto"/>
        </w:rPr>
      </w:pPr>
      <w:r>
        <w:rPr>
          <w:rFonts w:ascii="Arial" w:cs="Arial" w:eastAsia="Arial" w:hAnsi="Arial"/>
          <w:sz w:val="15"/>
          <w:szCs w:val="15"/>
          <w:i w:val="1"/>
          <w:iCs w:val="1"/>
          <w:color w:val="auto"/>
        </w:rPr>
        <w:t>Exercise of rights to appoint and remove directors pursuant to the Shareholder Agreement</w:t>
      </w:r>
      <w:r>
        <w:rPr>
          <w:rFonts w:ascii="Arial" w:cs="Arial" w:eastAsia="Arial" w:hAnsi="Arial"/>
          <w:sz w:val="15"/>
          <w:szCs w:val="15"/>
          <w:color w:val="auto"/>
        </w:rPr>
        <w:t>. Under the Shareholder Agreement, FF Global (through its</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subsidiary FF Top) has the right to appoint a number of directors to our Board that is proportional to its ownership interest in the Company. Currently,</w:t>
      </w:r>
    </w:p>
    <w:p>
      <w:pPr>
        <w:spacing w:after="0" w:line="1" w:lineRule="exact"/>
        <w:rPr>
          <w:rFonts w:ascii="Arial" w:cs="Arial" w:eastAsia="Arial" w:hAnsi="Arial"/>
          <w:sz w:val="15"/>
          <w:szCs w:val="15"/>
          <w:i w:val="1"/>
          <w:iCs w:val="1"/>
          <w:color w:val="auto"/>
        </w:rPr>
      </w:pPr>
    </w:p>
    <w:p>
      <w:pPr>
        <w:ind w:left="880" w:hanging="246"/>
        <w:spacing w:after="0"/>
        <w:tabs>
          <w:tab w:leader="none" w:pos="880" w:val="left"/>
        </w:tabs>
        <w:numPr>
          <w:ilvl w:val="1"/>
          <w:numId w:val="51"/>
        </w:numPr>
        <w:rPr>
          <w:rFonts w:ascii="Arial" w:cs="Arial" w:eastAsia="Arial" w:hAnsi="Arial"/>
          <w:sz w:val="15"/>
          <w:szCs w:val="15"/>
          <w:color w:val="auto"/>
        </w:rPr>
      </w:pPr>
      <w:r>
        <w:rPr>
          <w:rFonts w:ascii="Arial" w:cs="Arial" w:eastAsia="Arial" w:hAnsi="Arial"/>
          <w:sz w:val="15"/>
          <w:szCs w:val="15"/>
          <w:color w:val="auto"/>
        </w:rPr>
        <w:t>Global has the right to appoint four members of the Company’s nine-member Board. FF Global has attempted to exercise these rights in ways that</w:t>
      </w:r>
    </w:p>
    <w:p>
      <w:pPr>
        <w:spacing w:after="0" w:line="37" w:lineRule="exact"/>
        <w:rPr>
          <w:rFonts w:ascii="Arial" w:cs="Arial" w:eastAsia="Arial" w:hAnsi="Arial"/>
          <w:sz w:val="15"/>
          <w:szCs w:val="15"/>
          <w:color w:val="auto"/>
        </w:rPr>
      </w:pPr>
    </w:p>
    <w:p>
      <w:pPr>
        <w:ind w:left="640" w:right="220" w:hanging="6"/>
        <w:spacing w:after="0" w:line="274" w:lineRule="auto"/>
        <w:tabs>
          <w:tab w:leader="none" w:pos="878" w:val="left"/>
        </w:tabs>
        <w:numPr>
          <w:ilvl w:val="1"/>
          <w:numId w:val="52"/>
        </w:numPr>
        <w:rPr>
          <w:rFonts w:ascii="Arial" w:cs="Arial" w:eastAsia="Arial" w:hAnsi="Arial"/>
          <w:sz w:val="17"/>
          <w:szCs w:val="17"/>
          <w:color w:val="auto"/>
        </w:rPr>
      </w:pPr>
      <w:r>
        <w:rPr>
          <w:rFonts w:ascii="Arial" w:cs="Arial" w:eastAsia="Arial" w:hAnsi="Arial"/>
          <w:sz w:val="17"/>
          <w:szCs w:val="17"/>
          <w:color w:val="auto"/>
        </w:rPr>
        <w:t>believes are not permitted under the Shareholder Agreement, and has informed FF that it may initiate litigation over its differing interpretation of certain provisions in the Shareholder Agreement.</w:t>
      </w:r>
    </w:p>
    <w:p>
      <w:pPr>
        <w:spacing w:after="0" w:line="196" w:lineRule="exact"/>
        <w:rPr>
          <w:rFonts w:ascii="Arial" w:cs="Arial" w:eastAsia="Arial" w:hAnsi="Arial"/>
          <w:sz w:val="17"/>
          <w:szCs w:val="17"/>
          <w:color w:val="auto"/>
        </w:rPr>
      </w:pPr>
    </w:p>
    <w:p>
      <w:pPr>
        <w:ind w:left="620" w:hanging="301"/>
        <w:spacing w:after="0"/>
        <w:tabs>
          <w:tab w:leader="none" w:pos="620" w:val="left"/>
        </w:tabs>
        <w:numPr>
          <w:ilvl w:val="0"/>
          <w:numId w:val="52"/>
        </w:numPr>
        <w:rPr>
          <w:rFonts w:ascii="Arial" w:cs="Arial" w:eastAsia="Arial" w:hAnsi="Arial"/>
          <w:sz w:val="16"/>
          <w:szCs w:val="16"/>
          <w:i w:val="1"/>
          <w:iCs w:val="1"/>
          <w:color w:val="auto"/>
        </w:rPr>
      </w:pPr>
      <w:r>
        <w:rPr>
          <w:rFonts w:ascii="Arial" w:cs="Arial" w:eastAsia="Arial" w:hAnsi="Arial"/>
          <w:sz w:val="16"/>
          <w:szCs w:val="16"/>
          <w:i w:val="1"/>
          <w:iCs w:val="1"/>
          <w:color w:val="auto"/>
        </w:rPr>
        <w:t>Relationships with members of our Board</w:t>
      </w:r>
      <w:r>
        <w:rPr>
          <w:rFonts w:ascii="Arial" w:cs="Arial" w:eastAsia="Arial" w:hAnsi="Arial"/>
          <w:sz w:val="16"/>
          <w:szCs w:val="16"/>
          <w:color w:val="auto"/>
        </w:rPr>
        <w:t>. See the risk factor below captioned “</w:t>
      </w:r>
      <w:r>
        <w:rPr>
          <w:rFonts w:ascii="Arial" w:cs="Arial" w:eastAsia="Arial" w:hAnsi="Arial"/>
          <w:sz w:val="16"/>
          <w:szCs w:val="16"/>
          <w:i w:val="1"/>
          <w:iCs w:val="1"/>
          <w:color w:val="auto"/>
        </w:rPr>
        <w:t>Disputes over the Shareholder Agreement are costly and distracting</w:t>
      </w:r>
      <w:r>
        <w:rPr>
          <w:rFonts w:ascii="Arial" w:cs="Arial" w:eastAsia="Arial" w:hAnsi="Arial"/>
          <w:sz w:val="16"/>
          <w:szCs w:val="16"/>
          <w:color w:val="auto"/>
        </w:rPr>
        <w:t>.”</w:t>
      </w:r>
    </w:p>
    <w:p>
      <w:pPr>
        <w:spacing w:after="0" w:line="183" w:lineRule="exact"/>
        <w:rPr>
          <w:sz w:val="20"/>
          <w:szCs w:val="20"/>
          <w:color w:val="auto"/>
        </w:rPr>
      </w:pPr>
    </w:p>
    <w:p>
      <w:pPr>
        <w:ind w:right="40" w:firstLine="440"/>
        <w:spacing w:after="0" w:line="267" w:lineRule="auto"/>
        <w:rPr>
          <w:sz w:val="20"/>
          <w:szCs w:val="20"/>
          <w:color w:val="auto"/>
        </w:rPr>
      </w:pPr>
      <w:r>
        <w:rPr>
          <w:rFonts w:ascii="Arial" w:cs="Arial" w:eastAsia="Arial" w:hAnsi="Arial"/>
          <w:sz w:val="17"/>
          <w:szCs w:val="17"/>
          <w:color w:val="auto"/>
        </w:rPr>
        <w:t>Our interests may not coincide with the interests of Mr. Jia or FF Global in all circumstances. For example, our Board may prioritize business or financial objectives or strategies that Mr. Jia or FF Global disagrees with or that Mr. Jia or FF Global considers not to be in their interest. In such a case, Mr. Jia or FF Global could use their influence over our management, business and operations to advance the interests of Mr. Jia or FF Global notwithstanding any adverse impact on the Company’s interests.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Disputes over the Shareholder Agreement are costly and distracting.</w:t>
      </w:r>
    </w:p>
    <w:p>
      <w:pPr>
        <w:spacing w:after="0" w:line="171" w:lineRule="exact"/>
        <w:rPr>
          <w:sz w:val="20"/>
          <w:szCs w:val="20"/>
          <w:color w:val="auto"/>
        </w:rPr>
      </w:pPr>
    </w:p>
    <w:p>
      <w:pPr>
        <w:ind w:firstLine="445"/>
        <w:spacing w:after="0" w:line="262" w:lineRule="auto"/>
        <w:tabs>
          <w:tab w:leader="none" w:pos="678" w:val="left"/>
        </w:tabs>
        <w:numPr>
          <w:ilvl w:val="0"/>
          <w:numId w:val="53"/>
        </w:numPr>
        <w:rPr>
          <w:rFonts w:ascii="Arial" w:cs="Arial" w:eastAsia="Arial" w:hAnsi="Arial"/>
          <w:sz w:val="17"/>
          <w:szCs w:val="17"/>
          <w:color w:val="auto"/>
        </w:rPr>
      </w:pPr>
      <w:r>
        <w:rPr>
          <w:rFonts w:ascii="Arial" w:cs="Arial" w:eastAsia="Arial" w:hAnsi="Arial"/>
          <w:sz w:val="17"/>
          <w:szCs w:val="17"/>
          <w:color w:val="auto"/>
        </w:rPr>
        <w:t>Global (through its subsidiary FF Top) has asserted a right to remove Brian Krolicki from the Board. On June 22, 2022, Matthias Aydt, a current member of the Board and executive officer of the Company and then a member of the management committee of FF Global, after a discussion with management of FF Global, relayed to Mr. Krolicki that FF Global would pay Mr. Krolicki up to $700,000, offset by the amount of any severance payments made by the Company, if Mr. Krolicki resigned from the Board. This offer was rejected by Mr. Krolicki. The Company is evaluating whether to take additional action in connection with this matter. The Company disagrees that FF Global has the right under the Shareholder Agreement to remove Mr. Krolicki at this time, but has agreed to hold a special stockholder meeting to consider Mr. Krolicki’s removal. On August 8, 2022, the Company filed a preliminary proxy statement with the SEC in connection with such special stockholder meeting.</w:t>
      </w:r>
    </w:p>
    <w:p>
      <w:pPr>
        <w:spacing w:after="0" w:line="130" w:lineRule="exact"/>
        <w:rPr>
          <w:sz w:val="20"/>
          <w:szCs w:val="20"/>
          <w:color w:val="auto"/>
        </w:rPr>
      </w:pPr>
    </w:p>
    <w:p>
      <w:pPr>
        <w:ind w:right="40" w:firstLine="440"/>
        <w:spacing w:after="0" w:line="285" w:lineRule="auto"/>
        <w:rPr>
          <w:sz w:val="20"/>
          <w:szCs w:val="20"/>
          <w:color w:val="auto"/>
        </w:rPr>
      </w:pPr>
      <w:r>
        <w:rPr>
          <w:rFonts w:ascii="Arial" w:cs="Arial" w:eastAsia="Arial" w:hAnsi="Arial"/>
          <w:sz w:val="16"/>
          <w:szCs w:val="16"/>
          <w:color w:val="auto"/>
        </w:rPr>
        <w:t>The Company and FF Global disagree with respect to the interpretation of several provisions of the Shareholder Agreement that relate to Mr. Krolicki’s removal. For example, while FF Global (through FF Top) has stated that it believes the Board is required under the Shareholder Agreement to support the proposal to remove Mr. Krolicki, the Company disagrees and the Board intends not to make any recommendation with respect to such proposal. Disputes over the interpretation of the Shareholder Agreement could result in litigation. Whether or not they result in litigation, these disputes consume substantial amounts of Board and management time, make it difficult to the Board to operate in a constructive and collegial manner and are costly to FF.</w:t>
      </w:r>
    </w:p>
    <w:p>
      <w:pPr>
        <w:spacing w:after="0" w:line="348" w:lineRule="exact"/>
        <w:rPr>
          <w:sz w:val="20"/>
          <w:szCs w:val="20"/>
          <w:color w:val="auto"/>
        </w:rPr>
      </w:pPr>
    </w:p>
    <w:p>
      <w:pPr>
        <w:ind w:right="140" w:firstLine="5"/>
        <w:spacing w:after="0" w:line="297" w:lineRule="auto"/>
        <w:tabs>
          <w:tab w:leader="none" w:pos="277" w:val="left"/>
        </w:tabs>
        <w:numPr>
          <w:ilvl w:val="0"/>
          <w:numId w:val="5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identified material weaknesses in its internal control over financial reporting. If FF is unable to 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FF’s business and share price.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58" w:name="page59"/>
    <w:bookmarkEnd w:id="58"/>
    <w:p>
      <w:pPr>
        <w:ind w:right="160" w:firstLine="440"/>
        <w:spacing w:after="0" w:line="262"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 material weaknesses are as follows:</w:t>
      </w:r>
    </w:p>
    <w:p>
      <w:pPr>
        <w:spacing w:after="0" w:line="28" w:lineRule="exact"/>
        <w:rPr>
          <w:sz w:val="20"/>
          <w:szCs w:val="20"/>
          <w:color w:val="auto"/>
        </w:rPr>
      </w:pPr>
    </w:p>
    <w:p>
      <w:pPr>
        <w:ind w:left="1200" w:right="120" w:hanging="392"/>
        <w:spacing w:after="0" w:line="195" w:lineRule="auto"/>
        <w:tabs>
          <w:tab w:leader="none" w:pos="1200" w:val="left"/>
        </w:tabs>
        <w:numPr>
          <w:ilvl w:val="0"/>
          <w:numId w:val="55"/>
        </w:numPr>
        <w:rPr>
          <w:rFonts w:ascii="Arial" w:cs="Arial" w:eastAsia="Arial" w:hAnsi="Arial"/>
          <w:sz w:val="42"/>
          <w:szCs w:val="42"/>
          <w:i w:val="1"/>
          <w:iCs w:val="1"/>
          <w:color w:val="auto"/>
          <w:vertAlign w:val="subscript"/>
        </w:rPr>
      </w:pPr>
      <w:r>
        <w:rPr>
          <w:rFonts w:ascii="Arial" w:cs="Arial" w:eastAsia="Arial" w:hAnsi="Arial"/>
          <w:sz w:val="17"/>
          <w:szCs w:val="17"/>
          <w:color w:val="auto"/>
        </w:rPr>
        <w:t>FF did not design and maintain an effective control environment commensurate with its financial reporting requirements. Specifically, FF lacked a sufficient number of professionals with an appropriate level of accounting knowledge, training and experience to appropriately analyze, record and disclose accounting matters timely and accurately. Additionally, management did not establish formal reporting lines in pursuit of its objectives. Further, the lack of a sufficient number of professionals resulted in an inability to consistently establish appropriate authorities and responsibilities in pursuit of its financial reporting objectives, as demonstrated by, among other things, insufficient segregation of duties in its finance and accounting functions.</w:t>
      </w:r>
    </w:p>
    <w:p>
      <w:pPr>
        <w:spacing w:after="0" w:line="149" w:lineRule="exact"/>
        <w:rPr>
          <w:rFonts w:ascii="Arial" w:cs="Arial" w:eastAsia="Arial" w:hAnsi="Arial"/>
          <w:sz w:val="42"/>
          <w:szCs w:val="42"/>
          <w:i w:val="1"/>
          <w:iCs w:val="1"/>
          <w:color w:val="auto"/>
          <w:vertAlign w:val="subscript"/>
        </w:rPr>
      </w:pPr>
    </w:p>
    <w:p>
      <w:pPr>
        <w:jc w:val="both"/>
        <w:ind w:left="1200" w:right="40" w:hanging="392"/>
        <w:spacing w:after="0" w:line="183" w:lineRule="auto"/>
        <w:tabs>
          <w:tab w:leader="none" w:pos="1200" w:val="left"/>
        </w:tabs>
        <w:numPr>
          <w:ilvl w:val="0"/>
          <w:numId w:val="55"/>
        </w:numPr>
        <w:rPr>
          <w:rFonts w:ascii="Arial" w:cs="Arial" w:eastAsia="Arial" w:hAnsi="Arial"/>
          <w:sz w:val="38"/>
          <w:szCs w:val="38"/>
          <w:color w:val="auto"/>
          <w:vertAlign w:val="subscript"/>
        </w:rPr>
      </w:pPr>
      <w:r>
        <w:rPr>
          <w:rFonts w:ascii="Arial" w:cs="Arial" w:eastAsia="Arial" w:hAnsi="Arial"/>
          <w:sz w:val="16"/>
          <w:szCs w:val="16"/>
          <w:color w:val="auto"/>
        </w:rPr>
        <w:t>FF did not design and maintain effective controls in response to the risks of material misstatement. Specifically, changes to existing controls or the implementation of new controls were not sufficient to respond to changes to the risks of material misstatement to financial reporting, due to growth in the business.</w:t>
      </w:r>
    </w:p>
    <w:p>
      <w:pPr>
        <w:spacing w:after="0" w:line="145" w:lineRule="exact"/>
        <w:rPr>
          <w:rFonts w:ascii="Arial" w:cs="Arial" w:eastAsia="Arial" w:hAnsi="Arial"/>
          <w:sz w:val="38"/>
          <w:szCs w:val="38"/>
          <w:color w:val="auto"/>
          <w:vertAlign w:val="subscript"/>
        </w:rPr>
      </w:pPr>
    </w:p>
    <w:p>
      <w:pPr>
        <w:ind w:left="1200" w:right="320" w:hanging="392"/>
        <w:spacing w:after="0" w:line="182" w:lineRule="auto"/>
        <w:tabs>
          <w:tab w:leader="none" w:pos="1200" w:val="left"/>
        </w:tabs>
        <w:numPr>
          <w:ilvl w:val="0"/>
          <w:numId w:val="55"/>
        </w:numPr>
        <w:rPr>
          <w:rFonts w:ascii="Arial" w:cs="Arial" w:eastAsia="Arial" w:hAnsi="Arial"/>
          <w:sz w:val="42"/>
          <w:szCs w:val="42"/>
          <w:i w:val="1"/>
          <w:iCs w:val="1"/>
          <w:color w:val="auto"/>
          <w:vertAlign w:val="subscript"/>
        </w:rPr>
      </w:pPr>
      <w:r>
        <w:rPr>
          <w:rFonts w:ascii="Arial" w:cs="Arial" w:eastAsia="Arial" w:hAnsi="Arial"/>
          <w:sz w:val="17"/>
          <w:szCs w:val="17"/>
          <w:color w:val="auto"/>
        </w:rPr>
        <w:t>FF did not design and maintain effective controls for communicating and sharing information between the legal, capital markets, and accounting and finance departments. Specifically, the accounting and finance departments were not consistently provided the complete and adequate support, documentation, and information including the nature of relationships with certain counterparties to record transactions within the financial statements timely, completely and accurately.</w:t>
      </w:r>
    </w:p>
    <w:p>
      <w:pPr>
        <w:spacing w:after="0" w:line="34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These material weaknesses contributed to the following additional material weaknesses:</w:t>
      </w:r>
    </w:p>
    <w:p>
      <w:pPr>
        <w:spacing w:after="0" w:line="53" w:lineRule="exact"/>
        <w:rPr>
          <w:sz w:val="20"/>
          <w:szCs w:val="20"/>
          <w:color w:val="auto"/>
        </w:rPr>
      </w:pPr>
    </w:p>
    <w:p>
      <w:pPr>
        <w:ind w:left="1200" w:right="180" w:hanging="392"/>
        <w:spacing w:after="0" w:line="193" w:lineRule="auto"/>
        <w:tabs>
          <w:tab w:leader="none" w:pos="1200" w:val="left"/>
        </w:tabs>
        <w:numPr>
          <w:ilvl w:val="0"/>
          <w:numId w:val="56"/>
        </w:numPr>
        <w:rPr>
          <w:rFonts w:ascii="Arial" w:cs="Arial" w:eastAsia="Arial" w:hAnsi="Arial"/>
          <w:sz w:val="38"/>
          <w:szCs w:val="38"/>
          <w:i w:val="1"/>
          <w:iCs w:val="1"/>
          <w:color w:val="auto"/>
          <w:vertAlign w:val="subscript"/>
        </w:rPr>
      </w:pPr>
      <w:r>
        <w:rPr>
          <w:rFonts w:ascii="Arial" w:cs="Arial" w:eastAsia="Arial" w:hAnsi="Arial"/>
          <w:sz w:val="16"/>
          <w:szCs w:val="16"/>
          <w:color w:val="auto"/>
        </w:rPr>
        <w:t>FF did not design and maintain effective controls to address the identification of and accounting for certain non-routine, unusual or complex transactions, including the proper application of U.S. GAAP to such transactions. Specifically, FF did not design and maintain controls to timely identify and account for embedded derivatives related to convertible notes, impute interest on related party notes payable with interest rates below market rates, account for failed sale leaseback transactions, and account for warrant instruments.</w:t>
      </w:r>
    </w:p>
    <w:p>
      <w:pPr>
        <w:spacing w:after="0" w:line="147" w:lineRule="exact"/>
        <w:rPr>
          <w:rFonts w:ascii="Arial" w:cs="Arial" w:eastAsia="Arial" w:hAnsi="Arial"/>
          <w:sz w:val="38"/>
          <w:szCs w:val="38"/>
          <w:i w:val="1"/>
          <w:iCs w:val="1"/>
          <w:color w:val="auto"/>
          <w:vertAlign w:val="subscript"/>
        </w:rPr>
      </w:pPr>
    </w:p>
    <w:p>
      <w:pPr>
        <w:ind w:left="1200" w:right="160" w:hanging="392"/>
        <w:spacing w:after="0" w:line="217" w:lineRule="auto"/>
        <w:tabs>
          <w:tab w:leader="none" w:pos="1200" w:val="left"/>
        </w:tabs>
        <w:numPr>
          <w:ilvl w:val="0"/>
          <w:numId w:val="56"/>
        </w:numPr>
        <w:rPr>
          <w:rFonts w:ascii="Arial" w:cs="Arial" w:eastAsia="Arial" w:hAnsi="Arial"/>
          <w:sz w:val="33"/>
          <w:szCs w:val="33"/>
          <w:i w:val="1"/>
          <w:iCs w:val="1"/>
          <w:color w:val="auto"/>
          <w:vertAlign w:val="subscript"/>
        </w:rPr>
      </w:pPr>
      <w:r>
        <w:rPr>
          <w:rFonts w:ascii="Arial" w:cs="Arial" w:eastAsia="Arial" w:hAnsi="Arial"/>
          <w:sz w:val="15"/>
          <w:szCs w:val="15"/>
          <w:color w:val="auto"/>
        </w:rPr>
        <w:t>FF did not design and maintain formal accounting policies, procedures and controls to achieve complete, accurate and timely financial accounting, reporting and disclosures, including controls over the period-end financial reporting process addressing areas including financial statement and footnote presentation and disclosures, account reconciliations and journal entries, including segregation of duties, assessing the reliability of reports and spreadsheets used in controls, and the timely identification and accounting for cut-off of expenditures.</w:t>
      </w:r>
    </w:p>
    <w:p>
      <w:pPr>
        <w:spacing w:after="0" w:line="263" w:lineRule="exact"/>
        <w:rPr>
          <w:sz w:val="20"/>
          <w:szCs w:val="20"/>
          <w:color w:val="auto"/>
        </w:rPr>
      </w:pPr>
    </w:p>
    <w:p>
      <w:pPr>
        <w:ind w:firstLine="440"/>
        <w:spacing w:after="0" w:line="274" w:lineRule="auto"/>
        <w:rPr>
          <w:sz w:val="20"/>
          <w:szCs w:val="20"/>
          <w:color w:val="auto"/>
        </w:rPr>
      </w:pPr>
      <w:r>
        <w:rPr>
          <w:rFonts w:ascii="Arial" w:cs="Arial" w:eastAsia="Arial" w:hAnsi="Arial"/>
          <w:sz w:val="16"/>
          <w:szCs w:val="16"/>
          <w:color w:val="auto"/>
        </w:rPr>
        <w:t>These material weaknesses resulted in adjustments primarily related to expense cut-off and the associated accounts including operating expenses, accounts payable and accruals, property and equipment, convertible notes payable and interest expense and related financial disclosures, which were recorded as of and for the year ended December 31, 2019. These material weaknesses also resulted in adjustments primarily related to the extinguishment of a noncontrolling interest, accounts payable, vendor payables in trust and adjustments to the statement of cash flows which were recorded as of and for the year ended December 31, 2019 as well as disclosure errors related to the anti-dilutive shares excluded from the calculation of diluted net loss per share, deferred tax assets and related valuation allowance, accrued interest for certain notes payable, and the fair value of the Vendor Trust as of December 31, 2019. Refer to Note 3 to FF’s Consolidated Financial Statements for the year ended December 31, 2020, included in its Registration Statement on Form S-4 (File Number 333-255027), initially filed with the SEC on April 5, 2021 (as amended, the “Registration Statement”). Additionally, the material weakness related to accounting for warrant instruments resulted in the restatement of the previously issued financial statements as disclosed in Note 2 to PSAC’s Consolidated Financial Statements for the year ended December 31, 2020 within PSAC’s Annual Report on Form 10-K/A, of the entity acquired as part of the July 21, 2021 merger agreement related to warrant liabilities and equity.</w:t>
      </w:r>
    </w:p>
    <w:p>
      <w:pPr>
        <w:spacing w:after="0" w:line="191" w:lineRule="exact"/>
        <w:rPr>
          <w:sz w:val="20"/>
          <w:szCs w:val="20"/>
          <w:color w:val="auto"/>
        </w:rPr>
      </w:pPr>
    </w:p>
    <w:p>
      <w:pPr>
        <w:ind w:left="1200" w:right="40" w:hanging="392"/>
        <w:spacing w:after="0" w:line="205" w:lineRule="auto"/>
        <w:tabs>
          <w:tab w:leader="none" w:pos="1200" w:val="left"/>
        </w:tabs>
        <w:numPr>
          <w:ilvl w:val="0"/>
          <w:numId w:val="57"/>
        </w:numPr>
        <w:rPr>
          <w:rFonts w:ascii="Arial" w:cs="Arial" w:eastAsia="Arial" w:hAnsi="Arial"/>
          <w:sz w:val="42"/>
          <w:szCs w:val="42"/>
          <w:i w:val="1"/>
          <w:iCs w:val="1"/>
          <w:color w:val="auto"/>
          <w:vertAlign w:val="subscript"/>
        </w:rPr>
      </w:pPr>
      <w:r>
        <w:rPr>
          <w:rFonts w:ascii="Arial" w:cs="Arial" w:eastAsia="Arial" w:hAnsi="Arial"/>
          <w:sz w:val="17"/>
          <w:szCs w:val="17"/>
          <w:color w:val="auto"/>
        </w:rPr>
        <w:t>FF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and (iii) computer operations controls to ensure that critical batch jobs are monitored and data backups are authorized and monitored. These IT deficiencies did not result in a material misstatement to the consolidated financial statements, however, the deficiencies, when aggregated, could result in material misstatements potentially impacting all financial statement accounts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9" w:name="page60"/>
    <w:bookmarkEnd w:id="59"/>
    <w:p>
      <w:pPr>
        <w:ind w:right="40" w:firstLine="440"/>
        <w:spacing w:after="0" w:line="275" w:lineRule="auto"/>
        <w:rPr>
          <w:sz w:val="20"/>
          <w:szCs w:val="20"/>
          <w:color w:val="auto"/>
        </w:rPr>
      </w:pPr>
      <w:r>
        <w:rPr>
          <w:rFonts w:ascii="Arial" w:cs="Arial" w:eastAsia="Arial" w:hAnsi="Arial"/>
          <w:sz w:val="16"/>
          <w:szCs w:val="16"/>
          <w:color w:val="auto"/>
        </w:rPr>
        <w:t>In connection with the Special Committee investigation, and the completion of additional investigative and remedial work based on Special Committee findings, which were performed under the direction of the newly-appointed Executive Chairperson, reporting to the Audit Committee, additional material weaknesses were identified in FF’s internal control over financial reporting (as disclosed in Note 3 to FF’s consolidated financial statements for the years ended December 31, 2021 and 2020 included in the Form 10-K). Specifically, in addition to the material weaknesses described above relating to management not establishing formal reporting lines in pursuit of its objectives as well as maintaining effective controls for communicating and sharing information between the legal, capital markets, and accounting and finance departments, the following material weaknesses were identified:</w:t>
      </w:r>
    </w:p>
    <w:p>
      <w:pPr>
        <w:spacing w:after="0" w:line="189" w:lineRule="exact"/>
        <w:rPr>
          <w:sz w:val="20"/>
          <w:szCs w:val="20"/>
          <w:color w:val="auto"/>
        </w:rPr>
      </w:pPr>
    </w:p>
    <w:p>
      <w:pPr>
        <w:ind w:left="1200" w:right="20" w:hanging="392"/>
        <w:spacing w:after="0" w:line="181" w:lineRule="auto"/>
        <w:tabs>
          <w:tab w:leader="none" w:pos="1200" w:val="left"/>
        </w:tabs>
        <w:numPr>
          <w:ilvl w:val="0"/>
          <w:numId w:val="58"/>
        </w:numPr>
        <w:rPr>
          <w:rFonts w:ascii="Arial" w:cs="Arial" w:eastAsia="Arial" w:hAnsi="Arial"/>
          <w:sz w:val="41"/>
          <w:szCs w:val="41"/>
          <w:color w:val="auto"/>
          <w:vertAlign w:val="subscript"/>
        </w:rPr>
      </w:pPr>
      <w:r>
        <w:rPr>
          <w:rFonts w:ascii="Arial" w:cs="Arial" w:eastAsia="Arial" w:hAnsi="Arial"/>
          <w:sz w:val="17"/>
          <w:szCs w:val="17"/>
          <w:color w:val="auto"/>
        </w:rPr>
        <w:t>FF did not maintain an effective control environment or demonstrate a commitment to maintain integrity and ethical values. Specifically, certain members of senior management failed to reinforce the need for an attitude of compliance and internal control awareness with certain of FF’s governance, accounting and finance policies and procedures. This resulted in the inaccurate and incomplete disclosures of certain relationships, arrangements, and transactions.</w:t>
      </w:r>
    </w:p>
    <w:p>
      <w:pPr>
        <w:spacing w:after="0" w:line="2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material weakness contributed to the following additional material weakness:</w:t>
      </w:r>
    </w:p>
    <w:p>
      <w:pPr>
        <w:spacing w:after="0" w:line="211" w:lineRule="exact"/>
        <w:rPr>
          <w:sz w:val="20"/>
          <w:szCs w:val="20"/>
          <w:color w:val="auto"/>
        </w:rPr>
      </w:pPr>
    </w:p>
    <w:p>
      <w:pPr>
        <w:ind w:left="1200" w:right="360" w:hanging="392"/>
        <w:spacing w:after="0" w:line="181" w:lineRule="auto"/>
        <w:tabs>
          <w:tab w:leader="none" w:pos="1200" w:val="left"/>
        </w:tabs>
        <w:numPr>
          <w:ilvl w:val="0"/>
          <w:numId w:val="59"/>
        </w:numPr>
        <w:rPr>
          <w:rFonts w:ascii="Arial" w:cs="Arial" w:eastAsia="Arial" w:hAnsi="Arial"/>
          <w:sz w:val="33"/>
          <w:szCs w:val="33"/>
          <w:color w:val="auto"/>
          <w:vertAlign w:val="subscript"/>
        </w:rPr>
      </w:pPr>
      <w:r>
        <w:rPr>
          <w:rFonts w:ascii="Arial" w:cs="Arial" w:eastAsia="Arial" w:hAnsi="Arial"/>
          <w:sz w:val="15"/>
          <w:szCs w:val="15"/>
          <w:color w:val="auto"/>
        </w:rPr>
        <w:t>FF did not design and maintain effective controls related to the identification and disclosure of certain arrangements and transactions with related parties.</w:t>
      </w:r>
    </w:p>
    <w:p>
      <w:pPr>
        <w:spacing w:after="0" w:line="265" w:lineRule="exact"/>
        <w:rPr>
          <w:sz w:val="20"/>
          <w:szCs w:val="20"/>
          <w:color w:val="auto"/>
        </w:rPr>
      </w:pPr>
    </w:p>
    <w:p>
      <w:pPr>
        <w:ind w:firstLine="440"/>
        <w:spacing w:after="0" w:line="263" w:lineRule="auto"/>
        <w:rPr>
          <w:sz w:val="20"/>
          <w:szCs w:val="20"/>
          <w:color w:val="auto"/>
        </w:rPr>
      </w:pPr>
      <w:r>
        <w:rPr>
          <w:rFonts w:ascii="Arial" w:cs="Arial" w:eastAsia="Arial" w:hAnsi="Arial"/>
          <w:sz w:val="17"/>
          <w:szCs w:val="17"/>
          <w:color w:val="auto"/>
        </w:rPr>
        <w:t xml:space="preserve">The material weaknesses identified in connection with the Special Committee investigation resulted in the revision of our previously filed financial statements as of and for the period ended December 31, 2020 (as disclosed in Note 9 to FF’s Annual Report on Form 10-K for the fiscal year ended December 31, 2021) and for the periods ended March 31, 2021 (as disclosed in Note 1 to FF’s Quarterly Report on Form 10-Q for the quarterly period ended on March 31, 2022) and June 30, 2021 related to notes payable, related party notes payable, accrued interest, related party accrued interest, interest expense, and related party interest expense as disclosed in Note 1, </w:t>
      </w:r>
      <w:r>
        <w:rPr>
          <w:rFonts w:ascii="Arial" w:cs="Arial" w:eastAsia="Arial" w:hAnsi="Arial"/>
          <w:sz w:val="17"/>
          <w:szCs w:val="17"/>
          <w:i w:val="1"/>
          <w:iCs w:val="1"/>
          <w:color w:val="auto"/>
        </w:rPr>
        <w:t>Nature of Business and Organization and Basis of Presentation</w:t>
      </w:r>
      <w:r>
        <w:rPr>
          <w:rFonts w:ascii="Arial" w:cs="Arial" w:eastAsia="Arial" w:hAnsi="Arial"/>
          <w:sz w:val="17"/>
          <w:szCs w:val="17"/>
          <w:color w:val="auto"/>
        </w:rPr>
        <w:t xml:space="preserve"> within the Condensed Consolidated Financial Statements in this Quarterly Report on Form 10-Q.</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Additionally, each of the material weaknesses described above could result in a material misstatement to substantially all of our accounts or disclosures.</w:t>
      </w:r>
    </w:p>
    <w:p>
      <w:pPr>
        <w:spacing w:after="0" w:line="183" w:lineRule="exact"/>
        <w:rPr>
          <w:sz w:val="20"/>
          <w:szCs w:val="20"/>
          <w:color w:val="auto"/>
        </w:rPr>
      </w:pPr>
    </w:p>
    <w:p>
      <w:pPr>
        <w:ind w:right="780" w:firstLine="440"/>
        <w:spacing w:after="0" w:line="322" w:lineRule="auto"/>
        <w:rPr>
          <w:sz w:val="20"/>
          <w:szCs w:val="20"/>
          <w:color w:val="auto"/>
        </w:rPr>
      </w:pPr>
      <w:r>
        <w:rPr>
          <w:rFonts w:ascii="Arial" w:cs="Arial" w:eastAsia="Arial" w:hAnsi="Arial"/>
          <w:sz w:val="16"/>
          <w:szCs w:val="16"/>
          <w:color w:val="auto"/>
        </w:rPr>
        <w:t>Management is actively engaged and committed to taking the steps necessary to remediate the control deficiencies that constituted the material weaknesses. During 2021 and the first half of 2022, FF made the following enhancements to our internal control over financial reporting:</w:t>
      </w:r>
    </w:p>
    <w:p>
      <w:pPr>
        <w:spacing w:after="0" w:line="318" w:lineRule="exact"/>
        <w:rPr>
          <w:sz w:val="20"/>
          <w:szCs w:val="20"/>
          <w:color w:val="auto"/>
        </w:rPr>
      </w:pPr>
    </w:p>
    <w:p>
      <w:pPr>
        <w:ind w:left="640" w:right="100" w:hanging="321"/>
        <w:spacing w:after="0" w:line="264" w:lineRule="auto"/>
        <w:tabs>
          <w:tab w:leader="none" w:pos="635" w:val="left"/>
        </w:tabs>
        <w:numPr>
          <w:ilvl w:val="0"/>
          <w:numId w:val="60"/>
        </w:numPr>
        <w:rPr>
          <w:rFonts w:ascii="Arial" w:cs="Arial" w:eastAsia="Arial" w:hAnsi="Arial"/>
          <w:sz w:val="17"/>
          <w:szCs w:val="17"/>
          <w:color w:val="auto"/>
        </w:rPr>
      </w:pPr>
      <w:r>
        <w:rPr>
          <w:rFonts w:ascii="Arial" w:cs="Arial" w:eastAsia="Arial" w:hAnsi="Arial"/>
          <w:sz w:val="17"/>
          <w:szCs w:val="17"/>
          <w:color w:val="auto"/>
        </w:rPr>
        <w:t>FF added finance and accounting personnel to the organization to strengthen our finance and accounting teams. The additional personnel are expected to provide oversight, structure, reporting lines, and additional review over our disclosures;</w:t>
      </w:r>
    </w:p>
    <w:p>
      <w:pPr>
        <w:spacing w:after="0" w:line="1" w:lineRule="exact"/>
        <w:rPr>
          <w:rFonts w:ascii="Arial" w:cs="Arial" w:eastAsia="Arial" w:hAnsi="Arial"/>
          <w:sz w:val="17"/>
          <w:szCs w:val="17"/>
          <w:color w:val="auto"/>
        </w:rPr>
      </w:pPr>
    </w:p>
    <w:p>
      <w:pPr>
        <w:ind w:left="640" w:right="200" w:hanging="321"/>
        <w:spacing w:after="0" w:line="291" w:lineRule="auto"/>
        <w:tabs>
          <w:tab w:leader="none" w:pos="635" w:val="left"/>
        </w:tabs>
        <w:numPr>
          <w:ilvl w:val="0"/>
          <w:numId w:val="60"/>
        </w:numPr>
        <w:rPr>
          <w:rFonts w:ascii="Arial" w:cs="Arial" w:eastAsia="Arial" w:hAnsi="Arial"/>
          <w:sz w:val="15"/>
          <w:szCs w:val="15"/>
          <w:color w:val="auto"/>
        </w:rPr>
      </w:pPr>
      <w:r>
        <w:rPr>
          <w:rFonts w:ascii="Arial" w:cs="Arial" w:eastAsia="Arial" w:hAnsi="Arial"/>
          <w:sz w:val="15"/>
          <w:szCs w:val="15"/>
          <w:color w:val="auto"/>
        </w:rPr>
        <w:t>FF implemented certain new accounting policies and procedures, and an IT system relevant to the preparation of our financial statements to improve communication of key areas across the different departments at FF and to provide adequate structure, accountability, and segregation of duties;</w:t>
      </w:r>
    </w:p>
    <w:p>
      <w:pPr>
        <w:ind w:left="640" w:right="120" w:hanging="321"/>
        <w:spacing w:after="0" w:line="273" w:lineRule="auto"/>
        <w:tabs>
          <w:tab w:leader="none" w:pos="6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FF appointed Becky Roof as Interim Chief Financial Officer (CFO) and engaged an affiliate of AlixPartners LLP to accelerate implementation of Special Committee recommendations including, but not limited to remediation of the material weaknesses in internal control over financial reporting;</w:t>
      </w:r>
    </w:p>
    <w:p>
      <w:pPr>
        <w:ind w:left="620" w:hanging="301"/>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FF implemented enhanced controls around FF’s related party transactions, including regular attestations;</w:t>
      </w:r>
    </w:p>
    <w:p>
      <w:pPr>
        <w:spacing w:after="0" w:line="14" w:lineRule="exact"/>
        <w:rPr>
          <w:rFonts w:ascii="Arial" w:cs="Arial" w:eastAsia="Arial" w:hAnsi="Arial"/>
          <w:sz w:val="17"/>
          <w:szCs w:val="17"/>
          <w:color w:val="auto"/>
        </w:rPr>
      </w:pPr>
    </w:p>
    <w:p>
      <w:pPr>
        <w:ind w:left="640" w:right="60" w:hanging="321"/>
        <w:spacing w:after="0" w:line="257" w:lineRule="auto"/>
        <w:tabs>
          <w:tab w:leader="none" w:pos="635" w:val="left"/>
        </w:tabs>
        <w:numPr>
          <w:ilvl w:val="0"/>
          <w:numId w:val="60"/>
        </w:numPr>
        <w:rPr>
          <w:rFonts w:ascii="Arial" w:cs="Arial" w:eastAsia="Arial" w:hAnsi="Arial"/>
          <w:sz w:val="17"/>
          <w:szCs w:val="17"/>
          <w:color w:val="auto"/>
        </w:rPr>
      </w:pPr>
      <w:r>
        <w:rPr>
          <w:rFonts w:ascii="Arial" w:cs="Arial" w:eastAsia="Arial" w:hAnsi="Arial"/>
          <w:sz w:val="17"/>
          <w:szCs w:val="17"/>
          <w:color w:val="auto"/>
        </w:rPr>
        <w:t>FF removed YT Jia, FF’s founder, as an Executive Officer, although he will continue in his position as Chief Product &amp; User Ecosystem Officer of the Company, reporting to the Executive Chairperson with his role limited to focusing on (a) Product and Mobility Ecosystem and (b) Internet, Artificial Intelligence, and advanced R&amp;D technology;</w:t>
      </w:r>
    </w:p>
    <w:p>
      <w:pPr>
        <w:ind w:left="640" w:right="520" w:hanging="321"/>
        <w:spacing w:after="0" w:line="257" w:lineRule="auto"/>
        <w:tabs>
          <w:tab w:leader="none" w:pos="635" w:val="left"/>
        </w:tabs>
        <w:numPr>
          <w:ilvl w:val="0"/>
          <w:numId w:val="60"/>
        </w:numPr>
        <w:rPr>
          <w:rFonts w:ascii="Arial" w:cs="Arial" w:eastAsia="Arial" w:hAnsi="Arial"/>
          <w:sz w:val="17"/>
          <w:szCs w:val="17"/>
          <w:color w:val="auto"/>
        </w:rPr>
      </w:pPr>
      <w:r>
        <w:rPr>
          <w:rFonts w:ascii="Arial" w:cs="Arial" w:eastAsia="Arial" w:hAnsi="Arial"/>
          <w:sz w:val="17"/>
          <w:szCs w:val="17"/>
          <w:color w:val="auto"/>
        </w:rPr>
        <w:t>Functions previously dual-reporting to Mr. Jia and Mr. Breitfeld will report only to Ms. Swenson (but Mr. Jia may remain involved in long-term strategy); and</w:t>
      </w:r>
    </w:p>
    <w:p>
      <w:pPr>
        <w:ind w:left="620" w:hanging="301"/>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FF adopted an Insider Investment Reporting Policy.</w:t>
      </w:r>
    </w:p>
    <w:p>
      <w:pPr>
        <w:spacing w:after="0" w:line="238" w:lineRule="exact"/>
        <w:rPr>
          <w:sz w:val="20"/>
          <w:szCs w:val="20"/>
          <w:color w:val="auto"/>
        </w:rPr>
      </w:pPr>
    </w:p>
    <w:p>
      <w:pPr>
        <w:ind w:right="220" w:firstLine="440"/>
        <w:spacing w:after="0" w:line="289" w:lineRule="auto"/>
        <w:rPr>
          <w:sz w:val="20"/>
          <w:szCs w:val="20"/>
          <w:color w:val="auto"/>
        </w:rPr>
      </w:pPr>
      <w:r>
        <w:rPr>
          <w:rFonts w:ascii="Arial" w:cs="Arial" w:eastAsia="Arial" w:hAnsi="Arial"/>
          <w:sz w:val="17"/>
          <w:szCs w:val="17"/>
          <w:color w:val="auto"/>
        </w:rPr>
        <w:t>Our remediation activities are continuing during 2022. In addition to the above actions, FF expects to engage in additional activities, including, but not limited to:</w:t>
      </w:r>
    </w:p>
    <w:p>
      <w:pPr>
        <w:spacing w:after="0" w:line="184" w:lineRule="exact"/>
        <w:rPr>
          <w:sz w:val="20"/>
          <w:szCs w:val="20"/>
          <w:color w:val="auto"/>
        </w:rPr>
      </w:pPr>
    </w:p>
    <w:p>
      <w:pPr>
        <w:ind w:left="640" w:right="540" w:hanging="321"/>
        <w:spacing w:after="0" w:line="289" w:lineRule="auto"/>
        <w:tabs>
          <w:tab w:leader="none" w:pos="635"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Continuing to hire key finance and accounting personnel as FF scales and until FF has sufficient technical accounting resources, combined with engaging external consultants to provide support and to assist us in our evaluation of more</w:t>
      </w: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4" w:right="379" w:bottom="1440" w:gutter="0" w:footer="0" w:header="0"/>
        </w:sectPr>
      </w:pPr>
    </w:p>
    <w:bookmarkStart w:id="60" w:name="page61"/>
    <w:bookmarkEnd w:id="60"/>
    <w:p>
      <w:pPr>
        <w:ind w:left="640"/>
        <w:spacing w:after="0"/>
        <w:rPr>
          <w:sz w:val="20"/>
          <w:szCs w:val="20"/>
          <w:color w:val="auto"/>
        </w:rPr>
      </w:pPr>
      <w:r>
        <w:rPr>
          <w:rFonts w:ascii="Arial" w:cs="Arial" w:eastAsia="Arial" w:hAnsi="Arial"/>
          <w:sz w:val="17"/>
          <w:szCs w:val="17"/>
          <w:color w:val="auto"/>
        </w:rPr>
        <w:t>complex applications of U.S. GAAP and to assist us with documenting and assessing our accounting policies and procedures;</w:t>
      </w:r>
    </w:p>
    <w:p>
      <w:pPr>
        <w:spacing w:after="0" w:line="26" w:lineRule="exact"/>
        <w:rPr>
          <w:sz w:val="20"/>
          <w:szCs w:val="20"/>
          <w:color w:val="auto"/>
        </w:rPr>
      </w:pPr>
    </w:p>
    <w:p>
      <w:pPr>
        <w:ind w:left="640" w:right="100" w:hanging="321"/>
        <w:spacing w:after="0" w:line="257" w:lineRule="auto"/>
        <w:tabs>
          <w:tab w:leader="none" w:pos="635"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Designing and implementing controls in response to the risks of material misstatement to identify and evaluate changes in our business and the impact on our internal controls;</w:t>
      </w:r>
    </w:p>
    <w:p>
      <w:pPr>
        <w:ind w:left="640" w:right="740" w:hanging="321"/>
        <w:spacing w:after="0" w:line="257" w:lineRule="auto"/>
        <w:tabs>
          <w:tab w:leader="none" w:pos="635"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Designing and implementing controls for communicating and sharing information between legal, capital markets, and accounting to facilitate transactions being recorded timely and accurately;</w:t>
      </w:r>
    </w:p>
    <w:p>
      <w:pPr>
        <w:ind w:left="640" w:right="240" w:hanging="321"/>
        <w:spacing w:after="0" w:line="257" w:lineRule="auto"/>
        <w:tabs>
          <w:tab w:leader="none" w:pos="635"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Designing and implementing formal processes, accounting policies, procedures, and controls supporting certain business processes and our financial close process, including creating standard balance sheet reconciliation templates and journal entry controls assessing the reliability of reports and spreadsheets used in controls; and the timely identification and accounting for cut-off of expenditures;</w:t>
      </w:r>
    </w:p>
    <w:p>
      <w:pPr>
        <w:ind w:left="620" w:hanging="301"/>
        <w:spacing w:after="0"/>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Designing and implementing controls to address the identification of and accounting for certain non-routine, unusual or complex transactions;</w:t>
      </w:r>
    </w:p>
    <w:p>
      <w:pPr>
        <w:spacing w:after="0" w:line="14" w:lineRule="exact"/>
        <w:rPr>
          <w:rFonts w:ascii="Arial" w:cs="Arial" w:eastAsia="Arial" w:hAnsi="Arial"/>
          <w:sz w:val="17"/>
          <w:szCs w:val="17"/>
          <w:color w:val="auto"/>
        </w:rPr>
      </w:pPr>
    </w:p>
    <w:p>
      <w:pPr>
        <w:ind w:left="620" w:hanging="301"/>
        <w:spacing w:after="0"/>
        <w:tabs>
          <w:tab w:leader="none" w:pos="6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Designing and implementing controls related to the identification and disclosure of certain arrangements and transactions with related parties;</w:t>
      </w:r>
    </w:p>
    <w:p>
      <w:pPr>
        <w:spacing w:after="0" w:line="25" w:lineRule="exact"/>
        <w:rPr>
          <w:rFonts w:ascii="Arial" w:cs="Arial" w:eastAsia="Arial" w:hAnsi="Arial"/>
          <w:sz w:val="16"/>
          <w:szCs w:val="16"/>
          <w:color w:val="auto"/>
        </w:rPr>
      </w:pPr>
    </w:p>
    <w:p>
      <w:pPr>
        <w:ind w:left="640" w:right="120" w:hanging="321"/>
        <w:spacing w:after="0" w:line="291" w:lineRule="auto"/>
        <w:tabs>
          <w:tab w:leader="none" w:pos="635" w:val="left"/>
        </w:tabs>
        <w:numPr>
          <w:ilvl w:val="0"/>
          <w:numId w:val="62"/>
        </w:numPr>
        <w:rPr>
          <w:rFonts w:ascii="Arial" w:cs="Arial" w:eastAsia="Arial" w:hAnsi="Arial"/>
          <w:sz w:val="15"/>
          <w:szCs w:val="15"/>
          <w:color w:val="auto"/>
        </w:rPr>
      </w:pPr>
      <w:r>
        <w:rPr>
          <w:rFonts w:ascii="Arial" w:cs="Arial" w:eastAsia="Arial" w:hAnsi="Arial"/>
          <w:sz w:val="15"/>
          <w:szCs w:val="15"/>
          <w:color w:val="auto"/>
        </w:rPr>
        <w:t>Continuing to implement additional IT systems relevant to the preparation of our financial statements and controls over financial reporting to improve communication of key areas across the different departments at FF and to provide adequate structure, accountability, and segregation of duties; and</w:t>
      </w:r>
    </w:p>
    <w:p>
      <w:pPr>
        <w:ind w:left="640" w:right="500" w:hanging="321"/>
        <w:spacing w:after="0" w:line="274" w:lineRule="auto"/>
        <w:tabs>
          <w:tab w:leader="none" w:pos="635" w:val="left"/>
        </w:tabs>
        <w:numPr>
          <w:ilvl w:val="0"/>
          <w:numId w:val="62"/>
        </w:numPr>
        <w:rPr>
          <w:rFonts w:ascii="Arial" w:cs="Arial" w:eastAsia="Arial" w:hAnsi="Arial"/>
          <w:sz w:val="17"/>
          <w:szCs w:val="17"/>
          <w:color w:val="auto"/>
        </w:rPr>
      </w:pPr>
      <w:r>
        <w:rPr>
          <w:rFonts w:ascii="Arial" w:cs="Arial" w:eastAsia="Arial" w:hAnsi="Arial"/>
          <w:sz w:val="17"/>
          <w:szCs w:val="17"/>
          <w:color w:val="auto"/>
        </w:rPr>
        <w:t>Designing and implementing IT general controls, including controls over change management, the review and update of user access controls and controls over critical batch jobs and data backups.</w:t>
      </w:r>
    </w:p>
    <w:p>
      <w:pPr>
        <w:spacing w:after="0" w:line="197" w:lineRule="exact"/>
        <w:rPr>
          <w:sz w:val="20"/>
          <w:szCs w:val="20"/>
          <w:color w:val="auto"/>
        </w:rPr>
      </w:pPr>
    </w:p>
    <w:p>
      <w:pPr>
        <w:ind w:right="180" w:firstLine="440"/>
        <w:spacing w:after="0" w:line="297" w:lineRule="auto"/>
        <w:rPr>
          <w:sz w:val="20"/>
          <w:szCs w:val="20"/>
          <w:color w:val="auto"/>
        </w:rPr>
      </w:pPr>
      <w:r>
        <w:rPr>
          <w:rFonts w:ascii="Arial" w:cs="Arial" w:eastAsia="Arial" w:hAnsi="Arial"/>
          <w:sz w:val="16"/>
          <w:szCs w:val="16"/>
          <w:color w:val="auto"/>
        </w:rPr>
        <w:t>While FF has made progress, the material weaknesses will not be considered remediated until FF completes the design and implementation of the enhanced controls, the controls operate for a sufficient period of time, and FF has concluded, through testing, that these controls are effective. FF believes that our remediation plan will be sufficient to remediate the identified material weakness and strengthen our internal control over financial reporting.</w:t>
      </w:r>
    </w:p>
    <w:p>
      <w:pPr>
        <w:spacing w:after="0" w:line="181" w:lineRule="exact"/>
        <w:rPr>
          <w:sz w:val="20"/>
          <w:szCs w:val="20"/>
          <w:color w:val="auto"/>
        </w:rPr>
      </w:pPr>
    </w:p>
    <w:p>
      <w:pPr>
        <w:ind w:right="20" w:firstLine="440"/>
        <w:spacing w:after="0" w:line="289" w:lineRule="auto"/>
        <w:rPr>
          <w:sz w:val="20"/>
          <w:szCs w:val="20"/>
          <w:color w:val="auto"/>
        </w:rPr>
      </w:pPr>
      <w:r>
        <w:rPr>
          <w:rFonts w:ascii="Arial" w:cs="Arial" w:eastAsia="Arial" w:hAnsi="Arial"/>
          <w:sz w:val="17"/>
          <w:szCs w:val="17"/>
          <w:color w:val="auto"/>
        </w:rPr>
        <w:t>As we continue to evaluate and work to improve our internal control over financial reporting, FF may determine that additional measures or modifications to the remediation plan are necessary.</w:t>
      </w:r>
    </w:p>
    <w:p>
      <w:pPr>
        <w:spacing w:after="0" w:line="106" w:lineRule="exact"/>
        <w:rPr>
          <w:sz w:val="20"/>
          <w:szCs w:val="20"/>
          <w:color w:val="auto"/>
        </w:rPr>
      </w:pPr>
    </w:p>
    <w:p>
      <w:pPr>
        <w:ind w:right="220" w:firstLine="440"/>
        <w:spacing w:after="0" w:line="267" w:lineRule="auto"/>
        <w:rPr>
          <w:sz w:val="20"/>
          <w:szCs w:val="20"/>
          <w:color w:val="auto"/>
        </w:rPr>
      </w:pPr>
      <w:r>
        <w:rPr>
          <w:rFonts w:ascii="Arial" w:cs="Arial" w:eastAsia="Arial" w:hAnsi="Arial"/>
          <w:sz w:val="17"/>
          <w:szCs w:val="17"/>
          <w:color w:val="auto"/>
        </w:rPr>
        <w:t>We are working to remediate the material weaknesses as efficiently and effectively as possible and expect full remediation could potentially go beyond December 31, 2023. At this time, we cannot provide an estimate of costs expected to be incurred in connection with implementing this remediation plan; however, these remediation measures will be time consuming, will result in FF incurring significant costs, and will place significant demands on our financial and operational resources.</w:t>
      </w:r>
    </w:p>
    <w:p>
      <w:pPr>
        <w:spacing w:after="0" w:line="126" w:lineRule="exact"/>
        <w:rPr>
          <w:sz w:val="20"/>
          <w:szCs w:val="20"/>
          <w:color w:val="auto"/>
        </w:rPr>
      </w:pPr>
    </w:p>
    <w:p>
      <w:pPr>
        <w:ind w:firstLine="440"/>
        <w:spacing w:after="0" w:line="300" w:lineRule="auto"/>
        <w:rPr>
          <w:sz w:val="20"/>
          <w:szCs w:val="20"/>
          <w:color w:val="auto"/>
        </w:rPr>
      </w:pPr>
      <w:r>
        <w:rPr>
          <w:rFonts w:ascii="Arial" w:cs="Arial" w:eastAsia="Arial" w:hAnsi="Arial"/>
          <w:sz w:val="15"/>
          <w:szCs w:val="15"/>
          <w:color w:val="auto"/>
        </w:rPr>
        <w:t>While FF believes these efforts will remediate the material weaknesses, FF may not be able to complete its evaluation, testing or any required remediation in a timely fashion, or at all. FF cannot assure you that the measures it has taken to date and may take in the future, will be sufficient to remediate the control deficiencies that led to its material weaknesses in internal control over financial reporting or that they will prevent or avoid potential future material weaknesses. The effectiveness of FF’s internal control over financial reporting is subject to various inherent limitations, including cost limitations, judgments used in decision making, assumptions about the likelihood of future events, the possibility of human error and the risk of fraud. If FF is unable to remediate its material weaknesses, FF’s ability to record, process and report financial information accurately, and to prepare financial statements within the time periods specified by the forms of the SEC, could be adversely affected which, in turn, may adversely affect FF’s reputation and business and the market price of the Class A Common Stock. Any such failures could result in litigation or regulatory actions by the SEC or other regulatory authorities, loss of investor confidence, delisting of FF’s securities and harm to FF’s reputation and financial condition, or diversion of financial and management resources from the operation of FF’s business.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Class A Common Stock has been and may continue to be volatile, and you could lose all or part of your investment.</w:t>
      </w:r>
    </w:p>
    <w:p>
      <w:pPr>
        <w:spacing w:after="0" w:line="171"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The trading price of our Class A Common Stock has been and may continue to be highly volatile and could be attributable, among others, to factors beyond our control, including limited trading volume. For example, our stock traded within a range of a high price of $17.00 and a low price of $1.65 per share for the period from July 22, 2021, our first day of trading on NASDAQ through August 1, 2022.</w:t>
      </w:r>
    </w:p>
    <w:p>
      <w:pPr>
        <w:spacing w:after="0" w:line="119" w:lineRule="exact"/>
        <w:rPr>
          <w:sz w:val="20"/>
          <w:szCs w:val="20"/>
          <w:color w:val="auto"/>
        </w:rPr>
      </w:pPr>
    </w:p>
    <w:p>
      <w:pPr>
        <w:jc w:val="both"/>
        <w:ind w:right="100" w:firstLine="440"/>
        <w:spacing w:after="0" w:line="273" w:lineRule="auto"/>
        <w:rPr>
          <w:sz w:val="20"/>
          <w:szCs w:val="20"/>
          <w:color w:val="auto"/>
        </w:rPr>
      </w:pPr>
      <w:r>
        <w:rPr>
          <w:rFonts w:ascii="Arial" w:cs="Arial" w:eastAsia="Arial" w:hAnsi="Arial"/>
          <w:sz w:val="17"/>
          <w:szCs w:val="17"/>
          <w:color w:val="auto"/>
        </w:rPr>
        <w:t>Any of the factors listed below could have a material adverse effect on the market price of our Class A Common Stock and as a result your investment in FF’s securities, and FF’s securities may trade at prices significantly below the price paid by you. In such circumstances, the trading price of FF’s securities may not recover and may experience a further decline. Factors affecting the trading price of FF’s securities may include: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1" w:name="page62"/>
    <w:bookmarkEnd w:id="61"/>
    <w:p>
      <w:pPr>
        <w:ind w:left="1200" w:hanging="392"/>
        <w:spacing w:after="0"/>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actual or anticipated fluctuations in FF’s financial results or the financial results of companies perceived to be similar to it;</w:t>
      </w:r>
    </w:p>
    <w:p>
      <w:pPr>
        <w:spacing w:after="0" w:line="158" w:lineRule="exact"/>
        <w:rPr>
          <w:rFonts w:ascii="Arial" w:cs="Arial" w:eastAsia="Arial" w:hAnsi="Arial"/>
          <w:sz w:val="17"/>
          <w:szCs w:val="17"/>
          <w:color w:val="auto"/>
        </w:rPr>
      </w:pPr>
    </w:p>
    <w:p>
      <w:pPr>
        <w:ind w:left="1200" w:hanging="392"/>
        <w:spacing w:after="0"/>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changes in the market’s expectations about FF’s operating results;</w:t>
      </w:r>
    </w:p>
    <w:p>
      <w:pPr>
        <w:spacing w:after="0" w:line="171" w:lineRule="exact"/>
        <w:rPr>
          <w:rFonts w:ascii="Arial" w:cs="Arial" w:eastAsia="Arial" w:hAnsi="Arial"/>
          <w:sz w:val="17"/>
          <w:szCs w:val="17"/>
          <w:color w:val="auto"/>
        </w:rPr>
      </w:pPr>
    </w:p>
    <w:p>
      <w:pPr>
        <w:ind w:left="1200" w:hanging="392"/>
        <w:spacing w:after="0"/>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success of competitors;</w:t>
      </w:r>
    </w:p>
    <w:p>
      <w:pPr>
        <w:spacing w:after="0" w:line="171" w:lineRule="exact"/>
        <w:rPr>
          <w:rFonts w:ascii="Arial" w:cs="Arial" w:eastAsia="Arial" w:hAnsi="Arial"/>
          <w:sz w:val="17"/>
          <w:szCs w:val="17"/>
          <w:color w:val="auto"/>
        </w:rPr>
      </w:pPr>
    </w:p>
    <w:p>
      <w:pPr>
        <w:ind w:left="1200" w:hanging="392"/>
        <w:spacing w:after="0"/>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FF’s operating results failing to meet the expectation of securities analysts or investors in a particular period;</w:t>
      </w:r>
    </w:p>
    <w:p>
      <w:pPr>
        <w:spacing w:after="0" w:line="158" w:lineRule="exact"/>
        <w:rPr>
          <w:rFonts w:ascii="Arial" w:cs="Arial" w:eastAsia="Arial" w:hAnsi="Arial"/>
          <w:sz w:val="17"/>
          <w:szCs w:val="17"/>
          <w:color w:val="auto"/>
        </w:rPr>
      </w:pPr>
    </w:p>
    <w:p>
      <w:pPr>
        <w:ind w:left="1200" w:hanging="392"/>
        <w:spacing w:after="0"/>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FF’s ability to attract and retain senior management or key operating personnel, and the addition or departure of key personnel;</w:t>
      </w:r>
    </w:p>
    <w:p>
      <w:pPr>
        <w:spacing w:after="0" w:line="171" w:lineRule="exact"/>
        <w:rPr>
          <w:rFonts w:ascii="Arial" w:cs="Arial" w:eastAsia="Arial" w:hAnsi="Arial"/>
          <w:sz w:val="17"/>
          <w:szCs w:val="17"/>
          <w:color w:val="auto"/>
        </w:rPr>
      </w:pPr>
    </w:p>
    <w:p>
      <w:pPr>
        <w:ind w:left="1200" w:hanging="392"/>
        <w:spacing w:after="0"/>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changes in financial estimates and recommendations by securities analysts concerning FF or the transportation industry in general;</w:t>
      </w:r>
    </w:p>
    <w:p>
      <w:pPr>
        <w:spacing w:after="0" w:line="171" w:lineRule="exact"/>
        <w:rPr>
          <w:rFonts w:ascii="Arial" w:cs="Arial" w:eastAsia="Arial" w:hAnsi="Arial"/>
          <w:sz w:val="17"/>
          <w:szCs w:val="17"/>
          <w:color w:val="auto"/>
        </w:rPr>
      </w:pPr>
    </w:p>
    <w:p>
      <w:pPr>
        <w:ind w:left="1200" w:hanging="392"/>
        <w:spacing w:after="0"/>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operating and share price performance of other companies that investors deem comparable to FF;</w:t>
      </w:r>
    </w:p>
    <w:p>
      <w:pPr>
        <w:spacing w:after="0" w:line="158" w:lineRule="exact"/>
        <w:rPr>
          <w:rFonts w:ascii="Arial" w:cs="Arial" w:eastAsia="Arial" w:hAnsi="Arial"/>
          <w:sz w:val="17"/>
          <w:szCs w:val="17"/>
          <w:color w:val="auto"/>
        </w:rPr>
      </w:pPr>
    </w:p>
    <w:p>
      <w:pPr>
        <w:ind w:left="1200" w:hanging="392"/>
        <w:spacing w:after="0"/>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FF’s ability to market new and enhanced products and technologies on a timely basis;</w:t>
      </w:r>
    </w:p>
    <w:p>
      <w:pPr>
        <w:spacing w:after="0" w:line="171" w:lineRule="exact"/>
        <w:rPr>
          <w:rFonts w:ascii="Arial" w:cs="Arial" w:eastAsia="Arial" w:hAnsi="Arial"/>
          <w:sz w:val="17"/>
          <w:szCs w:val="17"/>
          <w:color w:val="auto"/>
        </w:rPr>
      </w:pPr>
    </w:p>
    <w:p>
      <w:pPr>
        <w:ind w:left="1200" w:hanging="392"/>
        <w:spacing w:after="0"/>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changes in laws and regulations affecting FF’s business;</w:t>
      </w:r>
    </w:p>
    <w:p>
      <w:pPr>
        <w:spacing w:after="0" w:line="171" w:lineRule="exact"/>
        <w:rPr>
          <w:rFonts w:ascii="Arial" w:cs="Arial" w:eastAsia="Arial" w:hAnsi="Arial"/>
          <w:sz w:val="17"/>
          <w:szCs w:val="17"/>
          <w:color w:val="auto"/>
        </w:rPr>
      </w:pPr>
    </w:p>
    <w:p>
      <w:pPr>
        <w:ind w:left="1220" w:hanging="412"/>
        <w:spacing w:after="0"/>
        <w:tabs>
          <w:tab w:leader="none" w:pos="1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FF’s ability to meet compliance requirements;</w:t>
      </w:r>
    </w:p>
    <w:p>
      <w:pPr>
        <w:spacing w:after="0" w:line="158" w:lineRule="exact"/>
        <w:rPr>
          <w:rFonts w:ascii="Arial" w:cs="Arial" w:eastAsia="Arial" w:hAnsi="Arial"/>
          <w:sz w:val="17"/>
          <w:szCs w:val="17"/>
          <w:color w:val="auto"/>
        </w:rPr>
      </w:pPr>
    </w:p>
    <w:p>
      <w:pPr>
        <w:ind w:left="1200" w:hanging="392"/>
        <w:spacing w:after="0"/>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commencement of, or involvement in, threatened or actual litigation and government investigations;</w:t>
      </w:r>
    </w:p>
    <w:p>
      <w:pPr>
        <w:spacing w:after="0" w:line="171" w:lineRule="exact"/>
        <w:rPr>
          <w:rFonts w:ascii="Arial" w:cs="Arial" w:eastAsia="Arial" w:hAnsi="Arial"/>
          <w:sz w:val="17"/>
          <w:szCs w:val="17"/>
          <w:color w:val="auto"/>
        </w:rPr>
      </w:pPr>
    </w:p>
    <w:p>
      <w:pPr>
        <w:ind w:left="1220" w:hanging="412"/>
        <w:spacing w:after="0"/>
        <w:tabs>
          <w:tab w:leader="none" w:pos="1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changes in FF’s capital structure, such as future issuances of securities or the incurrence of additional debt;</w:t>
      </w:r>
    </w:p>
    <w:p>
      <w:pPr>
        <w:spacing w:after="0" w:line="171" w:lineRule="exact"/>
        <w:rPr>
          <w:rFonts w:ascii="Arial" w:cs="Arial" w:eastAsia="Arial" w:hAnsi="Arial"/>
          <w:sz w:val="17"/>
          <w:szCs w:val="17"/>
          <w:color w:val="auto"/>
        </w:rPr>
      </w:pPr>
    </w:p>
    <w:p>
      <w:pPr>
        <w:ind w:left="1200" w:hanging="392"/>
        <w:spacing w:after="0"/>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volume of FF’s common stock available for public sale;</w:t>
      </w:r>
    </w:p>
    <w:p>
      <w:pPr>
        <w:spacing w:after="0" w:line="158" w:lineRule="exact"/>
        <w:rPr>
          <w:rFonts w:ascii="Arial" w:cs="Arial" w:eastAsia="Arial" w:hAnsi="Arial"/>
          <w:sz w:val="17"/>
          <w:szCs w:val="17"/>
          <w:color w:val="auto"/>
        </w:rPr>
      </w:pPr>
    </w:p>
    <w:p>
      <w:pPr>
        <w:ind w:left="1200" w:hanging="392"/>
        <w:spacing w:after="0"/>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change in FF’s Board of Directors or management;</w:t>
      </w:r>
    </w:p>
    <w:p>
      <w:pPr>
        <w:spacing w:after="0" w:line="171" w:lineRule="exact"/>
        <w:rPr>
          <w:rFonts w:ascii="Arial" w:cs="Arial" w:eastAsia="Arial" w:hAnsi="Arial"/>
          <w:sz w:val="17"/>
          <w:szCs w:val="17"/>
          <w:color w:val="auto"/>
        </w:rPr>
      </w:pPr>
    </w:p>
    <w:p>
      <w:pPr>
        <w:ind w:left="1200" w:right="180" w:hanging="392"/>
        <w:spacing w:after="0" w:line="273" w:lineRule="auto"/>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actions taken by FF’s directors, executive officers or significant stockholders such as sales of FF’s common stock, or the perception that such actions could occur;</w:t>
      </w:r>
    </w:p>
    <w:p>
      <w:pPr>
        <w:spacing w:after="0" w:line="118" w:lineRule="exact"/>
        <w:rPr>
          <w:rFonts w:ascii="Arial" w:cs="Arial" w:eastAsia="Arial" w:hAnsi="Arial"/>
          <w:sz w:val="17"/>
          <w:szCs w:val="17"/>
          <w:color w:val="auto"/>
        </w:rPr>
      </w:pPr>
    </w:p>
    <w:p>
      <w:pPr>
        <w:ind w:left="1220" w:hanging="412"/>
        <w:spacing w:after="0"/>
        <w:tabs>
          <w:tab w:leader="none" w:pos="12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ongoing and potential litigation involving FF, including the SEC investigation;</w:t>
      </w:r>
    </w:p>
    <w:p>
      <w:pPr>
        <w:spacing w:after="0" w:line="158" w:lineRule="exact"/>
        <w:rPr>
          <w:rFonts w:ascii="Arial" w:cs="Arial" w:eastAsia="Arial" w:hAnsi="Arial"/>
          <w:sz w:val="17"/>
          <w:szCs w:val="17"/>
          <w:color w:val="auto"/>
        </w:rPr>
      </w:pPr>
    </w:p>
    <w:p>
      <w:pPr>
        <w:ind w:left="1200" w:hanging="392"/>
        <w:spacing w:after="0"/>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implementation of the Special Committee’s recommendations and the Company’s related remedial actions; and</w:t>
      </w:r>
    </w:p>
    <w:p>
      <w:pPr>
        <w:spacing w:after="0" w:line="171" w:lineRule="exact"/>
        <w:rPr>
          <w:rFonts w:ascii="Arial" w:cs="Arial" w:eastAsia="Arial" w:hAnsi="Arial"/>
          <w:sz w:val="17"/>
          <w:szCs w:val="17"/>
          <w:color w:val="auto"/>
        </w:rPr>
      </w:pPr>
    </w:p>
    <w:p>
      <w:pPr>
        <w:ind w:left="1200" w:right="220" w:hanging="392"/>
        <w:spacing w:after="0" w:line="273" w:lineRule="auto"/>
        <w:tabs>
          <w:tab w:leader="none" w:pos="1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general economic and political conditions such as recessions, interest rates, fuel prices, international currency fluctuations and acts of war or terrorism.</w:t>
      </w:r>
    </w:p>
    <w:p>
      <w:pPr>
        <w:spacing w:after="0" w:line="223" w:lineRule="exact"/>
        <w:rPr>
          <w:sz w:val="20"/>
          <w:szCs w:val="20"/>
          <w:color w:val="auto"/>
        </w:rPr>
      </w:pPr>
    </w:p>
    <w:p>
      <w:pPr>
        <w:ind w:right="20" w:firstLine="440"/>
        <w:spacing w:after="0" w:line="283" w:lineRule="auto"/>
        <w:rPr>
          <w:sz w:val="20"/>
          <w:szCs w:val="20"/>
          <w:color w:val="auto"/>
        </w:rPr>
      </w:pPr>
      <w:r>
        <w:rPr>
          <w:rFonts w:ascii="Arial" w:cs="Arial" w:eastAsia="Arial" w:hAnsi="Arial"/>
          <w:sz w:val="16"/>
          <w:szCs w:val="16"/>
          <w:color w:val="auto"/>
        </w:rPr>
        <w:t>Broad market and industry factors may materially harm the market price of FF’s securities irrespective of FF’s operating performance. The stock markets in general have experienced price and volume fluctuations that have often been unrelated or disproportionate to the operating performance of the particular companies affected. The trading prices and valuations of these stocks, and of FF’s securities, may not be predictable. A loss of investor confidence in the market for electric vehicle manufacturers’ stocks or the stocks of other companies which investors perceive to be similar to FF could depress FF’s share price regardless of FF’s business, prospects, financial conditions or results of operations. A decline in the market price of FF’s securities also could adversely affect FF’s ability to issue additional securities and FF’s ability to obtain additional financing in the future.</w:t>
      </w:r>
    </w:p>
    <w:p>
      <w:pPr>
        <w:spacing w:after="0" w:line="113" w:lineRule="exact"/>
        <w:rPr>
          <w:sz w:val="20"/>
          <w:szCs w:val="20"/>
          <w:color w:val="auto"/>
        </w:rPr>
      </w:pPr>
    </w:p>
    <w:p>
      <w:pPr>
        <w:ind w:right="380"/>
        <w:spacing w:after="0" w:line="289" w:lineRule="auto"/>
        <w:rPr>
          <w:sz w:val="20"/>
          <w:szCs w:val="20"/>
          <w:color w:val="auto"/>
        </w:rPr>
      </w:pPr>
      <w:r>
        <w:rPr>
          <w:rFonts w:ascii="Arial" w:cs="Arial" w:eastAsia="Arial" w:hAnsi="Arial"/>
          <w:sz w:val="17"/>
          <w:szCs w:val="17"/>
          <w:b w:val="1"/>
          <w:bCs w:val="1"/>
          <w:i w:val="1"/>
          <w:iCs w:val="1"/>
          <w:color w:val="auto"/>
        </w:rPr>
        <w:t>The issuance of Class A Common Stock upon full conversion of the principal amount of all outstanding Notes would substantially dilute the ownership interest of existing stockholders.</w:t>
      </w:r>
    </w:p>
    <w:p>
      <w:pPr>
        <w:spacing w:after="0" w:line="106" w:lineRule="exact"/>
        <w:rPr>
          <w:sz w:val="20"/>
          <w:szCs w:val="20"/>
          <w:color w:val="auto"/>
        </w:rPr>
      </w:pPr>
    </w:p>
    <w:p>
      <w:pPr>
        <w:ind w:firstLine="440"/>
        <w:spacing w:after="0" w:line="279" w:lineRule="auto"/>
        <w:rPr>
          <w:sz w:val="20"/>
          <w:szCs w:val="20"/>
          <w:color w:val="auto"/>
        </w:rPr>
      </w:pPr>
      <w:r>
        <w:rPr>
          <w:rFonts w:ascii="Arial" w:cs="Arial" w:eastAsia="Arial" w:hAnsi="Arial"/>
          <w:sz w:val="16"/>
          <w:szCs w:val="16"/>
          <w:color w:val="auto"/>
        </w:rPr>
        <w:t>As a result of the Notes Amendment, the number of shares of Class A Common Stock issuable upon conversion of the Notes will fluctuate significantly based on the market price of the Class A Common Stock. Based on the price of our Class A Common Stock as of August 9, 2022, or if such price further decreases at the time of conversion, our existing stockholders would experience substantial dilution upon the conversion of the Notes. If, for example, the holders elected to convert all of the outstanding Notes on August 9, 2022, based on the 7-trading day VWAP immediately preceding August 1, 2022 of $2.67 per share, the Notes would have been convertible into approximately 36,654,443 shares of Class A Common Stock in the aggregate. The conversion to shares shall not include any portion of any the Note that would cause the total converted share amount to be in excess of 4.99% of the fully diluted capitalization of the Company. The conversion price is subject to customary anti-dilution adjustments upon (among other triggering events) the occurrence of a change of control transaction and certain dilutive transactions, including subsequent equity issuances, share dividends and splits occurring following the issuance of the Notes. In no event may the aggregate number of shares issuable upon conversion of the Notes, together with the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62" w:name="page63"/>
    <w:bookmarkEnd w:id="62"/>
    <w:p>
      <w:pPr>
        <w:ind w:right="40"/>
        <w:spacing w:after="0" w:line="267" w:lineRule="auto"/>
        <w:rPr>
          <w:sz w:val="20"/>
          <w:szCs w:val="20"/>
          <w:color w:val="auto"/>
        </w:rPr>
      </w:pPr>
      <w:r>
        <w:rPr>
          <w:rFonts w:ascii="Arial" w:cs="Arial" w:eastAsia="Arial" w:hAnsi="Arial"/>
          <w:sz w:val="17"/>
          <w:szCs w:val="17"/>
          <w:color w:val="auto"/>
        </w:rPr>
        <w:t>aggregate number of shares issuable upon exercise of existing warrants held by the Noteholders, exceed 19.9% of the total voting power outstanding prior to the Notes Amendment under the NASDAQ listing rules. As a result, the maximum number of shares of Class A Common Stock issuable upon full conversion of all the Notes is 64,843,875 shares of Class A Common Stock. As such, the conversion of the Notes would have a dilutive effect on the ownership interest of existing stockholders of the Company.</w:t>
      </w:r>
    </w:p>
    <w:p>
      <w:pPr>
        <w:spacing w:after="0" w:line="126" w:lineRule="exact"/>
        <w:rPr>
          <w:sz w:val="20"/>
          <w:szCs w:val="20"/>
          <w:color w:val="auto"/>
        </w:rPr>
      </w:pPr>
    </w:p>
    <w:p>
      <w:pPr>
        <w:ind w:right="40" w:firstLine="440"/>
        <w:spacing w:after="0" w:line="267" w:lineRule="auto"/>
        <w:rPr>
          <w:sz w:val="20"/>
          <w:szCs w:val="20"/>
          <w:color w:val="auto"/>
        </w:rPr>
      </w:pPr>
      <w:r>
        <w:rPr>
          <w:rFonts w:ascii="Arial" w:cs="Arial" w:eastAsia="Arial" w:hAnsi="Arial"/>
          <w:sz w:val="17"/>
          <w:szCs w:val="17"/>
          <w:color w:val="auto"/>
        </w:rPr>
        <w:t xml:space="preserve">In addition, the shares of Class A Common Stock issuable upon full conversion and exercise of the New Notes and warrants issued and issuable under the Securities Purchase Agreement entered into by the Company on August 14, 2022 will result in significant additional dilution to the existing stockholders of the Company. See Note 15, </w:t>
      </w:r>
      <w:r>
        <w:rPr>
          <w:rFonts w:ascii="Arial" w:cs="Arial" w:eastAsia="Arial" w:hAnsi="Arial"/>
          <w:sz w:val="17"/>
          <w:szCs w:val="17"/>
          <w:i w:val="1"/>
          <w:iCs w:val="1"/>
          <w:color w:val="auto"/>
        </w:rPr>
        <w:t>Subsequent Events – New ATW Financing</w:t>
      </w:r>
      <w:r>
        <w:rPr>
          <w:rFonts w:ascii="Arial" w:cs="Arial" w:eastAsia="Arial" w:hAnsi="Arial"/>
          <w:sz w:val="17"/>
          <w:szCs w:val="17"/>
          <w:color w:val="auto"/>
        </w:rPr>
        <w:t xml:space="preserve"> in FF’s unaudited condensed consolidated financial statements included above and the Company’s Form 8-K filed with the SEC on August 15, 2022 for additional information.</w:t>
      </w:r>
    </w:p>
    <w:p>
      <w:pPr>
        <w:spacing w:after="0" w:line="11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b w:val="1"/>
          <w:bCs w:val="1"/>
          <w:i w:val="1"/>
          <w:iCs w:val="1"/>
          <w:color w:val="auto"/>
        </w:rPr>
        <w:t>We face challenges from the evolving regulatory environment regarding cybersecurity, information security, privacy and data protection. Many of these laws and regulations are subject to change and uncertain interpretation, and any actual or alleged failure to comply with related laws and regulations regarding cybersecurity, information security, data privacy and protection could materially and adversely affect our business and results of operations.</w:t>
      </w:r>
    </w:p>
    <w:p>
      <w:pPr>
        <w:spacing w:after="0" w:line="85" w:lineRule="exact"/>
        <w:rPr>
          <w:sz w:val="20"/>
          <w:szCs w:val="20"/>
          <w:color w:val="auto"/>
        </w:rPr>
      </w:pPr>
    </w:p>
    <w:p>
      <w:pPr>
        <w:ind w:right="40" w:firstLine="440"/>
        <w:spacing w:after="0" w:line="267" w:lineRule="auto"/>
        <w:rPr>
          <w:sz w:val="20"/>
          <w:szCs w:val="20"/>
          <w:color w:val="auto"/>
        </w:rPr>
      </w:pPr>
      <w:r>
        <w:rPr>
          <w:rFonts w:ascii="Arial" w:cs="Arial" w:eastAsia="Arial" w:hAnsi="Arial"/>
          <w:sz w:val="17"/>
          <w:szCs w:val="17"/>
          <w:color w:val="auto"/>
        </w:rPr>
        <w:t>In the regular course of our business, we obtain information about various aspects of our operations as well as regarding our employees and third parties. The integrity and protection of FF, employee and third-party data are critical to our business. Our employees and third parties expect that we will adequately protect their personal information. We are required by applicable laws to keep strictly confidential the personal information that we collect, and to take adequate security measures to safeguard such information.</w:t>
      </w:r>
    </w:p>
    <w:p>
      <w:pPr>
        <w:spacing w:after="0" w:line="126" w:lineRule="exact"/>
        <w:rPr>
          <w:sz w:val="20"/>
          <w:szCs w:val="20"/>
          <w:color w:val="auto"/>
        </w:rPr>
      </w:pPr>
    </w:p>
    <w:p>
      <w:pPr>
        <w:ind w:right="120" w:firstLine="440"/>
        <w:spacing w:after="0" w:line="267" w:lineRule="auto"/>
        <w:rPr>
          <w:sz w:val="20"/>
          <w:szCs w:val="20"/>
          <w:color w:val="auto"/>
        </w:rPr>
      </w:pPr>
      <w:r>
        <w:rPr>
          <w:rFonts w:ascii="Arial" w:cs="Arial" w:eastAsia="Arial" w:hAnsi="Arial"/>
          <w:sz w:val="17"/>
          <w:szCs w:val="17"/>
          <w:color w:val="auto"/>
        </w:rPr>
        <w:t>Regulators in the People’s Republic of China and in Hong Kong (together, “PRC”), including the Cyberspace Administration of China (the “CAC”), the Ministry of Industry and Information Technology, and the Ministry of Public Security, have been increasingly focused on regulation in data security and data protection. PRC regulatory requirements regarding cybersecurity are evolving. For instance, various regulatory bodies in China have enforced data privacy and protection laws and regulations with varying and evolving standards and interpretations.</w:t>
      </w:r>
    </w:p>
    <w:p>
      <w:pPr>
        <w:spacing w:after="0" w:line="126" w:lineRule="exact"/>
        <w:rPr>
          <w:sz w:val="20"/>
          <w:szCs w:val="20"/>
          <w:color w:val="auto"/>
        </w:rPr>
      </w:pPr>
    </w:p>
    <w:p>
      <w:pPr>
        <w:ind w:right="60" w:firstLine="440"/>
        <w:spacing w:after="0" w:line="267" w:lineRule="auto"/>
        <w:rPr>
          <w:sz w:val="20"/>
          <w:szCs w:val="20"/>
          <w:color w:val="auto"/>
        </w:rPr>
      </w:pPr>
      <w:r>
        <w:rPr>
          <w:rFonts w:ascii="Arial" w:cs="Arial" w:eastAsia="Arial" w:hAnsi="Arial"/>
          <w:sz w:val="17"/>
          <w:szCs w:val="17"/>
          <w:color w:val="auto"/>
        </w:rPr>
        <w:t>The PRC Criminal Law, as most recently amended in 2020, prohibits institutions, companies and their employees from selling or otherwise illegally disclosing a citizen’s personal information obtained in performing duties or providing services or obtaining such information through theft or other illegal ways. On November 7, 2016, the Standing Committee of the PRC National People’s Congress issued the Cyber Security Law of the PRC (the “Cyber Security Law”), which became effective on June 1, 2017.</w:t>
      </w:r>
    </w:p>
    <w:p>
      <w:pPr>
        <w:spacing w:after="0" w:line="126" w:lineRule="exact"/>
        <w:rPr>
          <w:sz w:val="20"/>
          <w:szCs w:val="20"/>
          <w:color w:val="auto"/>
        </w:rPr>
      </w:pPr>
    </w:p>
    <w:p>
      <w:pPr>
        <w:ind w:right="20" w:firstLine="440"/>
        <w:spacing w:after="0" w:line="297" w:lineRule="auto"/>
        <w:rPr>
          <w:sz w:val="20"/>
          <w:szCs w:val="20"/>
          <w:color w:val="auto"/>
        </w:rPr>
      </w:pPr>
      <w:r>
        <w:rPr>
          <w:rFonts w:ascii="Arial" w:cs="Arial" w:eastAsia="Arial" w:hAnsi="Arial"/>
          <w:sz w:val="16"/>
          <w:szCs w:val="16"/>
          <w:color w:val="auto"/>
        </w:rPr>
        <w:t>Pursuant to the Cyber Security Law, network operators must not, without users’ consent, collect and disclose their personal information, and may only collect users’ personal information necessary to provide their services. Providers are also obliged to provide security maintenance for their products and services and shall comply with provisions regarding the protection of personal information as stipulated under the relevant laws and regulations.</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Civil Code of the PRC provides legal basis for privacy and personal information infringement claims under the Chinese civil laws.</w:t>
      </w:r>
    </w:p>
    <w:p>
      <w:pPr>
        <w:spacing w:after="0" w:line="171" w:lineRule="exact"/>
        <w:rPr>
          <w:sz w:val="20"/>
          <w:szCs w:val="20"/>
          <w:color w:val="auto"/>
        </w:rPr>
      </w:pPr>
    </w:p>
    <w:p>
      <w:pPr>
        <w:ind w:right="120" w:firstLine="440"/>
        <w:spacing w:after="0" w:line="283" w:lineRule="auto"/>
        <w:rPr>
          <w:sz w:val="20"/>
          <w:szCs w:val="20"/>
          <w:color w:val="auto"/>
        </w:rPr>
      </w:pPr>
      <w:r>
        <w:rPr>
          <w:rFonts w:ascii="Arial" w:cs="Arial" w:eastAsia="Arial" w:hAnsi="Arial"/>
          <w:sz w:val="16"/>
          <w:szCs w:val="16"/>
          <w:color w:val="auto"/>
        </w:rPr>
        <w:t>On June 10, 2021, the Standing Committee of the National People’s Congress of China (the “SCNPC”), promulgated the PRC Data Security Law, which took effect on September 1,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and information.</w:t>
      </w:r>
    </w:p>
    <w:p>
      <w:pPr>
        <w:spacing w:after="0" w:line="113" w:lineRule="exact"/>
        <w:rPr>
          <w:sz w:val="20"/>
          <w:szCs w:val="20"/>
          <w:color w:val="auto"/>
        </w:rPr>
      </w:pPr>
    </w:p>
    <w:p>
      <w:pPr>
        <w:ind w:right="80" w:firstLine="440"/>
        <w:spacing w:after="0" w:line="297" w:lineRule="auto"/>
        <w:rPr>
          <w:sz w:val="20"/>
          <w:szCs w:val="20"/>
          <w:color w:val="auto"/>
        </w:rPr>
      </w:pPr>
      <w:r>
        <w:rPr>
          <w:rFonts w:ascii="Arial" w:cs="Arial" w:eastAsia="Arial" w:hAnsi="Arial"/>
          <w:sz w:val="16"/>
          <w:szCs w:val="16"/>
          <w:color w:val="auto"/>
        </w:rPr>
        <w:t>On August 20, 2021, the SCNPC promulgated the PRC Personal Information Protection Law, which took effect on November 1, 2021. This legislation marks China’s first comprehensive legal attempt to define personal information and regulate the storing, transferring, and processing of personal information. It restricts the cross-border transfer of personal information and has major implications for companies that rely on data for their operations in China.</w:t>
      </w:r>
    </w:p>
    <w:p>
      <w:pPr>
        <w:spacing w:after="0" w:line="103" w:lineRule="exact"/>
        <w:rPr>
          <w:sz w:val="20"/>
          <w:szCs w:val="20"/>
          <w:color w:val="auto"/>
        </w:rPr>
      </w:pPr>
    </w:p>
    <w:p>
      <w:pPr>
        <w:ind w:right="180" w:firstLine="440"/>
        <w:spacing w:after="0" w:line="264" w:lineRule="auto"/>
        <w:rPr>
          <w:sz w:val="20"/>
          <w:szCs w:val="20"/>
          <w:color w:val="auto"/>
        </w:rPr>
      </w:pPr>
      <w:r>
        <w:rPr>
          <w:rFonts w:ascii="Arial" w:cs="Arial" w:eastAsia="Arial" w:hAnsi="Arial"/>
          <w:sz w:val="17"/>
          <w:szCs w:val="17"/>
          <w:color w:val="auto"/>
        </w:rPr>
        <w:t>In December 2021, the CAC and 12 other related authorities promulgated the Cybersecurity Review Measures, which became effective on February 15, 2022. The Cybersecurity Review Measures stipulates that:</w:t>
      </w:r>
    </w:p>
    <w:p>
      <w:pPr>
        <w:spacing w:after="0" w:line="28" w:lineRule="exact"/>
        <w:rPr>
          <w:sz w:val="20"/>
          <w:szCs w:val="20"/>
          <w:color w:val="auto"/>
        </w:rPr>
      </w:pPr>
    </w:p>
    <w:p>
      <w:pPr>
        <w:ind w:left="1200" w:right="520" w:hanging="392"/>
        <w:spacing w:after="0" w:line="181" w:lineRule="auto"/>
        <w:tabs>
          <w:tab w:leader="none" w:pos="1200" w:val="left"/>
        </w:tabs>
        <w:numPr>
          <w:ilvl w:val="0"/>
          <w:numId w:val="64"/>
        </w:numPr>
        <w:rPr>
          <w:rFonts w:ascii="Arial" w:cs="Arial" w:eastAsia="Arial" w:hAnsi="Arial"/>
          <w:sz w:val="33"/>
          <w:szCs w:val="33"/>
          <w:color w:val="auto"/>
          <w:vertAlign w:val="subscript"/>
        </w:rPr>
      </w:pPr>
      <w:r>
        <w:rPr>
          <w:rFonts w:ascii="Arial" w:cs="Arial" w:eastAsia="Arial" w:hAnsi="Arial"/>
          <w:sz w:val="15"/>
          <w:szCs w:val="15"/>
          <w:color w:val="auto"/>
        </w:rPr>
        <w:t>the China Securities Regulatory Commission is included as one of the regulatory authorities for purposes of jointly establishing the state cybersecurity review working mechanism;</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left="42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3" w:name="page64"/>
    <w:bookmarkEnd w:id="63"/>
    <w:p>
      <w:pPr>
        <w:ind w:left="1200" w:right="640" w:hanging="392"/>
        <w:spacing w:after="0" w:line="181" w:lineRule="auto"/>
        <w:tabs>
          <w:tab w:leader="none" w:pos="1200" w:val="left"/>
        </w:tabs>
        <w:numPr>
          <w:ilvl w:val="0"/>
          <w:numId w:val="65"/>
        </w:numPr>
        <w:rPr>
          <w:rFonts w:ascii="Arial" w:cs="Arial" w:eastAsia="Arial" w:hAnsi="Arial"/>
          <w:sz w:val="33"/>
          <w:szCs w:val="33"/>
          <w:color w:val="auto"/>
          <w:vertAlign w:val="subscript"/>
        </w:rPr>
      </w:pPr>
      <w:r>
        <w:rPr>
          <w:rFonts w:ascii="Arial" w:cs="Arial" w:eastAsia="Arial" w:hAnsi="Arial"/>
          <w:sz w:val="15"/>
          <w:szCs w:val="15"/>
          <w:color w:val="auto"/>
        </w:rPr>
        <w:t>the purchase of network products and services by a “critical information infrastructure operator” and the data processing activities of a “network platform operator” that affect or may affect national security shall be subject to the cybersecurity review;</w:t>
      </w:r>
    </w:p>
    <w:p>
      <w:pPr>
        <w:spacing w:after="0" w:line="133" w:lineRule="exact"/>
        <w:rPr>
          <w:rFonts w:ascii="Arial" w:cs="Arial" w:eastAsia="Arial" w:hAnsi="Arial"/>
          <w:sz w:val="33"/>
          <w:szCs w:val="33"/>
          <w:color w:val="auto"/>
          <w:vertAlign w:val="subscript"/>
        </w:rPr>
      </w:pPr>
    </w:p>
    <w:p>
      <w:pPr>
        <w:ind w:left="1200" w:right="160" w:hanging="392"/>
        <w:spacing w:after="0" w:line="181" w:lineRule="auto"/>
        <w:tabs>
          <w:tab w:leader="none" w:pos="1200" w:val="left"/>
        </w:tabs>
        <w:numPr>
          <w:ilvl w:val="0"/>
          <w:numId w:val="65"/>
        </w:numPr>
        <w:rPr>
          <w:rFonts w:ascii="Arial" w:cs="Arial" w:eastAsia="Arial" w:hAnsi="Arial"/>
          <w:sz w:val="33"/>
          <w:szCs w:val="33"/>
          <w:color w:val="auto"/>
          <w:vertAlign w:val="subscript"/>
        </w:rPr>
      </w:pPr>
      <w:r>
        <w:rPr>
          <w:rFonts w:ascii="Arial" w:cs="Arial" w:eastAsia="Arial" w:hAnsi="Arial"/>
          <w:sz w:val="15"/>
          <w:szCs w:val="15"/>
          <w:color w:val="auto"/>
        </w:rPr>
        <w:t>if a network platform operator who possesses personal information of more than one million users intends to go public in a foreign country, it must apply for a cybersecurity review with the CAC; and</w:t>
      </w:r>
    </w:p>
    <w:p>
      <w:pPr>
        <w:spacing w:after="0" w:line="146" w:lineRule="exact"/>
        <w:rPr>
          <w:rFonts w:ascii="Arial" w:cs="Arial" w:eastAsia="Arial" w:hAnsi="Arial"/>
          <w:sz w:val="33"/>
          <w:szCs w:val="33"/>
          <w:color w:val="auto"/>
          <w:vertAlign w:val="subscript"/>
        </w:rPr>
      </w:pPr>
    </w:p>
    <w:p>
      <w:pPr>
        <w:ind w:left="1200" w:right="460" w:hanging="392"/>
        <w:spacing w:after="0" w:line="181" w:lineRule="auto"/>
        <w:tabs>
          <w:tab w:leader="none" w:pos="1200" w:val="left"/>
        </w:tabs>
        <w:numPr>
          <w:ilvl w:val="0"/>
          <w:numId w:val="65"/>
        </w:numPr>
        <w:rPr>
          <w:rFonts w:ascii="Arial" w:cs="Arial" w:eastAsia="Arial" w:hAnsi="Arial"/>
          <w:sz w:val="33"/>
          <w:szCs w:val="33"/>
          <w:color w:val="auto"/>
          <w:vertAlign w:val="subscript"/>
        </w:rPr>
      </w:pPr>
      <w:r>
        <w:rPr>
          <w:rFonts w:ascii="Arial" w:cs="Arial" w:eastAsia="Arial" w:hAnsi="Arial"/>
          <w:sz w:val="15"/>
          <w:szCs w:val="15"/>
          <w:color w:val="auto"/>
        </w:rPr>
        <w:t>the relevant PRC governmental authorities may initiate cybersecurity review if they determine certain network products, services, or data processing activities affect or may affect national security.</w:t>
      </w:r>
    </w:p>
    <w:p>
      <w:pPr>
        <w:spacing w:after="0" w:line="265" w:lineRule="exact"/>
        <w:rPr>
          <w:sz w:val="20"/>
          <w:szCs w:val="20"/>
          <w:color w:val="auto"/>
        </w:rPr>
      </w:pPr>
    </w:p>
    <w:p>
      <w:pPr>
        <w:ind w:right="20" w:firstLine="440"/>
        <w:spacing w:after="0" w:line="276" w:lineRule="auto"/>
        <w:rPr>
          <w:sz w:val="20"/>
          <w:szCs w:val="20"/>
          <w:color w:val="auto"/>
        </w:rPr>
      </w:pPr>
      <w:r>
        <w:rPr>
          <w:rFonts w:ascii="Arial" w:cs="Arial" w:eastAsia="Arial" w:hAnsi="Arial"/>
          <w:sz w:val="16"/>
          <w:szCs w:val="16"/>
          <w:color w:val="auto"/>
        </w:rPr>
        <w:t>Furthermore, on November 14, 2021, the CAC published a discussion draft of Regulations on the Administration of Cyber Data Security for public comment, which provides that data processors conducting the following activities shall apply for cybersecurity review: (i) merger, reorganization or division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or (iv) other data processing activities that affect or may affect national security. The draft also provides that operators of large internet platforms that set up headquarters, operation centers or R&amp;D centers overseas shall report to the national cyberspace administration and competent authorities. In addition, the draft also requires that data processors processing important data or going public overseas shall conduct an annual data security self-assessment or entrust a data security service institution to do so, and submit the data security assessment report of the previous year to the local branch of the Cyberspace Administration of China before January 31 each year. As of the date hereof, the abovementioned drafts have not been formally adopted, and substantial uncertainties exist with respect to their enactment timetable, final content, interpretation and implementation. On July 7, 2022, the CAC promulgated the Measures for the Security Assessment of Cross-border Data Transmission, which will take effect on September 1, 2022. These measures require the data processor providing data overseas and falling under any of the following circumstances apply for the security assessment of cross-border data transmission by the national cybersecurity authority through its local counterpart: (i) the data processor provides important data overseas; (ii) critical information infrastructure operators and data processors processing personal information of more than one million individuals provide personal information overseas; (iii) data processors which have provided personal information of 100,000 individuals or sensitive personal information of 10,000 individuals overseas since January 1 of the previous year provides personal information overseas; and (iv) other situations required to declare security assessment of cross-border data transmission as stipulated by the national cybersecurity authority.</w:t>
      </w:r>
    </w:p>
    <w:p>
      <w:pPr>
        <w:spacing w:after="0" w:line="123" w:lineRule="exact"/>
        <w:rPr>
          <w:sz w:val="20"/>
          <w:szCs w:val="20"/>
          <w:color w:val="auto"/>
        </w:rPr>
      </w:pPr>
    </w:p>
    <w:p>
      <w:pPr>
        <w:ind w:right="60" w:firstLine="440"/>
        <w:spacing w:after="0" w:line="262" w:lineRule="auto"/>
        <w:rPr>
          <w:sz w:val="20"/>
          <w:szCs w:val="20"/>
          <w:color w:val="auto"/>
        </w:rPr>
      </w:pPr>
      <w:r>
        <w:rPr>
          <w:rFonts w:ascii="Arial" w:cs="Arial" w:eastAsia="Arial" w:hAnsi="Arial"/>
          <w:sz w:val="17"/>
          <w:szCs w:val="17"/>
          <w:color w:val="auto"/>
        </w:rPr>
        <w:t>Our subsidiaries organized in the PRC (collectively, the “PRC Subsidiaries”) may become subject to enhanced cybersecurity review. Certain internet platforms in China have been reportedly subject to heightened regulatory scrutiny in relation to cybersecurity matters. If our PRC Subsidiaries are deemed to be a critical information infrastructure operator or a network platform operator that is engaged in data processing that affect or may affect national security, they could be subject to PRC cybersecurity review. As of the date hereof, we have not received any notice from any PRC governmental authority identifying any of our PRC Subsidiaries as a “critical information infrastructure operator” or “network platform operator” that is engaged in data processing which affects or may affect national security as mentioned above, or requiring us to go through the cybersecurity review or initiating a cybersecurity review against us in such respects.</w:t>
      </w:r>
    </w:p>
    <w:p>
      <w:pPr>
        <w:spacing w:after="0" w:line="130" w:lineRule="exact"/>
        <w:rPr>
          <w:sz w:val="20"/>
          <w:szCs w:val="20"/>
          <w:color w:val="auto"/>
        </w:rPr>
      </w:pPr>
    </w:p>
    <w:p>
      <w:pPr>
        <w:ind w:firstLine="440"/>
        <w:spacing w:after="0" w:line="278" w:lineRule="auto"/>
        <w:rPr>
          <w:sz w:val="20"/>
          <w:szCs w:val="20"/>
          <w:color w:val="auto"/>
        </w:rPr>
      </w:pPr>
      <w:r>
        <w:rPr>
          <w:rFonts w:ascii="Arial" w:cs="Arial" w:eastAsia="Arial" w:hAnsi="Arial"/>
          <w:sz w:val="16"/>
          <w:szCs w:val="16"/>
          <w:color w:val="auto"/>
        </w:rPr>
        <w:t>As advised by our PRC counsel, the abovementioned laws, regulations or the relevant drafts are relatively new and the PRC laws and regulations relating to cybersecurity, information security, data privacy and protection are evolving rapidly, there remains significant uncertainty in the enactment, interpretation and enforcement of such PRC laws, regulations or the relevant drafts, and our PRC Subsidiaries could become subject to enhanced cybersecurity review or non-compliance investigations launched by PRC regulators in the future. Any failure or delay in the completion of the cybersecurity review procedures or any other non-compliance investigations in accordance with the related laws and regulations may result in fines or other penalties, including suspension of business, website closure, and revocation of prerequisite licenses, as well as reputational damage or legal proceedings or actions to our PRC Subsidiaries, which may have material adverse effects on our business, financial condition or results of operations. As of the date hereof, our PRC Subsidiaries have not been involved in any investigations on cybersecurity review initiated by the CAC or related governmental regulatory authorities, and they have not received any inquiry, notice, warning, or sanction in such respect. However, as uncertainties remain regarding the interpretation and implementation of these laws and regulations, we cannot assure you that our PRC Subsidiaries will comply with such regulations in all respects and they may be ordered to rectify or terminate any actions that are deemed illegal by regulatory authorities.</w:t>
      </w:r>
    </w:p>
    <w:p>
      <w:pPr>
        <w:spacing w:after="0" w:line="165" w:lineRule="exact"/>
        <w:rPr>
          <w:sz w:val="20"/>
          <w:szCs w:val="20"/>
          <w:color w:val="auto"/>
        </w:rPr>
      </w:pPr>
    </w:p>
    <w:p>
      <w:pPr>
        <w:ind w:left="440" w:right="3920"/>
        <w:spacing w:after="0" w:line="489" w:lineRule="auto"/>
        <w:rPr>
          <w:sz w:val="20"/>
          <w:szCs w:val="20"/>
          <w:color w:val="auto"/>
        </w:rPr>
      </w:pPr>
      <w:r>
        <w:rPr>
          <w:rFonts w:ascii="Arial" w:cs="Arial" w:eastAsia="Arial" w:hAnsi="Arial"/>
          <w:sz w:val="17"/>
          <w:szCs w:val="17"/>
          <w:b w:val="1"/>
          <w:bCs w:val="1"/>
          <w:color w:val="auto"/>
        </w:rPr>
        <w:t xml:space="preserve">ITEM 2. UNREGISTERED SALES OF EQUITY SECURITIES AND USE OF PROCEEDS </w:t>
      </w:r>
      <w:r>
        <w:rPr>
          <w:rFonts w:ascii="Arial" w:cs="Arial" w:eastAsia="Arial" w:hAnsi="Arial"/>
          <w:sz w:val="17"/>
          <w:szCs w:val="17"/>
          <w:color w:val="auto"/>
        </w:rPr>
        <w:t>None</w:t>
      </w:r>
    </w:p>
    <w:p>
      <w:pPr>
        <w:spacing w:after="0" w:line="200" w:lineRule="exact"/>
        <w:rPr>
          <w:sz w:val="20"/>
          <w:szCs w:val="20"/>
          <w:color w:val="auto"/>
        </w:rPr>
      </w:pPr>
    </w:p>
    <w:p>
      <w:pPr>
        <w:spacing w:after="0" w:line="319" w:lineRule="exact"/>
        <w:rPr>
          <w:sz w:val="20"/>
          <w:szCs w:val="20"/>
          <w:color w:val="auto"/>
        </w:rPr>
      </w:pPr>
    </w:p>
    <w:p>
      <w:pPr>
        <w:jc w:val="center"/>
        <w:ind w:left="4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90" w:lineRule="exact"/>
        <w:rPr>
          <w:sz w:val="20"/>
          <w:szCs w:val="20"/>
          <w:color w:val="auto"/>
        </w:rPr>
      </w:pPr>
    </w:p>
    <w:p>
      <w:pPr>
        <w:jc w:val="right"/>
        <w:ind w:right="419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70485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699"/>
          </w:cols>
          <w:pgMar w:left="760" w:top="1261" w:right="1440" w:bottom="1440" w:gutter="0" w:footer="0" w:header="0"/>
        </w:sectPr>
      </w:pPr>
    </w:p>
    <w:bookmarkStart w:id="65" w:name="page66"/>
    <w:bookmarkEnd w:id="65"/>
    <w:tbl>
      <w:tblPr>
        <w:tblLayout w:type="fixed"/>
        <w:tblInd w:w="440" w:type="dxa"/>
        <w:tblCellMar>
          <w:top w:w="0" w:type="dxa"/>
          <w:left w:w="0" w:type="dxa"/>
          <w:bottom w:w="0" w:type="dxa"/>
          <w:right w:w="0" w:type="dxa"/>
        </w:tblCellMar>
      </w:tblPr>
      <w:tr>
        <w:trPr>
          <w:trHeight w:val="228"/>
        </w:trPr>
        <w:tc>
          <w:tcPr>
            <w:tcW w:w="1640" w:type="dxa"/>
            <w:vAlign w:val="bottom"/>
          </w:tcPr>
          <w:p>
            <w:pPr>
              <w:spacing w:after="0"/>
              <w:rPr>
                <w:sz w:val="20"/>
                <w:szCs w:val="20"/>
                <w:color w:val="auto"/>
              </w:rPr>
            </w:pPr>
            <w:r>
              <w:rPr>
                <w:rFonts w:ascii="Arial" w:cs="Arial" w:eastAsia="Arial" w:hAnsi="Arial"/>
                <w:sz w:val="17"/>
                <w:szCs w:val="17"/>
                <w:b w:val="1"/>
                <w:bCs w:val="1"/>
                <w:color w:val="auto"/>
              </w:rPr>
              <w:t>ITEM 6. EXHIBITS</w:t>
            </w:r>
          </w:p>
        </w:tc>
        <w:tc>
          <w:tcPr>
            <w:tcW w:w="2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8"/>
        </w:trPr>
        <w:tc>
          <w:tcPr>
            <w:tcW w:w="1640" w:type="dxa"/>
            <w:vAlign w:val="bottom"/>
          </w:tcPr>
          <w:p>
            <w:pPr>
              <w:ind w:left="20"/>
              <w:spacing w:after="0"/>
              <w:rPr>
                <w:sz w:val="20"/>
                <w:szCs w:val="20"/>
                <w:color w:val="auto"/>
              </w:rPr>
            </w:pPr>
            <w:r>
              <w:rPr>
                <w:rFonts w:ascii="Arial" w:cs="Arial" w:eastAsia="Arial" w:hAnsi="Arial"/>
                <w:sz w:val="17"/>
                <w:szCs w:val="17"/>
                <w:b w:val="1"/>
                <w:bCs w:val="1"/>
                <w:color w:val="auto"/>
              </w:rPr>
              <w:t>Exhibit No.</w:t>
            </w:r>
          </w:p>
        </w:tc>
        <w:tc>
          <w:tcPr>
            <w:tcW w:w="2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60" w:type="dxa"/>
            <w:vAlign w:val="bottom"/>
            <w:gridSpan w:val="6"/>
          </w:tcPr>
          <w:p>
            <w:pPr>
              <w:ind w:left="2040"/>
              <w:spacing w:after="0"/>
              <w:rPr>
                <w:sz w:val="20"/>
                <w:szCs w:val="20"/>
                <w:color w:val="auto"/>
              </w:rPr>
            </w:pPr>
            <w:r>
              <w:rPr>
                <w:rFonts w:ascii="Arial" w:cs="Arial" w:eastAsia="Arial" w:hAnsi="Arial"/>
                <w:sz w:val="17"/>
                <w:szCs w:val="17"/>
                <w:b w:val="1"/>
                <w:bCs w:val="1"/>
                <w:color w:val="auto"/>
              </w:rPr>
              <w:t>Description</w:t>
            </w:r>
          </w:p>
        </w:tc>
      </w:tr>
      <w:tr>
        <w:trPr>
          <w:trHeight w:val="184"/>
        </w:trPr>
        <w:tc>
          <w:tcPr>
            <w:tcW w:w="1640" w:type="dxa"/>
            <w:vAlign w:val="bottom"/>
          </w:tcPr>
          <w:p>
            <w:pPr>
              <w:ind w:left="20"/>
              <w:spacing w:after="0" w:line="184" w:lineRule="exact"/>
              <w:rPr>
                <w:sz w:val="20"/>
                <w:szCs w:val="20"/>
                <w:color w:val="auto"/>
              </w:rPr>
            </w:pPr>
            <w:r>
              <w:rPr>
                <w:rFonts w:ascii="Arial" w:cs="Arial" w:eastAsia="Arial" w:hAnsi="Arial"/>
                <w:sz w:val="17"/>
                <w:szCs w:val="17"/>
                <w:color w:val="auto"/>
              </w:rPr>
              <w:t>31.1*</w:t>
            </w:r>
          </w:p>
        </w:tc>
        <w:tc>
          <w:tcPr>
            <w:tcW w:w="8680" w:type="dxa"/>
            <w:vAlign w:val="bottom"/>
            <w:gridSpan w:val="8"/>
          </w:tcPr>
          <w:p>
            <w:pPr>
              <w:spacing w:after="0" w:line="184" w:lineRule="exact"/>
              <w:rPr>
                <w:sz w:val="20"/>
                <w:szCs w:val="20"/>
                <w:color w:val="auto"/>
              </w:rPr>
            </w:pPr>
            <w:r>
              <w:rPr>
                <w:rFonts w:ascii="Arial" w:cs="Arial" w:eastAsia="Arial" w:hAnsi="Arial"/>
                <w:sz w:val="17"/>
                <w:szCs w:val="17"/>
                <w:color w:val="0000FF"/>
                <w:w w:val="93"/>
              </w:rPr>
              <w:t>Certification of Principal Executive Officer Pursuant to Securities Exchange Act Rules 13a-14(a) and 15d-14(a), as adopted</w:t>
            </w:r>
          </w:p>
        </w:tc>
      </w:tr>
      <w:tr>
        <w:trPr>
          <w:trHeight w:val="150"/>
        </w:trPr>
        <w:tc>
          <w:tcPr>
            <w:tcW w:w="164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3"/>
          </w:tcPr>
          <w:p>
            <w:pPr>
              <w:spacing w:after="0" w:line="150" w:lineRule="exact"/>
              <w:rPr>
                <w:sz w:val="20"/>
                <w:szCs w:val="20"/>
                <w:color w:val="auto"/>
              </w:rPr>
            </w:pPr>
            <w:r>
              <w:rPr>
                <w:rFonts w:ascii="Arial" w:cs="Arial" w:eastAsia="Arial" w:hAnsi="Arial"/>
                <w:sz w:val="17"/>
                <w:szCs w:val="17"/>
                <w:color w:val="0000FF"/>
                <w:w w:val="92"/>
              </w:rPr>
              <w:t>Pursuant to Section 302 of the Sarbanes-Oxley Act of 2002</w:t>
            </w:r>
          </w:p>
        </w:tc>
        <w:tc>
          <w:tcPr>
            <w:tcW w:w="45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1640" w:type="dxa"/>
            <w:vAlign w:val="bottom"/>
          </w:tcPr>
          <w:p>
            <w:pPr>
              <w:ind w:left="20"/>
              <w:spacing w:after="0"/>
              <w:rPr>
                <w:sz w:val="20"/>
                <w:szCs w:val="20"/>
                <w:color w:val="auto"/>
              </w:rPr>
            </w:pPr>
            <w:r>
              <w:rPr>
                <w:rFonts w:ascii="Arial" w:cs="Arial" w:eastAsia="Arial" w:hAnsi="Arial"/>
                <w:sz w:val="17"/>
                <w:szCs w:val="17"/>
                <w:color w:val="auto"/>
              </w:rPr>
              <w:t>31.2*</w:t>
            </w:r>
          </w:p>
        </w:tc>
        <w:tc>
          <w:tcPr>
            <w:tcW w:w="8680" w:type="dxa"/>
            <w:vAlign w:val="bottom"/>
            <w:gridSpan w:val="8"/>
          </w:tcPr>
          <w:p>
            <w:pPr>
              <w:spacing w:after="0"/>
              <w:rPr>
                <w:sz w:val="20"/>
                <w:szCs w:val="20"/>
                <w:color w:val="auto"/>
              </w:rPr>
            </w:pPr>
            <w:r>
              <w:rPr>
                <w:rFonts w:ascii="Arial" w:cs="Arial" w:eastAsia="Arial" w:hAnsi="Arial"/>
                <w:sz w:val="17"/>
                <w:szCs w:val="17"/>
                <w:color w:val="0000FF"/>
                <w:w w:val="94"/>
              </w:rPr>
              <w:t>Certification of Principal Financial Officer Pursuant to Securities Exchange Act Rules 13a-14(a) and 15d-14(a), as adopted</w:t>
            </w:r>
          </w:p>
        </w:tc>
      </w:tr>
      <w:tr>
        <w:trPr>
          <w:trHeight w:val="150"/>
        </w:trPr>
        <w:tc>
          <w:tcPr>
            <w:tcW w:w="1640" w:type="dxa"/>
            <w:vAlign w:val="bottom"/>
          </w:tcPr>
          <w:p>
            <w:pPr>
              <w:spacing w:after="0"/>
              <w:rPr>
                <w:sz w:val="13"/>
                <w:szCs w:val="13"/>
                <w:color w:val="auto"/>
              </w:rPr>
            </w:pPr>
          </w:p>
        </w:tc>
        <w:tc>
          <w:tcPr>
            <w:tcW w:w="4160" w:type="dxa"/>
            <w:vAlign w:val="bottom"/>
            <w:tcBorders>
              <w:top w:val="single" w:sz="8" w:color="0000FF"/>
              <w:bottom w:val="single" w:sz="8" w:color="0000FF"/>
            </w:tcBorders>
            <w:gridSpan w:val="3"/>
          </w:tcPr>
          <w:p>
            <w:pPr>
              <w:spacing w:after="0" w:line="150" w:lineRule="exact"/>
              <w:rPr>
                <w:sz w:val="20"/>
                <w:szCs w:val="20"/>
                <w:color w:val="auto"/>
              </w:rPr>
            </w:pPr>
            <w:r>
              <w:rPr>
                <w:rFonts w:ascii="Arial" w:cs="Arial" w:eastAsia="Arial" w:hAnsi="Arial"/>
                <w:sz w:val="17"/>
                <w:szCs w:val="17"/>
                <w:color w:val="0000FF"/>
                <w:w w:val="92"/>
              </w:rPr>
              <w:t>Pursuant to Section 302 of the Sarbanes-Oxley Act of 2002</w:t>
            </w:r>
          </w:p>
        </w:tc>
        <w:tc>
          <w:tcPr>
            <w:tcW w:w="4440" w:type="dxa"/>
            <w:vAlign w:val="bottom"/>
            <w:tcBorders>
              <w:top w:val="single" w:sz="8" w:color="0000FF"/>
            </w:tcBorders>
            <w:gridSpan w:val="3"/>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16"/>
        </w:trPr>
        <w:tc>
          <w:tcPr>
            <w:tcW w:w="1640" w:type="dxa"/>
            <w:vAlign w:val="bottom"/>
          </w:tcPr>
          <w:p>
            <w:pPr>
              <w:ind w:left="20"/>
              <w:spacing w:after="0"/>
              <w:rPr>
                <w:sz w:val="20"/>
                <w:szCs w:val="20"/>
                <w:color w:val="auto"/>
              </w:rPr>
            </w:pPr>
            <w:r>
              <w:rPr>
                <w:rFonts w:ascii="Arial" w:cs="Arial" w:eastAsia="Arial" w:hAnsi="Arial"/>
                <w:sz w:val="17"/>
                <w:szCs w:val="17"/>
                <w:color w:val="auto"/>
              </w:rPr>
              <w:t>32.1**</w:t>
            </w:r>
          </w:p>
        </w:tc>
        <w:tc>
          <w:tcPr>
            <w:tcW w:w="8680" w:type="dxa"/>
            <w:vAlign w:val="bottom"/>
            <w:gridSpan w:val="8"/>
          </w:tcPr>
          <w:p>
            <w:pPr>
              <w:spacing w:after="0"/>
              <w:rPr>
                <w:sz w:val="20"/>
                <w:szCs w:val="20"/>
                <w:color w:val="auto"/>
              </w:rPr>
            </w:pPr>
            <w:r>
              <w:rPr>
                <w:rFonts w:ascii="Arial" w:cs="Arial" w:eastAsia="Arial" w:hAnsi="Arial"/>
                <w:sz w:val="17"/>
                <w:szCs w:val="17"/>
                <w:color w:val="0000FF"/>
                <w:w w:val="94"/>
              </w:rPr>
              <w:t>Certification of Principal Executive Officer Pursuant to 18 U.S.C. Section 1350, as adopted Pursuant to Section 906 of the</w:t>
            </w:r>
          </w:p>
        </w:tc>
      </w:tr>
      <w:tr>
        <w:trPr>
          <w:trHeight w:val="150"/>
        </w:trPr>
        <w:tc>
          <w:tcPr>
            <w:tcW w:w="164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2"/>
          </w:tcPr>
          <w:p>
            <w:pPr>
              <w:spacing w:after="0" w:line="150" w:lineRule="exact"/>
              <w:rPr>
                <w:sz w:val="20"/>
                <w:szCs w:val="20"/>
                <w:color w:val="auto"/>
              </w:rPr>
            </w:pPr>
            <w:r>
              <w:rPr>
                <w:rFonts w:ascii="Arial" w:cs="Arial" w:eastAsia="Arial" w:hAnsi="Arial"/>
                <w:sz w:val="17"/>
                <w:szCs w:val="17"/>
                <w:color w:val="0000FF"/>
                <w:w w:val="94"/>
              </w:rPr>
              <w:t>Sarbanes-Oxley Act of 2002</w:t>
            </w:r>
          </w:p>
        </w:tc>
        <w:tc>
          <w:tcPr>
            <w:tcW w:w="6520" w:type="dxa"/>
            <w:vAlign w:val="bottom"/>
            <w:tcBorders>
              <w:top w:val="single" w:sz="8" w:color="0000FF"/>
            </w:tcBorders>
            <w:gridSpan w:val="3"/>
          </w:tcPr>
          <w:p>
            <w:pPr>
              <w:spacing w:after="0"/>
              <w:rPr>
                <w:sz w:val="13"/>
                <w:szCs w:val="13"/>
                <w:color w:val="auto"/>
              </w:rPr>
            </w:pPr>
          </w:p>
        </w:tc>
        <w:tc>
          <w:tcPr>
            <w:tcW w:w="140" w:type="dxa"/>
            <w:vAlign w:val="bottom"/>
            <w:gridSpan w:val="3"/>
          </w:tcPr>
          <w:p>
            <w:pPr>
              <w:spacing w:after="0"/>
              <w:rPr>
                <w:sz w:val="13"/>
                <w:szCs w:val="13"/>
                <w:color w:val="auto"/>
              </w:rPr>
            </w:pPr>
          </w:p>
        </w:tc>
      </w:tr>
      <w:tr>
        <w:trPr>
          <w:trHeight w:val="216"/>
        </w:trPr>
        <w:tc>
          <w:tcPr>
            <w:tcW w:w="1640" w:type="dxa"/>
            <w:vAlign w:val="bottom"/>
          </w:tcPr>
          <w:p>
            <w:pPr>
              <w:ind w:left="20"/>
              <w:spacing w:after="0"/>
              <w:rPr>
                <w:sz w:val="20"/>
                <w:szCs w:val="20"/>
                <w:color w:val="auto"/>
              </w:rPr>
            </w:pPr>
            <w:r>
              <w:rPr>
                <w:rFonts w:ascii="Arial" w:cs="Arial" w:eastAsia="Arial" w:hAnsi="Arial"/>
                <w:sz w:val="17"/>
                <w:szCs w:val="17"/>
                <w:color w:val="auto"/>
              </w:rPr>
              <w:t>32.2**</w:t>
            </w:r>
          </w:p>
        </w:tc>
        <w:tc>
          <w:tcPr>
            <w:tcW w:w="8680" w:type="dxa"/>
            <w:vAlign w:val="bottom"/>
            <w:gridSpan w:val="8"/>
          </w:tcPr>
          <w:p>
            <w:pPr>
              <w:spacing w:after="0"/>
              <w:rPr>
                <w:sz w:val="20"/>
                <w:szCs w:val="20"/>
                <w:color w:val="auto"/>
              </w:rPr>
            </w:pPr>
            <w:r>
              <w:rPr>
                <w:rFonts w:ascii="Arial" w:cs="Arial" w:eastAsia="Arial" w:hAnsi="Arial"/>
                <w:sz w:val="17"/>
                <w:szCs w:val="17"/>
                <w:color w:val="0000FF"/>
                <w:w w:val="95"/>
              </w:rPr>
              <w:t>Certification of Principal Financial Officer Pursuant to 18 U.S.C. Section 1350, as adopted Pursuant to Section 906 of the</w:t>
            </w:r>
          </w:p>
        </w:tc>
      </w:tr>
      <w:tr>
        <w:trPr>
          <w:trHeight w:val="150"/>
        </w:trPr>
        <w:tc>
          <w:tcPr>
            <w:tcW w:w="1640" w:type="dxa"/>
            <w:vAlign w:val="bottom"/>
          </w:tcPr>
          <w:p>
            <w:pPr>
              <w:spacing w:after="0"/>
              <w:rPr>
                <w:sz w:val="13"/>
                <w:szCs w:val="13"/>
                <w:color w:val="auto"/>
              </w:rPr>
            </w:pPr>
          </w:p>
        </w:tc>
        <w:tc>
          <w:tcPr>
            <w:tcW w:w="2000" w:type="dxa"/>
            <w:vAlign w:val="bottom"/>
            <w:tcBorders>
              <w:top w:val="single" w:sz="8" w:color="0000FF"/>
              <w:bottom w:val="single" w:sz="8" w:color="0000FF"/>
            </w:tcBorders>
          </w:tcPr>
          <w:p>
            <w:pPr>
              <w:spacing w:after="0" w:line="150" w:lineRule="exact"/>
              <w:rPr>
                <w:sz w:val="20"/>
                <w:szCs w:val="20"/>
                <w:color w:val="auto"/>
              </w:rPr>
            </w:pPr>
            <w:r>
              <w:rPr>
                <w:rFonts w:ascii="Arial" w:cs="Arial" w:eastAsia="Arial" w:hAnsi="Arial"/>
                <w:sz w:val="17"/>
                <w:szCs w:val="17"/>
                <w:color w:val="0000FF"/>
                <w:w w:val="93"/>
              </w:rPr>
              <w:t>Sarbanes-Oxley Act of 2002</w:t>
            </w:r>
          </w:p>
        </w:tc>
        <w:tc>
          <w:tcPr>
            <w:tcW w:w="6500" w:type="dxa"/>
            <w:vAlign w:val="bottom"/>
            <w:tcBorders>
              <w:top w:val="single" w:sz="8" w:color="0000FF"/>
            </w:tcBorders>
            <w:gridSpan w:val="3"/>
          </w:tcPr>
          <w:p>
            <w:pPr>
              <w:spacing w:after="0"/>
              <w:rPr>
                <w:sz w:val="13"/>
                <w:szCs w:val="13"/>
                <w:color w:val="auto"/>
              </w:rPr>
            </w:pPr>
          </w:p>
        </w:tc>
        <w:tc>
          <w:tcPr>
            <w:tcW w:w="180" w:type="dxa"/>
            <w:vAlign w:val="bottom"/>
            <w:gridSpan w:val="4"/>
          </w:tcPr>
          <w:p>
            <w:pPr>
              <w:spacing w:after="0"/>
              <w:rPr>
                <w:sz w:val="13"/>
                <w:szCs w:val="13"/>
                <w:color w:val="auto"/>
              </w:rPr>
            </w:pPr>
          </w:p>
        </w:tc>
      </w:tr>
      <w:tr>
        <w:trPr>
          <w:trHeight w:val="203"/>
        </w:trPr>
        <w:tc>
          <w:tcPr>
            <w:tcW w:w="1640" w:type="dxa"/>
            <w:vAlign w:val="bottom"/>
          </w:tcPr>
          <w:p>
            <w:pPr>
              <w:ind w:left="20"/>
              <w:spacing w:after="0"/>
              <w:rPr>
                <w:sz w:val="20"/>
                <w:szCs w:val="20"/>
                <w:color w:val="auto"/>
              </w:rPr>
            </w:pPr>
            <w:r>
              <w:rPr>
                <w:rFonts w:ascii="Arial" w:cs="Arial" w:eastAsia="Arial" w:hAnsi="Arial"/>
                <w:sz w:val="17"/>
                <w:szCs w:val="17"/>
                <w:color w:val="auto"/>
              </w:rPr>
              <w:t>101</w:t>
            </w:r>
          </w:p>
        </w:tc>
        <w:tc>
          <w:tcPr>
            <w:tcW w:w="8680" w:type="dxa"/>
            <w:vAlign w:val="bottom"/>
            <w:gridSpan w:val="8"/>
          </w:tcPr>
          <w:p>
            <w:pPr>
              <w:spacing w:after="0"/>
              <w:rPr>
                <w:sz w:val="20"/>
                <w:szCs w:val="20"/>
                <w:color w:val="auto"/>
              </w:rPr>
            </w:pPr>
            <w:r>
              <w:rPr>
                <w:rFonts w:ascii="Arial" w:cs="Arial" w:eastAsia="Arial" w:hAnsi="Arial"/>
                <w:sz w:val="17"/>
                <w:szCs w:val="17"/>
                <w:color w:val="auto"/>
                <w:w w:val="96"/>
              </w:rPr>
              <w:t>Inline XBRL Document Set for the condensed consolidated financial statements and accompanying notes to condensed</w:t>
            </w:r>
          </w:p>
        </w:tc>
      </w:tr>
      <w:tr>
        <w:trPr>
          <w:trHeight w:val="222"/>
        </w:trPr>
        <w:tc>
          <w:tcPr>
            <w:tcW w:w="1640" w:type="dxa"/>
            <w:vAlign w:val="bottom"/>
          </w:tcPr>
          <w:p>
            <w:pPr>
              <w:spacing w:after="0"/>
              <w:rPr>
                <w:sz w:val="19"/>
                <w:szCs w:val="19"/>
                <w:color w:val="auto"/>
              </w:rPr>
            </w:pPr>
          </w:p>
        </w:tc>
        <w:tc>
          <w:tcPr>
            <w:tcW w:w="8680" w:type="dxa"/>
            <w:vAlign w:val="bottom"/>
            <w:gridSpan w:val="8"/>
          </w:tcPr>
          <w:p>
            <w:pPr>
              <w:spacing w:after="0"/>
              <w:rPr>
                <w:sz w:val="20"/>
                <w:szCs w:val="20"/>
                <w:color w:val="auto"/>
              </w:rPr>
            </w:pPr>
            <w:r>
              <w:rPr>
                <w:rFonts w:ascii="Arial" w:cs="Arial" w:eastAsia="Arial" w:hAnsi="Arial"/>
                <w:sz w:val="17"/>
                <w:szCs w:val="17"/>
                <w:color w:val="auto"/>
              </w:rPr>
              <w:t>consolidated financial statements</w:t>
            </w:r>
          </w:p>
        </w:tc>
      </w:tr>
      <w:tr>
        <w:trPr>
          <w:trHeight w:val="236"/>
        </w:trPr>
        <w:tc>
          <w:tcPr>
            <w:tcW w:w="1640" w:type="dxa"/>
            <w:vAlign w:val="bottom"/>
          </w:tcPr>
          <w:p>
            <w:pPr>
              <w:ind w:left="20"/>
              <w:spacing w:after="0"/>
              <w:rPr>
                <w:sz w:val="20"/>
                <w:szCs w:val="20"/>
                <w:color w:val="auto"/>
              </w:rPr>
            </w:pPr>
            <w:r>
              <w:rPr>
                <w:rFonts w:ascii="Arial" w:cs="Arial" w:eastAsia="Arial" w:hAnsi="Arial"/>
                <w:sz w:val="17"/>
                <w:szCs w:val="17"/>
                <w:color w:val="auto"/>
              </w:rPr>
              <w:t>104</w:t>
            </w:r>
          </w:p>
        </w:tc>
        <w:tc>
          <w:tcPr>
            <w:tcW w:w="8680" w:type="dxa"/>
            <w:vAlign w:val="bottom"/>
            <w:gridSpan w:val="8"/>
          </w:tcPr>
          <w:p>
            <w:pPr>
              <w:spacing w:after="0"/>
              <w:rPr>
                <w:sz w:val="20"/>
                <w:szCs w:val="20"/>
                <w:color w:val="auto"/>
              </w:rPr>
            </w:pPr>
            <w:r>
              <w:rPr>
                <w:rFonts w:ascii="Arial" w:cs="Arial" w:eastAsia="Arial" w:hAnsi="Arial"/>
                <w:sz w:val="17"/>
                <w:szCs w:val="17"/>
                <w:color w:val="auto"/>
              </w:rPr>
              <w:t>Cover Page Interactive Data File - formatted in Inline XBRL and included in Exhibit 101</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Furnished herewith.</w:t>
      </w:r>
    </w:p>
    <w:p>
      <w:pPr>
        <w:spacing w:after="0" w:line="264"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40"/>
          </w:cols>
          <w:pgMar w:left="320" w:top="868" w:right="839" w:bottom="1440" w:gutter="0" w:footer="0" w:header="0"/>
        </w:sectPr>
      </w:pPr>
    </w:p>
    <w:bookmarkStart w:id="66" w:name="page67"/>
    <w:bookmarkEnd w:id="66"/>
    <w:p>
      <w:pPr>
        <w:ind w:left="5060"/>
        <w:spacing w:after="0"/>
        <w:rPr>
          <w:sz w:val="20"/>
          <w:szCs w:val="20"/>
          <w:color w:val="auto"/>
        </w:rPr>
      </w:pPr>
      <w:r>
        <w:rPr>
          <w:rFonts w:ascii="Arial" w:cs="Arial" w:eastAsia="Arial" w:hAnsi="Arial"/>
          <w:sz w:val="17"/>
          <w:szCs w:val="17"/>
          <w:b w:val="1"/>
          <w:bCs w:val="1"/>
          <w:color w:val="auto"/>
        </w:rPr>
        <w:t>SIGNATURES</w:t>
      </w:r>
    </w:p>
    <w:p>
      <w:pPr>
        <w:spacing w:after="0" w:line="200" w:lineRule="exact"/>
        <w:rPr>
          <w:sz w:val="20"/>
          <w:szCs w:val="20"/>
          <w:color w:val="auto"/>
        </w:rPr>
      </w:pPr>
    </w:p>
    <w:p>
      <w:pPr>
        <w:spacing w:after="0" w:line="292" w:lineRule="exact"/>
        <w:rPr>
          <w:sz w:val="20"/>
          <w:szCs w:val="20"/>
          <w:color w:val="auto"/>
        </w:rPr>
      </w:pPr>
    </w:p>
    <w:p>
      <w:pPr>
        <w:ind w:firstLine="629"/>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440" w:type="dxa"/>
        <w:tblCellMar>
          <w:top w:w="0" w:type="dxa"/>
          <w:left w:w="0" w:type="dxa"/>
          <w:bottom w:w="0" w:type="dxa"/>
          <w:right w:w="0" w:type="dxa"/>
        </w:tblCellMar>
      </w:tblPr>
      <w:tr>
        <w:trPr>
          <w:trHeight w:val="228"/>
        </w:trPr>
        <w:tc>
          <w:tcPr>
            <w:tcW w:w="4720" w:type="dxa"/>
            <w:vAlign w:val="bottom"/>
          </w:tcPr>
          <w:p>
            <w:pPr>
              <w:ind w:left="1100"/>
              <w:spacing w:after="0"/>
              <w:rPr>
                <w:sz w:val="20"/>
                <w:szCs w:val="20"/>
                <w:color w:val="auto"/>
              </w:rPr>
            </w:pPr>
            <w:r>
              <w:rPr>
                <w:rFonts w:ascii="Arial" w:cs="Arial" w:eastAsia="Arial" w:hAnsi="Arial"/>
                <w:sz w:val="17"/>
                <w:szCs w:val="17"/>
                <w:b w:val="1"/>
                <w:bCs w:val="1"/>
                <w:color w:val="auto"/>
              </w:rPr>
              <w:t>Faraday Future Intelligent Electric Inc.</w:t>
            </w:r>
          </w:p>
        </w:tc>
        <w:tc>
          <w:tcPr>
            <w:tcW w:w="2700" w:type="dxa"/>
            <w:vAlign w:val="bottom"/>
          </w:tcPr>
          <w:p>
            <w:pPr>
              <w:spacing w:after="0"/>
              <w:rPr>
                <w:sz w:val="19"/>
                <w:szCs w:val="19"/>
                <w:color w:val="auto"/>
              </w:rPr>
            </w:pPr>
          </w:p>
        </w:tc>
      </w:tr>
      <w:tr>
        <w:trPr>
          <w:trHeight w:val="707"/>
        </w:trPr>
        <w:tc>
          <w:tcPr>
            <w:tcW w:w="4720" w:type="dxa"/>
            <w:vAlign w:val="bottom"/>
          </w:tcPr>
          <w:p>
            <w:pPr>
              <w:spacing w:after="0"/>
              <w:rPr>
                <w:sz w:val="20"/>
                <w:szCs w:val="20"/>
                <w:color w:val="auto"/>
              </w:rPr>
            </w:pPr>
            <w:r>
              <w:rPr>
                <w:rFonts w:ascii="Arial" w:cs="Arial" w:eastAsia="Arial" w:hAnsi="Arial"/>
                <w:sz w:val="17"/>
                <w:szCs w:val="17"/>
                <w:color w:val="auto"/>
              </w:rPr>
              <w:t>Date: August 15, 2022</w:t>
            </w:r>
          </w:p>
        </w:tc>
        <w:tc>
          <w:tcPr>
            <w:tcW w:w="2700" w:type="dxa"/>
            <w:vAlign w:val="bottom"/>
          </w:tcPr>
          <w:p>
            <w:pPr>
              <w:spacing w:after="0"/>
              <w:rPr>
                <w:sz w:val="24"/>
                <w:szCs w:val="24"/>
                <w:color w:val="auto"/>
              </w:rPr>
            </w:pPr>
          </w:p>
        </w:tc>
      </w:tr>
      <w:tr>
        <w:trPr>
          <w:trHeight w:val="380"/>
        </w:trPr>
        <w:tc>
          <w:tcPr>
            <w:tcW w:w="4720" w:type="dxa"/>
            <w:vAlign w:val="bottom"/>
          </w:tcPr>
          <w:p>
            <w:pPr>
              <w:ind w:left="3980"/>
              <w:spacing w:after="0"/>
              <w:rPr>
                <w:sz w:val="20"/>
                <w:szCs w:val="20"/>
                <w:color w:val="auto"/>
              </w:rPr>
            </w:pPr>
            <w:r>
              <w:rPr>
                <w:rFonts w:ascii="Arial" w:cs="Arial" w:eastAsia="Arial" w:hAnsi="Arial"/>
                <w:sz w:val="17"/>
                <w:szCs w:val="17"/>
                <w:color w:val="auto"/>
              </w:rPr>
              <w:t>By:</w:t>
            </w:r>
          </w:p>
        </w:tc>
        <w:tc>
          <w:tcPr>
            <w:tcW w:w="2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Carsten Breitfeld</w:t>
            </w:r>
          </w:p>
        </w:tc>
      </w:tr>
      <w:tr>
        <w:trPr>
          <w:trHeight w:val="216"/>
        </w:trPr>
        <w:tc>
          <w:tcPr>
            <w:tcW w:w="4720" w:type="dxa"/>
            <w:vAlign w:val="bottom"/>
          </w:tcPr>
          <w:p>
            <w:pPr>
              <w:ind w:left="3980"/>
              <w:spacing w:after="0"/>
              <w:rPr>
                <w:sz w:val="20"/>
                <w:szCs w:val="20"/>
                <w:color w:val="auto"/>
              </w:rPr>
            </w:pPr>
            <w:r>
              <w:rPr>
                <w:rFonts w:ascii="Arial" w:cs="Arial" w:eastAsia="Arial" w:hAnsi="Arial"/>
                <w:sz w:val="17"/>
                <w:szCs w:val="17"/>
                <w:color w:val="auto"/>
              </w:rPr>
              <w:t>Name:</w:t>
            </w:r>
          </w:p>
        </w:tc>
        <w:tc>
          <w:tcPr>
            <w:tcW w:w="2700" w:type="dxa"/>
            <w:vAlign w:val="bottom"/>
          </w:tcPr>
          <w:p>
            <w:pPr>
              <w:spacing w:after="0"/>
              <w:rPr>
                <w:sz w:val="20"/>
                <w:szCs w:val="20"/>
                <w:color w:val="auto"/>
              </w:rPr>
            </w:pPr>
            <w:r>
              <w:rPr>
                <w:rFonts w:ascii="Arial" w:cs="Arial" w:eastAsia="Arial" w:hAnsi="Arial"/>
                <w:sz w:val="17"/>
                <w:szCs w:val="17"/>
                <w:color w:val="auto"/>
              </w:rPr>
              <w:t>Carsten Breitfeld</w:t>
            </w:r>
          </w:p>
        </w:tc>
      </w:tr>
      <w:tr>
        <w:trPr>
          <w:trHeight w:val="223"/>
        </w:trPr>
        <w:tc>
          <w:tcPr>
            <w:tcW w:w="4720" w:type="dxa"/>
            <w:vAlign w:val="bottom"/>
          </w:tcPr>
          <w:p>
            <w:pPr>
              <w:ind w:left="3980"/>
              <w:spacing w:after="0"/>
              <w:rPr>
                <w:sz w:val="20"/>
                <w:szCs w:val="20"/>
                <w:color w:val="auto"/>
              </w:rPr>
            </w:pPr>
            <w:r>
              <w:rPr>
                <w:rFonts w:ascii="Arial" w:cs="Arial" w:eastAsia="Arial" w:hAnsi="Arial"/>
                <w:sz w:val="17"/>
                <w:szCs w:val="17"/>
                <w:color w:val="auto"/>
              </w:rPr>
              <w:t>Title:</w:t>
            </w:r>
          </w:p>
        </w:tc>
        <w:tc>
          <w:tcPr>
            <w:tcW w:w="2700" w:type="dxa"/>
            <w:vAlign w:val="bottom"/>
          </w:tcPr>
          <w:p>
            <w:pPr>
              <w:spacing w:after="0"/>
              <w:rPr>
                <w:sz w:val="20"/>
                <w:szCs w:val="20"/>
                <w:color w:val="auto"/>
              </w:rPr>
            </w:pPr>
            <w:r>
              <w:rPr>
                <w:rFonts w:ascii="Arial" w:cs="Arial" w:eastAsia="Arial" w:hAnsi="Arial"/>
                <w:sz w:val="17"/>
                <w:szCs w:val="17"/>
                <w:color w:val="auto"/>
              </w:rPr>
              <w:t>Global Chief Executive Officer</w:t>
            </w:r>
          </w:p>
        </w:tc>
      </w:tr>
      <w:tr>
        <w:trPr>
          <w:trHeight w:val="223"/>
        </w:trPr>
        <w:tc>
          <w:tcPr>
            <w:tcW w:w="47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(Principal Executive Officer)</w:t>
            </w:r>
          </w:p>
        </w:tc>
      </w:tr>
      <w:tr>
        <w:trPr>
          <w:trHeight w:val="485"/>
        </w:trPr>
        <w:tc>
          <w:tcPr>
            <w:tcW w:w="4720" w:type="dxa"/>
            <w:vAlign w:val="bottom"/>
          </w:tcPr>
          <w:p>
            <w:pPr>
              <w:ind w:left="3980"/>
              <w:spacing w:after="0"/>
              <w:rPr>
                <w:sz w:val="20"/>
                <w:szCs w:val="20"/>
                <w:color w:val="auto"/>
              </w:rPr>
            </w:pPr>
            <w:r>
              <w:rPr>
                <w:rFonts w:ascii="Arial" w:cs="Arial" w:eastAsia="Arial" w:hAnsi="Arial"/>
                <w:sz w:val="17"/>
                <w:szCs w:val="17"/>
                <w:color w:val="auto"/>
              </w:rPr>
              <w:t>By:</w:t>
            </w:r>
          </w:p>
        </w:tc>
        <w:tc>
          <w:tcPr>
            <w:tcW w:w="2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Becky Roof</w:t>
            </w:r>
          </w:p>
        </w:tc>
      </w:tr>
      <w:tr>
        <w:trPr>
          <w:trHeight w:val="216"/>
        </w:trPr>
        <w:tc>
          <w:tcPr>
            <w:tcW w:w="4720" w:type="dxa"/>
            <w:vAlign w:val="bottom"/>
          </w:tcPr>
          <w:p>
            <w:pPr>
              <w:ind w:left="3980"/>
              <w:spacing w:after="0"/>
              <w:rPr>
                <w:sz w:val="20"/>
                <w:szCs w:val="20"/>
                <w:color w:val="auto"/>
              </w:rPr>
            </w:pPr>
            <w:r>
              <w:rPr>
                <w:rFonts w:ascii="Arial" w:cs="Arial" w:eastAsia="Arial" w:hAnsi="Arial"/>
                <w:sz w:val="17"/>
                <w:szCs w:val="17"/>
                <w:color w:val="auto"/>
              </w:rPr>
              <w:t>Name:</w:t>
            </w:r>
          </w:p>
        </w:tc>
        <w:tc>
          <w:tcPr>
            <w:tcW w:w="2700" w:type="dxa"/>
            <w:vAlign w:val="bottom"/>
          </w:tcPr>
          <w:p>
            <w:pPr>
              <w:spacing w:after="0"/>
              <w:rPr>
                <w:sz w:val="20"/>
                <w:szCs w:val="20"/>
                <w:color w:val="auto"/>
              </w:rPr>
            </w:pPr>
            <w:r>
              <w:rPr>
                <w:rFonts w:ascii="Arial" w:cs="Arial" w:eastAsia="Arial" w:hAnsi="Arial"/>
                <w:sz w:val="17"/>
                <w:szCs w:val="17"/>
                <w:color w:val="auto"/>
              </w:rPr>
              <w:t>Becky Roof</w:t>
            </w:r>
          </w:p>
        </w:tc>
      </w:tr>
      <w:tr>
        <w:trPr>
          <w:trHeight w:val="223"/>
        </w:trPr>
        <w:tc>
          <w:tcPr>
            <w:tcW w:w="4720" w:type="dxa"/>
            <w:vAlign w:val="bottom"/>
          </w:tcPr>
          <w:p>
            <w:pPr>
              <w:ind w:left="3980"/>
              <w:spacing w:after="0"/>
              <w:rPr>
                <w:sz w:val="20"/>
                <w:szCs w:val="20"/>
                <w:color w:val="auto"/>
              </w:rPr>
            </w:pPr>
            <w:r>
              <w:rPr>
                <w:rFonts w:ascii="Arial" w:cs="Arial" w:eastAsia="Arial" w:hAnsi="Arial"/>
                <w:sz w:val="17"/>
                <w:szCs w:val="17"/>
                <w:color w:val="auto"/>
              </w:rPr>
              <w:t>Title:</w:t>
            </w:r>
          </w:p>
        </w:tc>
        <w:tc>
          <w:tcPr>
            <w:tcW w:w="2700" w:type="dxa"/>
            <w:vAlign w:val="bottom"/>
          </w:tcPr>
          <w:p>
            <w:pPr>
              <w:spacing w:after="0"/>
              <w:rPr>
                <w:sz w:val="20"/>
                <w:szCs w:val="20"/>
                <w:color w:val="auto"/>
              </w:rPr>
            </w:pPr>
            <w:r>
              <w:rPr>
                <w:rFonts w:ascii="Arial" w:cs="Arial" w:eastAsia="Arial" w:hAnsi="Arial"/>
                <w:sz w:val="17"/>
                <w:szCs w:val="17"/>
                <w:color w:val="auto"/>
              </w:rPr>
              <w:t>Interim Chief Financial Officer</w:t>
            </w:r>
          </w:p>
        </w:tc>
      </w:tr>
      <w:tr>
        <w:trPr>
          <w:trHeight w:val="184"/>
        </w:trPr>
        <w:tc>
          <w:tcPr>
            <w:tcW w:w="4720" w:type="dxa"/>
            <w:vAlign w:val="bottom"/>
          </w:tcPr>
          <w:p>
            <w:pPr>
              <w:spacing w:after="0"/>
              <w:rPr>
                <w:sz w:val="16"/>
                <w:szCs w:val="16"/>
                <w:color w:val="auto"/>
              </w:rPr>
            </w:pPr>
          </w:p>
        </w:tc>
        <w:tc>
          <w:tcPr>
            <w:tcW w:w="2700" w:type="dxa"/>
            <w:vAlign w:val="bottom"/>
          </w:tcPr>
          <w:p>
            <w:pPr>
              <w:spacing w:after="0" w:line="185" w:lineRule="exact"/>
              <w:rPr>
                <w:sz w:val="20"/>
                <w:szCs w:val="20"/>
                <w:color w:val="auto"/>
              </w:rPr>
            </w:pPr>
            <w:r>
              <w:rPr>
                <w:rFonts w:ascii="Arial" w:cs="Arial" w:eastAsia="Arial" w:hAnsi="Arial"/>
                <w:sz w:val="17"/>
                <w:szCs w:val="17"/>
                <w:color w:val="auto"/>
              </w:rPr>
              <w:t>(Principal Accounting and Financial</w:t>
            </w:r>
          </w:p>
        </w:tc>
      </w:tr>
      <w:tr>
        <w:trPr>
          <w:trHeight w:val="222"/>
        </w:trPr>
        <w:tc>
          <w:tcPr>
            <w:tcW w:w="47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7"/>
                <w:szCs w:val="17"/>
                <w:color w:val="auto"/>
              </w:rPr>
              <w:t>Officer)</w:t>
            </w:r>
          </w:p>
        </w:tc>
      </w:tr>
      <w:tr>
        <w:trPr>
          <w:trHeight w:val="878"/>
        </w:trPr>
        <w:tc>
          <w:tcPr>
            <w:tcW w:w="4720" w:type="dxa"/>
            <w:vAlign w:val="bottom"/>
          </w:tcPr>
          <w:p>
            <w:pPr>
              <w:spacing w:after="0"/>
              <w:rPr>
                <w:sz w:val="24"/>
                <w:szCs w:val="24"/>
                <w:color w:val="auto"/>
              </w:rPr>
            </w:pPr>
          </w:p>
        </w:tc>
        <w:tc>
          <w:tcPr>
            <w:tcW w:w="2700" w:type="dxa"/>
            <w:vAlign w:val="bottom"/>
          </w:tcPr>
          <w:p>
            <w:pPr>
              <w:ind w:left="600"/>
              <w:spacing w:after="0"/>
              <w:rPr>
                <w:sz w:val="20"/>
                <w:szCs w:val="20"/>
                <w:color w:val="auto"/>
              </w:rPr>
            </w:pPr>
            <w:r>
              <w:rPr>
                <w:rFonts w:ascii="Arial" w:cs="Arial" w:eastAsia="Arial" w:hAnsi="Arial"/>
                <w:sz w:val="17"/>
                <w:szCs w:val="17"/>
                <w:color w:val="auto"/>
              </w:rPr>
              <w:t>66</w:t>
            </w:r>
          </w:p>
        </w:tc>
      </w:tr>
    </w:tbl>
    <w:p>
      <w:pPr>
        <w:sectPr>
          <w:pgSz w:w="11900" w:h="16838" w:orient="portrait"/>
          <w:cols w:equalWidth="0" w:num="1">
            <w:col w:w="10600"/>
          </w:cols>
          <w:pgMar w:left="320" w:top="1051" w:right="97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Exhibit 31.1</w:t>
      </w:r>
    </w:p>
    <w:p>
      <w:pPr>
        <w:spacing w:after="0" w:line="276" w:lineRule="exact"/>
        <w:rPr>
          <w:sz w:val="20"/>
          <w:szCs w:val="20"/>
          <w:color w:val="auto"/>
        </w:rPr>
      </w:pPr>
    </w:p>
    <w:p>
      <w:pPr>
        <w:jc w:val="center"/>
        <w:ind w:left="360" w:right="2100"/>
        <w:spacing w:after="0" w:line="277" w:lineRule="auto"/>
        <w:rPr>
          <w:sz w:val="20"/>
          <w:szCs w:val="20"/>
          <w:color w:val="auto"/>
        </w:rPr>
      </w:pPr>
      <w:r>
        <w:rPr>
          <w:rFonts w:ascii="Arial" w:cs="Arial" w:eastAsia="Arial" w:hAnsi="Arial"/>
          <w:sz w:val="17"/>
          <w:szCs w:val="17"/>
          <w:b w:val="1"/>
          <w:bCs w:val="1"/>
          <w:color w:val="auto"/>
        </w:rPr>
        <w:t>CERTIFICATION OF CHIEF EXECUTIVE OFFICER PURSUANT TO RULE 13A-14(A) UNDER THE SECURITIES EXCHANGE ACT OF 1934, AS ADOPTED PURSUANT TO SECTION 302 OF THE SARBANES-OXLEY ACT OF 2002</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I, Carsten Breitfeld, certify that:</w:t>
      </w:r>
    </w:p>
    <w:p>
      <w:pPr>
        <w:spacing w:after="0" w:line="66" w:lineRule="exact"/>
        <w:rPr>
          <w:sz w:val="20"/>
          <w:szCs w:val="20"/>
          <w:color w:val="auto"/>
        </w:rPr>
      </w:pPr>
    </w:p>
    <w:p>
      <w:pPr>
        <w:ind w:left="320" w:hanging="315"/>
        <w:spacing w:after="0"/>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Faraday Future Intelligent Electric Inc.;</w:t>
      </w:r>
    </w:p>
    <w:p>
      <w:pPr>
        <w:spacing w:after="0" w:line="66" w:lineRule="exact"/>
        <w:rPr>
          <w:rFonts w:ascii="Arial" w:cs="Arial" w:eastAsia="Arial" w:hAnsi="Arial"/>
          <w:sz w:val="17"/>
          <w:szCs w:val="17"/>
          <w:color w:val="auto"/>
        </w:rPr>
      </w:pPr>
    </w:p>
    <w:p>
      <w:pPr>
        <w:ind w:left="320" w:right="260" w:hanging="315"/>
        <w:spacing w:after="0" w:line="328" w:lineRule="auto"/>
        <w:tabs>
          <w:tab w:leader="none" w:pos="3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60" w:hanging="315"/>
        <w:spacing w:after="0" w:line="289" w:lineRule="auto"/>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0" w:right="140" w:hanging="315"/>
        <w:spacing w:after="0" w:line="273" w:lineRule="auto"/>
        <w:tabs>
          <w:tab w:leader="none" w:pos="3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17"/>
          <w:szCs w:val="17"/>
          <w:color w:val="auto"/>
        </w:rPr>
      </w:pPr>
    </w:p>
    <w:p>
      <w:pPr>
        <w:ind w:left="640" w:right="200" w:hanging="321"/>
        <w:spacing w:after="0" w:line="273" w:lineRule="auto"/>
        <w:tabs>
          <w:tab w:leader="none" w:pos="63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40" w:hanging="321"/>
        <w:spacing w:after="0" w:line="257" w:lineRule="auto"/>
        <w:tabs>
          <w:tab w:leader="none" w:pos="6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 w:lineRule="exact"/>
        <w:rPr>
          <w:rFonts w:ascii="Arial" w:cs="Arial" w:eastAsia="Arial" w:hAnsi="Arial"/>
          <w:sz w:val="17"/>
          <w:szCs w:val="17"/>
          <w:color w:val="auto"/>
        </w:rPr>
      </w:pPr>
    </w:p>
    <w:p>
      <w:pPr>
        <w:ind w:left="640" w:right="40" w:hanging="321"/>
        <w:spacing w:after="0" w:line="289" w:lineRule="auto"/>
        <w:tabs>
          <w:tab w:leader="none" w:pos="630" w:val="left"/>
        </w:tabs>
        <w:numPr>
          <w:ilvl w:val="1"/>
          <w:numId w:val="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0" w:right="80" w:hanging="321"/>
        <w:spacing w:after="0" w:line="273" w:lineRule="auto"/>
        <w:tabs>
          <w:tab w:leader="none" w:pos="6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7"/>
          <w:szCs w:val="17"/>
          <w:color w:val="auto"/>
        </w:rPr>
      </w:pPr>
    </w:p>
    <w:p>
      <w:pPr>
        <w:ind w:left="320" w:right="560" w:hanging="315"/>
        <w:spacing w:after="0" w:line="307" w:lineRule="auto"/>
        <w:tabs>
          <w:tab w:leader="none" w:pos="3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40" w:right="160" w:hanging="321"/>
        <w:spacing w:after="0" w:line="289" w:lineRule="auto"/>
        <w:tabs>
          <w:tab w:leader="none" w:pos="63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0" w:right="200" w:hanging="321"/>
        <w:spacing w:after="0" w:line="289" w:lineRule="auto"/>
        <w:tabs>
          <w:tab w:leader="none" w:pos="640" w:val="left"/>
        </w:tabs>
        <w:numPr>
          <w:ilvl w:val="1"/>
          <w:numId w:val="6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Carsten Breitfeld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266128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Carsten Breitfeld</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Global Chief Executive Officer</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Date: August 15, 2022</w:t>
      </w:r>
    </w:p>
    <w:p>
      <w:pPr>
        <w:sectPr>
          <w:pgSz w:w="11900" w:h="16838" w:orient="portrait"/>
          <w:cols w:equalWidth="0" w:num="1">
            <w:col w:w="11220"/>
          </w:cols>
          <w:pgMar w:left="320" w:top="1431" w:right="35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color w:val="auto"/>
        </w:rPr>
        <w:t>Exhibit 31.2</w:t>
      </w:r>
    </w:p>
    <w:p>
      <w:pPr>
        <w:spacing w:after="0" w:line="276" w:lineRule="exact"/>
        <w:rPr>
          <w:sz w:val="20"/>
          <w:szCs w:val="20"/>
          <w:color w:val="auto"/>
        </w:rPr>
      </w:pPr>
    </w:p>
    <w:p>
      <w:pPr>
        <w:jc w:val="center"/>
        <w:ind w:left="360" w:right="2100"/>
        <w:spacing w:after="0" w:line="277" w:lineRule="auto"/>
        <w:rPr>
          <w:sz w:val="20"/>
          <w:szCs w:val="20"/>
          <w:color w:val="auto"/>
        </w:rPr>
      </w:pPr>
      <w:r>
        <w:rPr>
          <w:rFonts w:ascii="Arial" w:cs="Arial" w:eastAsia="Arial" w:hAnsi="Arial"/>
          <w:sz w:val="17"/>
          <w:szCs w:val="17"/>
          <w:b w:val="1"/>
          <w:bCs w:val="1"/>
          <w:color w:val="auto"/>
        </w:rPr>
        <w:t>CERTIFICATION OF CHIEF FINANCIAL OFFICER PURSUANT TO RULE 13A-14(A) UNDER THE SECURITIES EXCHANGE ACT OF 1934, AS ADOPTED PURSUANT TO SECTION 302 OF THE SARBANES-OXLEY ACT OF 2002</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I, Becky Roof, certify that:</w:t>
      </w:r>
    </w:p>
    <w:p>
      <w:pPr>
        <w:spacing w:after="0" w:line="66" w:lineRule="exact"/>
        <w:rPr>
          <w:sz w:val="20"/>
          <w:szCs w:val="20"/>
          <w:color w:val="auto"/>
        </w:rPr>
      </w:pPr>
    </w:p>
    <w:p>
      <w:pPr>
        <w:ind w:left="320" w:hanging="315"/>
        <w:spacing w:after="0"/>
        <w:tabs>
          <w:tab w:leader="none" w:pos="3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Faraday Future Intelligent Electric Inc.;</w:t>
      </w:r>
    </w:p>
    <w:p>
      <w:pPr>
        <w:spacing w:after="0" w:line="66" w:lineRule="exact"/>
        <w:rPr>
          <w:rFonts w:ascii="Arial" w:cs="Arial" w:eastAsia="Arial" w:hAnsi="Arial"/>
          <w:sz w:val="17"/>
          <w:szCs w:val="17"/>
          <w:color w:val="auto"/>
        </w:rPr>
      </w:pPr>
    </w:p>
    <w:p>
      <w:pPr>
        <w:ind w:left="320" w:right="260" w:hanging="315"/>
        <w:spacing w:after="0" w:line="328" w:lineRule="auto"/>
        <w:tabs>
          <w:tab w:leader="none" w:pos="3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60" w:hanging="315"/>
        <w:spacing w:after="0" w:line="289" w:lineRule="auto"/>
        <w:tabs>
          <w:tab w:leader="none" w:pos="3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0" w:right="140" w:hanging="315"/>
        <w:spacing w:after="0" w:line="273" w:lineRule="auto"/>
        <w:tabs>
          <w:tab w:leader="none" w:pos="3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17"/>
          <w:szCs w:val="17"/>
          <w:color w:val="auto"/>
        </w:rPr>
      </w:pPr>
    </w:p>
    <w:p>
      <w:pPr>
        <w:ind w:left="640" w:right="200" w:hanging="321"/>
        <w:spacing w:after="0" w:line="273" w:lineRule="auto"/>
        <w:tabs>
          <w:tab w:leader="none" w:pos="63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Arial" w:cs="Arial" w:eastAsia="Arial" w:hAnsi="Arial"/>
          <w:sz w:val="17"/>
          <w:szCs w:val="17"/>
          <w:color w:val="auto"/>
        </w:rPr>
      </w:pPr>
    </w:p>
    <w:p>
      <w:pPr>
        <w:ind w:left="640" w:hanging="321"/>
        <w:spacing w:after="0" w:line="273" w:lineRule="auto"/>
        <w:tabs>
          <w:tab w:leader="none" w:pos="6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Arial" w:cs="Arial" w:eastAsia="Arial" w:hAnsi="Arial"/>
          <w:sz w:val="17"/>
          <w:szCs w:val="17"/>
          <w:color w:val="auto"/>
        </w:rPr>
      </w:pPr>
    </w:p>
    <w:p>
      <w:pPr>
        <w:ind w:left="640" w:right="40" w:hanging="321"/>
        <w:spacing w:after="0" w:line="289" w:lineRule="auto"/>
        <w:tabs>
          <w:tab w:leader="none" w:pos="630" w:val="left"/>
        </w:tabs>
        <w:numPr>
          <w:ilvl w:val="1"/>
          <w:numId w:val="6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40" w:right="80" w:hanging="321"/>
        <w:spacing w:after="0" w:line="273" w:lineRule="auto"/>
        <w:tabs>
          <w:tab w:leader="none" w:pos="6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7"/>
          <w:szCs w:val="17"/>
          <w:color w:val="auto"/>
        </w:rPr>
      </w:pPr>
    </w:p>
    <w:p>
      <w:pPr>
        <w:ind w:left="320" w:right="560" w:hanging="315"/>
        <w:spacing w:after="0" w:line="307" w:lineRule="auto"/>
        <w:tabs>
          <w:tab w:leader="none" w:pos="3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40" w:right="160" w:hanging="321"/>
        <w:spacing w:after="0" w:line="289" w:lineRule="auto"/>
        <w:tabs>
          <w:tab w:leader="none" w:pos="63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640" w:right="200" w:hanging="321"/>
        <w:spacing w:after="0" w:line="289" w:lineRule="auto"/>
        <w:tabs>
          <w:tab w:leader="none" w:pos="640" w:val="left"/>
        </w:tabs>
        <w:numPr>
          <w:ilvl w:val="1"/>
          <w:numId w:val="6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Becky Roof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29108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Becky Roof</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Interim Chief Financial Officer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Date: August 15, 2022</w:t>
      </w:r>
    </w:p>
    <w:p>
      <w:pPr>
        <w:sectPr>
          <w:pgSz w:w="11900" w:h="16838" w:orient="portrait"/>
          <w:cols w:equalWidth="0" w:num="1">
            <w:col w:w="11220"/>
          </w:cols>
          <w:pgMar w:left="320" w:top="1431" w:right="35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color w:val="auto"/>
        </w:rPr>
        <w:t>Exhibit 32.1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PURSUANT TO</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18 U.S.C. SECTION 1350</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 ADOPTED PURSUANT TO</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3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Quarterly Report of Faraday Future Intelligent Electric Inc. (the “Company”) on Form 10-Q for the quarterly period ended June 30, 2022, as filed with the Securities and Exchange Commission (the “Report”), I, Carsten Breitfeld, Global Chief Executive Officer of the Company, certify, pursuant to 18 U.S.C. §1350, as added by §906 of the Sarbanes-Oxley Act of 2002, that:</w:t>
      </w:r>
    </w:p>
    <w:p>
      <w:pPr>
        <w:spacing w:after="0" w:line="224" w:lineRule="exact"/>
        <w:rPr>
          <w:sz w:val="20"/>
          <w:szCs w:val="20"/>
          <w:color w:val="auto"/>
        </w:rPr>
      </w:pPr>
    </w:p>
    <w:p>
      <w:pPr>
        <w:ind w:left="640" w:hanging="321"/>
        <w:spacing w:after="0"/>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66" w:lineRule="exact"/>
        <w:rPr>
          <w:rFonts w:ascii="Arial" w:cs="Arial" w:eastAsia="Arial" w:hAnsi="Arial"/>
          <w:sz w:val="17"/>
          <w:szCs w:val="17"/>
          <w:color w:val="auto"/>
        </w:rPr>
      </w:pPr>
    </w:p>
    <w:p>
      <w:pPr>
        <w:ind w:left="640" w:right="200" w:hanging="321"/>
        <w:spacing w:after="0" w:line="289"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To my knowledge, the information contained in the Report fairly presents, in all material respects, the financial condition and results of operations of the Company as of and for the period covered by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foregoing certification is being furnished solely pursuant to 18 U.S.C. Section 1350 and is not being filed as part of the Report.</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Carsten Breitfeld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26612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61285"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Carsten Breitfeld</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Global Chief Executive Officer</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Date: August 15, 2022</w:t>
      </w:r>
    </w:p>
    <w:p>
      <w:pPr>
        <w:sectPr>
          <w:pgSz w:w="11900" w:h="16838" w:orient="portrait"/>
          <w:cols w:equalWidth="0" w:num="1">
            <w:col w:w="11240"/>
          </w:cols>
          <w:pgMar w:left="320" w:top="1431"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Exhibit 32.2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CERTIFICATION PURSUANT TO</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18 U.S.C. SECTION 1350</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AS ADOPTED PURSUANT TO</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33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Quarterly Report of Faraday Future Intelligent Electric Inc. (the “Company”) on Form 10-Q for the quarterly period ended June 30, 2022, as filed with the Securities and Exchange Commission (the “Report”), I, Becky Roof, Interim Chief Financial Officer of the Company, certify, pursuant to 18 U.S.C. §1350, as added by §906 of the Sarbanes-Oxley Act of 2002, that:</w:t>
      </w:r>
    </w:p>
    <w:p>
      <w:pPr>
        <w:spacing w:after="0" w:line="224" w:lineRule="exact"/>
        <w:rPr>
          <w:sz w:val="20"/>
          <w:szCs w:val="20"/>
          <w:color w:val="auto"/>
        </w:rPr>
      </w:pPr>
    </w:p>
    <w:p>
      <w:pPr>
        <w:ind w:left="640" w:hanging="321"/>
        <w:spacing w:after="0"/>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66" w:lineRule="exact"/>
        <w:rPr>
          <w:rFonts w:ascii="Arial" w:cs="Arial" w:eastAsia="Arial" w:hAnsi="Arial"/>
          <w:sz w:val="17"/>
          <w:szCs w:val="17"/>
          <w:color w:val="auto"/>
        </w:rPr>
      </w:pPr>
    </w:p>
    <w:p>
      <w:pPr>
        <w:ind w:left="640" w:right="200" w:hanging="321"/>
        <w:spacing w:after="0" w:line="289" w:lineRule="auto"/>
        <w:tabs>
          <w:tab w:leader="none" w:pos="6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To my knowledge, the information contained in the Report fairly presents, in all material respects, the financial condition and results of operations of the Company as of and for the period covered by the Report.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foregoing certification is being furnished solely pursuant to 18 U.S.C. Section 1350 and is not being filed as part of the Report.</w:t>
      </w:r>
    </w:p>
    <w:p>
      <w:pPr>
        <w:spacing w:after="0" w:line="368"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Becky Roof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29108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910840"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color w:val="auto"/>
        </w:rPr>
        <w:t>Becky Roof</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Interim Chief Financial Officer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(Principal Financial and Accounting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Date: August 15, 2022</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2"/>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lvl w:ilvl="1">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1"/>
      <w:numFmt w:val="decimal"/>
      <w:start w:val="1"/>
    </w:lvl>
    <w:lvl w:ilvl="1">
      <w:lvlJc w:val="left"/>
      <w:lvlText w:val="(%2)"/>
      <w:numFmt w:val="decimal"/>
      <w:start w:val="1"/>
    </w:lvl>
  </w:abstractNum>
  <w:abstractNum w:abstractNumId="11">
    <w:nsid w:val="580BD78F"/>
    <w:multiLevelType w:val="hybridMultilevel"/>
    <w:lvl w:ilvl="0">
      <w:lvlJc w:val="left"/>
      <w:lvlText w:val="%1."/>
      <w:numFmt w:val="decimal"/>
      <w:start w:val="13"/>
    </w:lvl>
    <w:lvl w:ilvl="1">
      <w:lvlJc w:val="left"/>
      <w:lvlText w:val="%2"/>
      <w:numFmt w:val="decimal"/>
      <w:start w:val="1"/>
    </w:lvl>
  </w:abstractNum>
  <w:abstractNum w:abstractNumId="12">
    <w:nsid w:val="153EA438"/>
    <w:multiLevelType w:val="hybridMultilevel"/>
    <w:lvl w:ilvl="0">
      <w:lvlJc w:val="left"/>
      <w:lvlText w:val="(%1)"/>
      <w:numFmt w:val="lowerLetter"/>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upperLetter"/>
      <w:start w:val="32"/>
    </w:lvl>
  </w:abstractNum>
  <w:abstractNum w:abstractNumId="15">
    <w:nsid w:val="6A2342EC"/>
    <w:multiLevelType w:val="hybridMultilevel"/>
    <w:lvl w:ilvl="0">
      <w:lvlJc w:val="left"/>
      <w:lvlText w:val="%1"/>
      <w:numFmt w:val="upperLetter"/>
      <w:start w:val="32"/>
    </w:lvl>
  </w:abstractNum>
  <w:abstractNum w:abstractNumId="16">
    <w:nsid w:val="2A487CB0"/>
    <w:multiLevelType w:val="hybridMultilevel"/>
    <w:lvl w:ilvl="0">
      <w:lvlJc w:val="left"/>
      <w:lvlText w:val="%1"/>
      <w:numFmt w:val="upperLetter"/>
      <w:start w:val="32"/>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1"/>
      <w:numFmt w:val="upperLetter"/>
      <w:start w:val="32"/>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1"/>
      <w:numFmt w:val="upperLetter"/>
      <w:start w:val="32"/>
    </w:lvl>
  </w:abstractNum>
  <w:abstractNum w:abstractNumId="25">
    <w:nsid w:val="38437FDB"/>
    <w:multiLevelType w:val="hybridMultilevel"/>
    <w:lvl w:ilvl="0">
      <w:lvlJc w:val="left"/>
      <w:lvlText w:val="%1"/>
      <w:numFmt w:val="upperLetter"/>
      <w:start w:val="32"/>
    </w:lvl>
  </w:abstractNum>
  <w:abstractNum w:abstractNumId="26">
    <w:nsid w:val="7644A45C"/>
    <w:multiLevelType w:val="hybridMultilevel"/>
    <w:lvl w:ilvl="0">
      <w:lvlJc w:val="left"/>
      <w:lvlText w:val="%1"/>
      <w:numFmt w:val="upperLetter"/>
      <w:start w:val="32"/>
    </w:lvl>
  </w:abstractNum>
  <w:abstractNum w:abstractNumId="27">
    <w:nsid w:val="32FFF902"/>
    <w:multiLevelType w:val="hybridMultilevel"/>
    <w:lvl w:ilvl="0">
      <w:lvlJc w:val="left"/>
      <w:lvlText w:val="%1"/>
      <w:numFmt w:val="upperLetter"/>
      <w:start w:val="32"/>
    </w:lvl>
  </w:abstractNum>
  <w:abstractNum w:abstractNumId="28">
    <w:nsid w:val="684A481A"/>
    <w:multiLevelType w:val="hybridMultilevel"/>
    <w:lvl w:ilvl="0">
      <w:lvlJc w:val="left"/>
      <w:lvlText w:val="%1"/>
      <w:numFmt w:val="upperLetter"/>
      <w:start w:val="32"/>
    </w:lvl>
  </w:abstractNum>
  <w:abstractNum w:abstractNumId="29">
    <w:nsid w:val="579478FE"/>
    <w:multiLevelType w:val="hybridMultilevel"/>
    <w:lvl w:ilvl="0">
      <w:lvlJc w:val="left"/>
      <w:lvlText w:val="%1"/>
      <w:numFmt w:val="upperLetter"/>
      <w:start w:val="32"/>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1"/>
      <w:numFmt w:val="upperLetter"/>
      <w:start w:val="32"/>
    </w:lvl>
  </w:abstractNum>
  <w:abstractNum w:abstractNumId="40">
    <w:nsid w:val="23F9C13C"/>
    <w:multiLevelType w:val="hybridMultilevel"/>
    <w:lvl w:ilvl="0">
      <w:lvlJc w:val="left"/>
      <w:lvlText w:val="%1"/>
      <w:numFmt w:val="upperLetter"/>
      <w:start w:val="32"/>
    </w:lvl>
  </w:abstractNum>
  <w:abstractNum w:abstractNumId="41">
    <w:nsid w:val="649BB77C"/>
    <w:multiLevelType w:val="hybridMultilevel"/>
    <w:lvl w:ilvl="0">
      <w:lvlJc w:val="left"/>
      <w:lvlText w:val="%1"/>
      <w:numFmt w:val="upperLetter"/>
      <w:start w:val="32"/>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1"/>
      <w:numFmt w:val="upperLetter"/>
      <w:start w:val="32"/>
    </w:lvl>
    <w:lvl w:ilvl="1">
      <w:lvlJc w:val="left"/>
      <w:lvlText w:val="%2"/>
      <w:numFmt w:val="upperLetter"/>
      <w:start w:val="32"/>
    </w:lvl>
  </w:abstractNum>
  <w:abstractNum w:abstractNumId="44">
    <w:nsid w:val="1CF10FD8"/>
    <w:multiLevelType w:val="hybridMultilevel"/>
    <w:lvl w:ilvl="0">
      <w:lvlJc w:val="left"/>
      <w:lvlText w:val="%1"/>
      <w:numFmt w:val="upperLetter"/>
      <w:start w:val="32"/>
    </w:lvl>
    <w:lvl w:ilvl="1">
      <w:lvlJc w:val="left"/>
      <w:lvlText w:val="%2"/>
      <w:numFmt w:val="upperLetter"/>
      <w:start w:val="32"/>
    </w:lvl>
  </w:abstractNum>
  <w:abstractNum w:abstractNumId="45">
    <w:nsid w:val="180115BE"/>
    <w:multiLevelType w:val="hybridMultilevel"/>
    <w:lvl w:ilvl="0">
      <w:lvlJc w:val="left"/>
      <w:lvlText w:val="%1"/>
      <w:numFmt w:val="upperLetter"/>
      <w:start w:val="32"/>
    </w:lvl>
  </w:abstractNum>
  <w:abstractNum w:abstractNumId="46">
    <w:nsid w:val="235BA861"/>
    <w:multiLevelType w:val="hybridMultilevel"/>
    <w:lvl w:ilvl="0">
      <w:lvlJc w:val="left"/>
      <w:lvlText w:val="%1"/>
      <w:numFmt w:val="upperLetter"/>
      <w:start w:val="32"/>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1"/>
      <w:numFmt w:val="upperLetter"/>
      <w:start w:val="32"/>
    </w:lvl>
  </w:abstractNum>
  <w:abstractNum w:abstractNumId="50">
    <w:nsid w:val="741226BB"/>
    <w:multiLevelType w:val="hybridMultilevel"/>
    <w:lvl w:ilvl="0">
      <w:lvlJc w:val="left"/>
      <w:lvlText w:val="•"/>
      <w:numFmt w:val="bullet"/>
      <w:start w:val="1"/>
    </w:lvl>
    <w:lvl w:ilvl="1">
      <w:lvlJc w:val="left"/>
      <w:lvlText w:val="%2"/>
      <w:numFmt w:val="upperLetter"/>
      <w:start w:val="32"/>
    </w:lvl>
  </w:abstractNum>
  <w:abstractNum w:abstractNumId="51">
    <w:nsid w:val="D34B6A8"/>
    <w:multiLevelType w:val="hybridMultilevel"/>
    <w:lvl w:ilvl="0">
      <w:lvlJc w:val="left"/>
      <w:lvlText w:val="•"/>
      <w:numFmt w:val="bullet"/>
      <w:start w:val="1"/>
    </w:lvl>
    <w:lvl w:ilvl="1">
      <w:lvlJc w:val="left"/>
      <w:lvlText w:val="%2"/>
      <w:numFmt w:val="upperLetter"/>
      <w:start w:val="32"/>
    </w:lvl>
  </w:abstractNum>
  <w:abstractNum w:abstractNumId="52">
    <w:nsid w:val="10233C99"/>
    <w:multiLevelType w:val="hybridMultilevel"/>
    <w:lvl w:ilvl="0">
      <w:lvlJc w:val="left"/>
      <w:lvlText w:val="%1"/>
      <w:numFmt w:val="upperLetter"/>
      <w:start w:val="32"/>
    </w:lvl>
  </w:abstractNum>
  <w:abstractNum w:abstractNumId="53">
    <w:nsid w:val="3F6AB60F"/>
    <w:multiLevelType w:val="hybridMultilevel"/>
    <w:lvl w:ilvl="0">
      <w:lvlJc w:val="left"/>
      <w:lvlText w:val="%1"/>
      <w:numFmt w:val="upperLetter"/>
      <w:start w:val="32"/>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2022-08-15T16:52:09Z</dcterms:created>
  <dcterms:modified xsi:type="dcterms:W3CDTF">2022-08-15T16:52:09Z</dcterms:modified>
</cp:coreProperties>
</file>